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STREAM Characterization DMA Performance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903_3043144986">
            <w:r>
              <w:rPr>
                <w:webHidden/>
                <w:rStyle w:val="IndexLink"/>
              </w:rPr>
              <w:t>Readme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905_3043144986">
            <w:r>
              <w:rPr>
                <w:webHidden/>
                <w:rStyle w:val="IndexLink"/>
              </w:rPr>
              <w:t>STREAM DMA — Performance Characterization (in-core perf-monitor build)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907_3043144986">
            <w:r>
              <w:rPr>
                <w:webHidden/>
                <w:rStyle w:val="IndexLink"/>
              </w:rPr>
              <w:t>Characterization knobs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909_3043144986">
            <w:r>
              <w:rPr>
                <w:webHidden/>
                <w:rStyle w:val="IndexLink"/>
              </w:rPr>
              <w:t>1. Headline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911_3043144986">
            <w:r>
              <w:rPr>
                <w:webHidden/>
                <w:rStyle w:val="IndexLink"/>
              </w:rPr>
              <w:t>2. How it is measured (the observation hooks)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913_3043144986">
            <w:r>
              <w:rPr>
                <w:webHidden/>
                <w:rStyle w:val="IndexLink"/>
              </w:rPr>
              <w:t>3. Single-axis sweeps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915_3043144986">
            <w:r>
              <w:rPr>
                <w:webHidden/>
                <w:rStyle w:val="IndexLink"/>
              </w:rPr>
              <w:t>3.0 Knob 1 — transaction (burst) size · 1 ch, 1 MB, fixed outstanding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917_3043144986">
            <w:r>
              <w:rPr>
                <w:webHidden/>
                <w:rStyle w:val="IndexLink"/>
              </w:rPr>
              <w:t>3.1 Knob 3 — descriptors per channel (1 ch, 1→16 desc, 1 MB each, delay 0)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919_3043144986">
            <w:r>
              <w:rPr>
                <w:webHidden/>
                <w:rStyle w:val="IndexLink"/>
              </w:rPr>
              <w:t>3.2 Knob 4 — channels (1 desc each, 1→8 ch, 1 MB/ch, delay 0)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921_3043144986">
            <w:r>
              <w:rPr>
                <w:webHidden/>
                <w:rStyle w:val="IndexLink"/>
              </w:rPr>
              <w:t>3.3 Knob 2 — transactions per descriptor (transfer size, 1 ch, 1 desc, 8 KB→1 MB, delay 0)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923_3043144986">
            <w:r>
              <w:rPr>
                <w:webHidden/>
                <w:rStyle w:val="IndexLink"/>
              </w:rPr>
              <w:t>4. 2-D surfaces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925_3043144986">
            <w:r>
              <w:rPr>
                <w:webHidden/>
                <w:rStyle w:val="IndexLink"/>
              </w:rPr>
              <w:t>4.1 Channels × descriptors (1 MB, delay 0) — the operating envelope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927_3043144986">
            <w:r>
              <w:rPr>
                <w:webHidden/>
                <w:rStyle w:val="IndexLink"/>
              </w:rPr>
              <w:t xml:space="preserve">4.2 Channels × memory latency — </w:t>
            </w:r>
            <w:r>
              <w:rPr>
                <w:rStyle w:val="IndexLink"/>
                <w:i/>
                <w:iCs/>
              </w:rPr>
              <w:t>the key result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929_3043144986">
            <w:r>
              <w:rPr>
                <w:webHidden/>
                <w:rStyle w:val="IndexLink"/>
              </w:rPr>
              <w:t>4.3 Descriptors × memory latency (1 ch)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931_3043144986">
            <w:r>
              <w:rPr>
                <w:webHidden/>
                <w:rStyle w:val="IndexLink"/>
              </w:rPr>
              <w:t>4.4 Where the cycles go — utilization pair + bus-cycle breakdown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933_3043144986">
            <w:r>
              <w:rPr>
                <w:webHidden/>
                <w:rStyle w:val="IndexLink"/>
              </w:rPr>
              <w:t>5. The architecture: Little’s Law on real silicon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935_3043144986">
            <w:r>
              <w:rPr>
                <w:webHidden/>
                <w:rStyle w:val="IndexLink"/>
              </w:rPr>
              <w:t>6. What we learned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937_3043144986">
            <w:r>
              <w:rPr>
                <w:webHidden/>
                <w:rStyle w:val="IndexLink"/>
              </w:rPr>
              <w:t>Appendix: data files &amp; reproduce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939_3043144986">
            <w:r>
              <w:rPr>
                <w:webHidden/>
                <w:rStyle w:val="IndexLink"/>
              </w:rPr>
              <w:t xml:space="preserve">Addendum A — End-to-end utilization (system framing, </w:t>
            </w:r>
            <w:r>
              <w:rPr>
                <w:rStyle w:val="IndexLink"/>
                <w:i/>
                <w:iCs/>
              </w:rPr>
              <w:t>not</w:t>
            </w:r>
            <w:r>
              <w:rPr>
                <w:rStyle w:val="IndexLink"/>
              </w:rPr>
              <w:t xml:space="preserve"> bus bubbles)</w:t>
              <w:tab/>
              <w:t>22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"/>
      <w:bookmarkStart w:id="1" w:name="readme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Characterization_kno">
        <w:r>
          <w:rPr>
            <w:rStyle w:val="ListLabel1"/>
            <w:color w:val="000000"/>
            <w:sz w:val="24"/>
          </w:rPr>
          <w:t>Table 1: Characterization knobs — the five sweep axes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_Tab_1_Characterization_kno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Headline___datapath_">
        <w:r>
          <w:rPr>
            <w:rStyle w:val="ListLabel1"/>
            <w:color w:val="000000"/>
            <w:sz w:val="24"/>
          </w:rPr>
          <w:t>Table 2: Headline — datapath utilization by knob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_Tab_2_Headline___datapath_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Knob_1___datapath_ut">
        <w:r>
          <w:rPr>
            <w:rStyle w:val="ListLabel1"/>
            <w:color w:val="000000"/>
            <w:sz w:val="24"/>
          </w:rPr>
          <w:t>Table 3: Knob 1 — datapath utilization vs transaction (burst) size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_Tab_3_Knob_1___datapath_ut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Knob_3___datapath_ut">
        <w:r>
          <w:rPr>
            <w:rStyle w:val="ListLabel1"/>
            <w:color w:val="000000"/>
            <w:sz w:val="24"/>
          </w:rPr>
          <w:t>Table 4: Knob 3 — datapath utilization vs descriptors per channel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_Tab_4_Knob_3___datapath_ut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Knob_4___datapath_ut">
        <w:r>
          <w:rPr>
            <w:rStyle w:val="ListLabel1"/>
            <w:color w:val="000000"/>
            <w:sz w:val="24"/>
          </w:rPr>
          <w:t>Table 5: Knob 4 — datapath utilization vs channels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_Tab_5_Knob_4___datapath_ut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Knob_2___datapath_ut">
        <w:r>
          <w:rPr>
            <w:rStyle w:val="ListLabel1"/>
            <w:color w:val="000000"/>
            <w:sz w:val="24"/>
          </w:rPr>
          <w:t>Table 6: Knob 2 — datapath utilization vs descriptor size (transactions per descriptor)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_Tab_6_Knob_2___datapath_ut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Write_bus_cycle_brea">
        <w:r>
          <w:rPr>
            <w:rStyle w:val="ListLabel1"/>
            <w:color w:val="000000"/>
            <w:sz w:val="24"/>
          </w:rPr>
          <w:t>Table 7: Write-bus cycle breakdown vs memory latency (knob 5)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_Tab_7_Write_bus_cycle_brea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Characterization_dat">
        <w:r>
          <w:rPr>
            <w:rStyle w:val="ListLabel1"/>
            <w:color w:val="000000"/>
            <w:sz w:val="24"/>
          </w:rPr>
          <w:t>Table 8: Characterization datasets (2026-06-23, board 210292B7D46F)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_Tab_8_Characterization_dat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End_to_end_vs_datapa">
        <w:r>
          <w:rPr>
            <w:rStyle w:val="ListLabel1"/>
            <w:color w:val="000000"/>
            <w:sz w:val="24"/>
          </w:rPr>
          <w:t>Table 9: End-to-end vs datapath utilization by descriptor size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_Tab_9_End_to_end_vs_datapa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2903_3043144986"/>
      <w:bookmarkEnd w:id="2"/>
      <w:r>
        <w:rPr>
          <w:b/>
          <w:color w:val="FFFFFF"/>
          <w:sz w:val="32"/>
        </w:rPr>
        <w:t>Readme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2026-06-23</w:t>
      </w:r>
      <w:bookmarkEnd w:id="1"/>
    </w:p>
    <w:p>
      <w:pPr>
        <w:pStyle w:val="Heading1"/>
        <w:shd w:val="clear" w:color="auto" w:fill="404040"/>
        <w:spacing w:before="360" w:after="120"/>
        <w:rPr/>
      </w:pPr>
      <w:bookmarkStart w:id="3" w:name="__RefHeading___Toc2905_3043144986"/>
      <w:bookmarkStart w:id="4" w:name="X870225b50dd8578b56bc0d60762f224fe3e2d02"/>
      <w:bookmarkEnd w:id="3"/>
      <w:r>
        <w:rPr>
          <w:b/>
          <w:color w:val="FFFFFF"/>
          <w:sz w:val="32"/>
        </w:rPr>
        <w:t>STREAM DMA — Performance Characterization (in-core perf-monitor build)</w:t>
      </w:r>
    </w:p>
    <w:p>
      <w:pPr>
        <w:pStyle w:val="FirstParagraph"/>
        <w:rPr/>
      </w:pPr>
      <w:r>
        <w:rPr>
          <w:b/>
          <w:bCs/>
          <w:sz w:val="20"/>
        </w:rPr>
        <w:t>Bitstream:</w:t>
      </w:r>
      <w:r>
        <w:rPr>
          <w:sz w:val="20"/>
        </w:rPr>
        <w:t xml:space="preserve"> RFC Stage E in-core datapath perf-monitor build. Two correctness fixes since the 2026-06-21 report move the headline from ~94% to </w:t>
      </w:r>
      <w:r>
        <w:rPr>
          <w:b/>
          <w:bCs/>
          <w:sz w:val="20"/>
        </w:rPr>
        <w:t>100%</w:t>
      </w:r>
      <w:r>
        <w:rPr>
          <w:sz w:val="20"/>
        </w:rPr>
        <w:t>: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Characterization-harness slave fix.</w:t>
      </w:r>
      <w:r>
        <w:rPr/>
        <w:t xml:space="preserve"> The synthetic read/write slaves (</w:t>
      </w:r>
      <w:r>
        <w:rPr>
          <w:rStyle w:val="VerbatimChar"/>
        </w:rPr>
        <w:t>axi4_slave_rd_pattern_gen</w:t>
      </w:r>
      <w:r>
        <w:rPr/>
        <w:t xml:space="preserve"> / </w:t>
      </w:r>
      <w:r>
        <w:rPr>
          <w:rStyle w:val="VerbatimChar"/>
        </w:rPr>
        <w:t>axi4_slave_wr_crc_check</w:t>
      </w:r>
      <w:r>
        <w:rPr/>
        <w:t xml:space="preserve">) were 2-state FSMs that accepted the next transaction only after returning to idle, inserting a 1-cycle dead bubble between </w:t>
      </w:r>
      <w:r>
        <w:rPr>
          <w:i/>
          <w:iCs/>
        </w:rPr>
        <w:t>every</w:t>
      </w:r>
      <w:r>
        <w:rPr/>
        <w:t xml:space="preserve"> burst. That ~6% was a </w:t>
      </w:r>
      <w:r>
        <w:rPr>
          <w:b/>
          <w:bCs/>
        </w:rPr>
        <w:t>slave-model artifact, not a DUT limitation</w:t>
      </w:r>
      <w:r>
        <w:rPr/>
        <w:t>; the slaves now accept the next AR/AW on the last beat of the current burst (gapless back-to-back).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Data-owed meter gating.</w:t>
      </w:r>
      <w:r>
        <w:rPr/>
        <w:t xml:space="preserve"> The in-core bubble buckets now count only while data is owed and flowing (first </w:t>
      </w:r>
      <w:r>
        <w:rPr>
          <w:rStyle w:val="VerbatimChar"/>
        </w:rPr>
        <w:t>valid&amp;&amp;ready</w:t>
      </w:r>
      <w:r>
        <w:rPr/>
        <w:t xml:space="preserve"> → outstanding drains), so the one-time </w:t>
      </w:r>
      <w:r>
        <w:rPr>
          <w:rStyle w:val="VerbatimChar"/>
        </w:rPr>
        <w:t>AR→first-R</w:t>
      </w:r>
      <w:r>
        <w:rPr/>
        <w:t xml:space="preserve"> fill latency and trailing drain are no longer mis-counted as starvation.</w:t>
      </w:r>
    </w:p>
    <w:p>
      <w:pPr>
        <w:pStyle w:val="FirstParagraph"/>
        <w:rPr/>
      </w:pPr>
      <w:r>
        <w:rPr>
          <w:sz w:val="20"/>
        </w:rPr>
        <w:t xml:space="preserve">FST analysis confirms the datapath is </w:t>
      </w:r>
      <w:r>
        <w:rPr>
          <w:b/>
          <w:bCs/>
          <w:sz w:val="20"/>
        </w:rPr>
        <w:t>100% gapless between the first and last beat</w:t>
      </w:r>
      <w:r>
        <w:rPr>
          <w:sz w:val="20"/>
        </w:rPr>
        <w:t xml:space="preserve"> (4096 productive cycles in a 4096-cycle window; </w:t>
      </w:r>
      <w:r>
        <w:rPr>
          <w:rStyle w:val="VerbatimChar"/>
          <w:sz w:val="20"/>
        </w:rPr>
        <w:t>starvation = 0</w:t>
      </w:r>
      <w:r>
        <w:rPr>
          <w:sz w:val="20"/>
        </w:rPr>
        <w:t xml:space="preserve">). The monitor footprint was trimmed to perf-only (and the per-channel completion/error MonBus emitters gated off on the FPGA build) to fit the xc7a100t; that relieved congestion enough to </w:t>
      </w:r>
      <w:r>
        <w:rPr>
          <w:b/>
          <w:bCs/>
          <w:sz w:val="20"/>
        </w:rPr>
        <w:t>close 100 MHz timing at +0.031 ns</w:t>
      </w:r>
      <w:r>
        <w:rPr>
          <w:sz w:val="20"/>
        </w:rPr>
        <w:t xml:space="preserve"> WNS (was a marginal −0.097 ns). Every config below passes CRC. </w:t>
      </w:r>
      <w:r>
        <w:rPr>
          <w:b/>
          <w:bCs/>
          <w:sz w:val="20"/>
        </w:rPr>
        <w:t>Source of truth:</w:t>
      </w:r>
      <w:r>
        <w:rPr>
          <w:sz w:val="20"/>
        </w:rPr>
        <w:t xml:space="preserve"> the </w:t>
      </w:r>
      <w:r>
        <w:rPr>
          <w:b/>
          <w:bCs/>
          <w:sz w:val="20"/>
        </w:rPr>
        <w:t>in-core perf monitors</w:t>
      </w:r>
      <w:r>
        <w:rPr>
          <w:sz w:val="20"/>
        </w:rPr>
        <w:t xml:space="preserve"> read over CSR. </w:t>
      </w:r>
      <w:r>
        <w:rPr>
          <w:b/>
          <w:bCs/>
          <w:sz w:val="20"/>
        </w:rPr>
        <w:t>Datapath:</w:t>
      </w:r>
      <w:r>
        <w:rPr>
          <w:sz w:val="20"/>
        </w:rPr>
        <w:t xml:space="preserve"> 128-bit (16 B/beat). One-direction AXI ceiling </w:t>
      </w:r>
      <w:r>
        <w:rPr>
          <w:b/>
          <w:bCs/>
          <w:sz w:val="20"/>
        </w:rPr>
        <w:t>1526 MB/s</w:t>
      </w:r>
      <w:r>
        <w:rPr>
          <w:sz w:val="20"/>
        </w:rPr>
        <w:t xml:space="preserve">; net-bytes-moved ceiling </w:t>
      </w:r>
      <w:r>
        <w:rPr>
          <w:b/>
          <w:bCs/>
          <w:sz w:val="20"/>
        </w:rPr>
        <w:t>763 MB/s</w:t>
      </w:r>
      <w:r>
        <w:rPr>
          <w:sz w:val="20"/>
        </w:rPr>
        <w:t xml:space="preserve"> (the DMA reads </w:t>
      </w:r>
      <w:r>
        <w:rPr>
          <w:i/>
          <w:iCs/>
          <w:sz w:val="20"/>
        </w:rPr>
        <w:t>and</w:t>
      </w:r>
      <w:r>
        <w:rPr>
          <w:sz w:val="20"/>
        </w:rPr>
        <w:t xml:space="preserve"> writes each byte).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2026-06-23 (board 210292B7D46F). Methodology: </w:t>
      </w:r>
      <w:r>
        <w:rPr>
          <w:rStyle w:val="VerbatimChar"/>
          <w:sz w:val="20"/>
        </w:rPr>
        <w:t>../../DMA_UTILIZATION_MEASUREMENT.md</w:t>
      </w:r>
      <w:r>
        <w:rPr>
          <w:sz w:val="20"/>
        </w:rPr>
        <w:t>.</w:t>
      </w:r>
    </w:p>
    <w:p>
      <w:pPr>
        <w:pStyle w:val="BlockText"/>
        <w:rPr/>
      </w:pPr>
      <w:r>
        <w:rPr>
          <w:b/>
          <w:bCs/>
        </w:rPr>
        <w:t>Metric note.</w:t>
      </w:r>
      <w:r>
        <w:rPr/>
        <w:t xml:space="preserve"> The headline efficiency is </w:t>
      </w:r>
      <w:r>
        <w:rPr>
          <w:b/>
          <w:bCs/>
        </w:rPr>
        <w:t>datapath utilization</w:t>
      </w:r>
      <w:r>
        <w:rPr/>
        <w:t xml:space="preserve"> (productive beats / data-owed window, from the on-chip perf monitors) — bus efficiency </w:t>
      </w:r>
      <w:r>
        <w:rPr>
          <w:i/>
          <w:iCs/>
        </w:rPr>
        <w:t>while the engine is moving data</w:t>
      </w:r>
      <w:r>
        <w:rPr/>
        <w:t xml:space="preserve">. </w:t>
      </w:r>
      <w:r>
        <w:rPr>
          <w:b/>
          <w:bCs/>
        </w:rPr>
        <w:t>End-to-end utilization</w:t>
      </w:r>
      <w:r>
        <w:rPr/>
        <w:t xml:space="preserve"> (productive beats / kick→done cycles) is a </w:t>
      </w:r>
      <w:r>
        <w:rPr>
          <w:i/>
          <w:iCs/>
        </w:rPr>
        <w:t>system</w:t>
      </w:r>
      <w:r>
        <w:rPr/>
        <w:t xml:space="preserve"> metric that also counts the one-time per-transfer startup latency; it is </w:t>
      </w:r>
      <w:r>
        <w:rPr>
          <w:b/>
          <w:bCs/>
        </w:rPr>
        <w:t>not</w:t>
      </w:r>
      <w:r>
        <w:rPr/>
        <w:t xml:space="preserve"> bus bubbles, and is reported only in </w:t>
      </w:r>
      <w:r>
        <w:rPr>
          <w:b/>
          <w:bCs/>
        </w:rPr>
        <w:t>Addendum A</w:t>
      </w:r>
      <w:r>
        <w:rPr/>
        <w:t xml:space="preserve"> to avoid confusion. </w:t>
      </w:r>
      <w:r>
        <w:rPr>
          <w:rStyle w:val="VerbatimChar"/>
        </w:rPr>
        <w:t>bus throughput</w:t>
      </w:r>
      <w:r>
        <w:rPr/>
        <w:t xml:space="preserve"> (</w:t>
      </w:r>
      <w:r>
        <w:rPr>
          <w:rStyle w:val="VerbatimChar"/>
        </w:rPr>
        <w:t>mb_moved / FPGA-timer-time</w:t>
      </w:r>
      <w:r>
        <w:rPr/>
        <w:t xml:space="preserve">) is on-chip and wall-clock-independent; the host </w:t>
      </w:r>
      <w:r>
        <w:rPr>
          <w:rStyle w:val="VerbatimChar"/>
        </w:rPr>
        <w:t>throughput_MBps</w:t>
      </w:r>
      <w:r>
        <w:rPr/>
        <w:t xml:space="preserve"> is UART-dominated and shown for transparency only.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2907_3043144986"/>
      <w:bookmarkStart w:id="6" w:name="characterization-knobs"/>
      <w:bookmarkEnd w:id="5"/>
      <w:r>
        <w:rPr>
          <w:b/>
          <w:color w:val="228B22"/>
          <w:sz w:val="28"/>
        </w:rPr>
        <w:t>Characterization knobs</w:t>
      </w:r>
    </w:p>
    <w:p>
      <w:pPr>
        <w:pStyle w:val="FirstParagraph"/>
        <w:rPr/>
      </w:pPr>
      <w:r>
        <w:rPr>
          <w:sz w:val="20"/>
        </w:rPr>
        <w:t xml:space="preserve">The sweep space is </w:t>
      </w:r>
      <w:r>
        <w:rPr>
          <w:b/>
          <w:bCs/>
          <w:sz w:val="20"/>
        </w:rPr>
        <w:t>five knobs</w:t>
      </w:r>
      <w:r>
        <w:rPr>
          <w:sz w:val="20"/>
        </w:rPr>
        <w:t xml:space="preserve"> — four nested </w:t>
      </w:r>
      <w:r>
        <w:rPr>
          <w:i/>
          <w:iCs/>
          <w:sz w:val="20"/>
        </w:rPr>
        <w:t>workload</w:t>
      </w:r>
      <w:r>
        <w:rPr>
          <w:sz w:val="20"/>
        </w:rPr>
        <w:t xml:space="preserve"> knobs (innermost a single bus transaction, outermost the whole engine) plus the </w:t>
      </w:r>
      <w:r>
        <w:rPr>
          <w:i/>
          <w:iCs/>
          <w:sz w:val="20"/>
        </w:rPr>
        <w:t>environment</w:t>
      </w:r>
      <w:r>
        <w:rPr>
          <w:sz w:val="20"/>
        </w:rPr>
        <w:t xml:space="preserve"> knob, memory latency. All byte figures assume the 128-bit datapath — </w:t>
      </w:r>
      <w:r>
        <w:rPr>
          <w:b/>
          <w:bCs/>
          <w:sz w:val="20"/>
        </w:rPr>
        <w:t>16 B / beat</w:t>
      </w:r>
      <w:r>
        <w:rPr>
          <w:sz w:val="20"/>
        </w:rPr>
        <w:t>.</w:t>
      </w:r>
    </w:p>
    <w:p>
      <w:pPr>
        <w:pStyle w:val="TableCaption"/>
        <w:rPr/>
      </w:pPr>
      <w:bookmarkStart w:id="7" w:name="_Tab_1_Characterization_kno"/>
      <w:r>
        <w:rPr/>
        <w:t>Characterization knobs — the five sweep axes</w:t>
      </w:r>
      <w:bookmarkEnd w:id="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24"/>
        <w:gridCol w:w="1248"/>
        <w:gridCol w:w="2496"/>
        <w:gridCol w:w="1663"/>
        <w:gridCol w:w="3329"/>
      </w:tblGrid>
      <w:tr>
        <w:trPr>
          <w:tblHeader w:val="true"/>
        </w:trPr>
        <w:tc>
          <w:tcPr>
            <w:tcW w:w="6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#</w:t>
            </w:r>
          </w:p>
        </w:tc>
        <w:tc>
          <w:tcPr>
            <w:tcW w:w="12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Knob</w:t>
            </w:r>
          </w:p>
        </w:tc>
        <w:tc>
          <w:tcPr>
            <w:tcW w:w="24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is</w:t>
            </w:r>
          </w:p>
        </w:tc>
        <w:tc>
          <w:tcPr>
            <w:tcW w:w="16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Set by</w:t>
            </w:r>
          </w:p>
        </w:tc>
        <w:tc>
          <w:tcPr>
            <w:tcW w:w="33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Nominal values</w:t>
            </w:r>
          </w:p>
        </w:tc>
      </w:tr>
      <w:tr>
        <w:trPr/>
        <w:tc>
          <w:tcPr>
            <w:tcW w:w="6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Beats per transfer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(transaction size)</w:t>
            </w:r>
          </w:p>
        </w:tc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one AXI burst — a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single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read/write transaction on the bus</w:t>
            </w:r>
          </w:p>
        </w:tc>
        <w:tc>
          <w:tcPr>
            <w:tcW w:w="16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cfg_axi_rd_xfer_beats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cfg_axi_wr_xfer_beats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(ARLEN = beats − 1)</w:t>
            </w:r>
          </w:p>
        </w:tc>
        <w:tc>
          <w:tcPr>
            <w:tcW w:w="33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256 B (16 beats) · 512 B (32) · 1024 B (64)</w:t>
            </w:r>
          </w:p>
        </w:tc>
      </w:tr>
      <w:tr>
        <w:trPr/>
        <w:tc>
          <w:tcPr>
            <w:tcW w:w="6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2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Transactions per descriptor</w:t>
            </w:r>
          </w:p>
        </w:tc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bursts that make up one descriptor → descriptor size = transactions × transaction size</w:t>
            </w:r>
          </w:p>
        </w:tc>
        <w:tc>
          <w:tcPr>
            <w:tcW w:w="16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descriptor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field</w:t>
            </w:r>
          </w:p>
        </w:tc>
        <w:tc>
          <w:tcPr>
            <w:tcW w:w="33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(256 B–1 KB) … 4096 (1 MB @ 256 B)</w:t>
            </w:r>
          </w:p>
        </w:tc>
      </w:tr>
      <w:tr>
        <w:trPr/>
        <w:tc>
          <w:tcPr>
            <w:tcW w:w="6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2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Descriptors per channel</w:t>
            </w:r>
          </w:p>
        </w:tc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descriptor-chain length a channel walks</w:t>
            </w:r>
          </w:p>
        </w:tc>
        <w:tc>
          <w:tcPr>
            <w:tcW w:w="16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chained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next_ptr</w:t>
            </w:r>
          </w:p>
        </w:tc>
        <w:tc>
          <w:tcPr>
            <w:tcW w:w="33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1, 2, 4, 8, 16</w:t>
            </w:r>
          </w:p>
        </w:tc>
      </w:tr>
      <w:tr>
        <w:trPr/>
        <w:tc>
          <w:tcPr>
            <w:tcW w:w="6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2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 DMA channels</w:t>
            </w:r>
          </w:p>
        </w:tc>
        <w:tc>
          <w:tcPr>
            <w:tcW w:w="16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cfg_channel_enable</w:t>
            </w:r>
          </w:p>
        </w:tc>
        <w:tc>
          <w:tcPr>
            <w:tcW w:w="33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… 8</w:t>
            </w:r>
          </w:p>
        </w:tc>
      </w:tr>
      <w:tr>
        <w:trPr/>
        <w:tc>
          <w:tcPr>
            <w:tcW w:w="6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2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Response 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(memory latency)</w:t>
            </w:r>
          </w:p>
        </w:tc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modeled per-beat R/B round-trip latency of the backing memory — the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environment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 engine runs against</w:t>
            </w:r>
          </w:p>
        </w:tc>
        <w:tc>
          <w:tcPr>
            <w:tcW w:w="16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cfg_rd/wr_resp_delay_cyc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(RESP_DELAY CSR)</w:t>
            </w:r>
          </w:p>
        </w:tc>
        <w:tc>
          <w:tcPr>
            <w:tcW w:w="33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… 512 cyc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Read the workload knobs </w:t>
      </w:r>
      <w:r>
        <w:rPr>
          <w:b/>
          <w:bCs/>
          <w:sz w:val="20"/>
        </w:rPr>
        <w:t>outside-in</w:t>
      </w:r>
      <w:r>
        <w:rPr>
          <w:sz w:val="20"/>
        </w:rPr>
        <w:t xml:space="preserve">: a </w:t>
      </w:r>
      <w:r>
        <w:rPr>
          <w:i/>
          <w:iCs/>
          <w:sz w:val="20"/>
        </w:rPr>
        <w:t>channel</w:t>
      </w:r>
      <w:r>
        <w:rPr>
          <w:sz w:val="20"/>
        </w:rPr>
        <w:t xml:space="preserve"> (4) walks its </w:t>
      </w:r>
      <w:r>
        <w:rPr>
          <w:i/>
          <w:iCs/>
          <w:sz w:val="20"/>
        </w:rPr>
        <w:t>descriptor</w:t>
      </w:r>
      <w:r>
        <w:rPr>
          <w:sz w:val="20"/>
        </w:rPr>
        <w:t xml:space="preserve"> chain (3); each </w:t>
      </w:r>
      <w:r>
        <w:rPr>
          <w:i/>
          <w:iCs/>
          <w:sz w:val="20"/>
        </w:rPr>
        <w:t>descriptor</w:t>
      </w:r>
      <w:r>
        <w:rPr>
          <w:sz w:val="20"/>
        </w:rPr>
        <w:t xml:space="preserve"> is issued as fixed-size </w:t>
      </w:r>
      <w:r>
        <w:rPr>
          <w:i/>
          <w:iCs/>
          <w:sz w:val="20"/>
        </w:rPr>
        <w:t>transactions</w:t>
      </w:r>
      <w:r>
        <w:rPr>
          <w:sz w:val="20"/>
        </w:rPr>
        <w:t xml:space="preserve"> (2); each </w:t>
      </w:r>
      <w:r>
        <w:rPr>
          <w:i/>
          <w:iCs/>
          <w:sz w:val="20"/>
        </w:rPr>
        <w:t>transaction</w:t>
      </w:r>
      <w:r>
        <w:rPr>
          <w:sz w:val="20"/>
        </w:rPr>
        <w:t xml:space="preserve"> is </w:t>
      </w:r>
      <w:r>
        <w:rPr>
          <w:i/>
          <w:iCs/>
          <w:sz w:val="20"/>
        </w:rPr>
        <w:t>beats per transfer</w:t>
      </w:r>
      <w:r>
        <w:rPr>
          <w:sz w:val="20"/>
        </w:rPr>
        <w:t xml:space="preserve"> (1). The datapath bubbles </w:t>
      </w:r>
      <w:r>
        <w:rPr>
          <w:b/>
          <w:bCs/>
          <w:sz w:val="20"/>
        </w:rPr>
        <w:t>only when the in-flight window can’t cover the memory round trip</w:t>
      </w:r>
      <w:r>
        <w:rPr>
          <w:sz w:val="20"/>
        </w:rPr>
        <w:t xml:space="preserve"> — </w:t>
      </w:r>
      <w:r>
        <w:rPr>
          <w:rStyle w:val="VerbatimChar"/>
          <w:sz w:val="20"/>
        </w:rPr>
        <w:t>outstanding × beats &lt; response delay</w:t>
      </w:r>
      <w:r>
        <w:rPr>
          <w:sz w:val="20"/>
        </w:rPr>
        <w:t xml:space="preserve">. That single condition is reachable two ways: shrinking the transaction below ~3 beats (knob 1, §3.0) </w:t>
      </w:r>
      <w:r>
        <w:rPr>
          <w:b/>
          <w:bCs/>
          <w:sz w:val="20"/>
        </w:rPr>
        <w:t>or</w:t>
      </w:r>
      <w:r>
        <w:rPr>
          <w:sz w:val="20"/>
        </w:rPr>
        <w:t xml:space="preserve"> raising the latency above the 128-beat window (knob 5, §4). Everywhere else — every real transaction size, descriptor count, and channel count, up to the BDP — the datapath is a flat </w:t>
      </w:r>
      <w:r>
        <w:rPr>
          <w:b/>
          <w:bCs/>
          <w:sz w:val="20"/>
        </w:rPr>
        <w:t>100 %</w:t>
      </w:r>
      <w:r>
        <w:rPr>
          <w:sz w:val="20"/>
        </w:rPr>
        <w:t>; knobs 2–4 only change end-to-end framing (Addendum A).</w:t>
      </w:r>
    </w:p>
    <w:p>
      <w:pPr>
        <w:pStyle w:val="BlockText"/>
        <w:rPr/>
      </w:pPr>
      <w:r>
        <w:rPr/>
        <w:t xml:space="preserve">The nominal individual transaction is </w:t>
      </w:r>
      <w:r>
        <w:rPr>
          <w:b/>
          <w:bCs/>
        </w:rPr>
        <w:t>256 B / 512 B / 1024 B</w:t>
      </w:r>
      <w:r>
        <w:rPr/>
        <w:t xml:space="preserve"> (16 / 32 / 64 beats); 1024 B is the spec maximum. Knob 5 models the backing memory: at delay 0 the engine runs at the full AXI ceiling; the cliff begins once latency exceeds the per-channel in-flight window (channels widen that window, §4.2).</w:t>
      </w:r>
    </w:p>
    <w:p>
      <w:pPr>
        <w:pStyle w:val="Normal"/>
        <w:rPr/>
      </w:pPr>
      <w:bookmarkStart w:id="8" w:name="characterization-knob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2909_3043144986"/>
      <w:bookmarkStart w:id="10" w:name="headline"/>
      <w:bookmarkEnd w:id="9"/>
      <w:r>
        <w:rPr>
          <w:b/>
          <w:color w:val="228B22"/>
          <w:sz w:val="28"/>
        </w:rPr>
        <w:t>1. Headline</w:t>
      </w:r>
    </w:p>
    <w:p>
      <w:pPr>
        <w:pStyle w:val="FirstParagraph"/>
        <w:rPr/>
      </w:pPr>
      <w:r>
        <w:rPr>
          <w:sz w:val="20"/>
        </w:rPr>
        <w:t xml:space="preserve">Across the full </w:t>
      </w:r>
      <w:r>
        <w:rPr>
          <w:b/>
          <w:bCs/>
          <w:sz w:val="20"/>
        </w:rPr>
        <w:t>40-config matrix</w:t>
      </w:r>
      <w:r>
        <w:rPr>
          <w:sz w:val="20"/>
        </w:rPr>
        <w:t xml:space="preserve"> (descriptors ∈ {1,2,4,8,16} × channels ∈ {1..8}, 1 MB/descriptor, 256 B transactions), every configuration passes CRC and reads </w:t>
      </w:r>
      <w:r>
        <w:rPr>
          <w:b/>
          <w:bCs/>
          <w:sz w:val="20"/>
        </w:rPr>
        <w:t>100.0 % datapath utilization</w:t>
      </w:r>
      <w:r>
        <w:rPr>
          <w:sz w:val="20"/>
        </w:rPr>
        <w:t xml:space="preserve"> — R = 99.99–100.00 %, W = 99.94–100.00 % — at </w:t>
      </w:r>
      <w:r>
        <w:rPr>
          <w:b/>
          <w:bCs/>
          <w:sz w:val="20"/>
        </w:rPr>
        <w:t>~1525 MB/s</w:t>
      </w:r>
      <w:r>
        <w:rPr>
          <w:sz w:val="20"/>
        </w:rPr>
        <w:t xml:space="preserve"> bus throughput (the full one-direction AXI ceiling). </w:t>
      </w:r>
      <w:r>
        <w:rPr>
          <w:rStyle w:val="VerbatimChar"/>
          <w:sz w:val="20"/>
        </w:rPr>
        <w:t>backpressure = 0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starvation = 0</w:t>
      </w:r>
      <w:r>
        <w:rPr>
          <w:sz w:val="20"/>
        </w:rPr>
        <w:t>: the datapath is bubble-free.</w:t>
      </w:r>
    </w:p>
    <w:p>
      <w:pPr>
        <w:pStyle w:val="BodyText"/>
        <w:rPr/>
      </w:pPr>
      <w:r>
        <w:rPr>
          <w:sz w:val="20"/>
        </w:rPr>
        <w:t xml:space="preserve">The prior report’s ~94% was </w:t>
      </w:r>
      <w:r>
        <w:rPr>
          <w:b/>
          <w:bCs/>
          <w:sz w:val="20"/>
        </w:rPr>
        <w:t>not</w:t>
      </w:r>
      <w:r>
        <w:rPr>
          <w:sz w:val="20"/>
        </w:rPr>
        <w:t xml:space="preserve"> a STREAM limitation — it was the characterization-harness slave artifact (a 1-cycle per-burst gap) plus measurement-window framing (the one-time fill/drain counted as starvation), both fixed (see Bitstream note). FST analysis proves the steady-state datapath is 100% gapless.</w:t>
      </w:r>
    </w:p>
    <w:p>
      <w:pPr>
        <w:pStyle w:val="BodyText"/>
        <w:rPr/>
      </w:pPr>
      <w:r>
        <w:rPr>
          <w:sz w:val="20"/>
        </w:rPr>
        <w:t xml:space="preserve">By knob (see </w:t>
      </w:r>
      <w:r>
        <w:rPr>
          <w:i/>
          <w:iCs/>
          <w:sz w:val="20"/>
        </w:rPr>
        <w:t>Characterization knobs</w:t>
      </w:r>
      <w:r>
        <w:rPr>
          <w:sz w:val="20"/>
        </w:rPr>
        <w:t xml:space="preserve"> above):</w:t>
      </w:r>
    </w:p>
    <w:p>
      <w:pPr>
        <w:pStyle w:val="TableCaption"/>
        <w:rPr/>
      </w:pPr>
      <w:bookmarkStart w:id="11" w:name="_Tab_2_Headline___datapath_"/>
      <w:r>
        <w:rPr/>
        <w:t>Headline — datapath utilization by knob</w:t>
      </w:r>
      <w:bookmarkEnd w:id="1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knob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sweep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datapath utilization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transaction size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KB → 1-beat burst (§3.0)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100 %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1 KB down to 64 B; falls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only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 1–2 beat bursts (sub-BDP)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transactions / descriptor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KB → 1 MB descriptor (§3.3)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flat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100 %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(end-to-end amortizes 91.6→99.9 %, Addendum A)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descriptors / channel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→ 16 desc (§3.1)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flat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100 %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descriptor fetch overlaps the data engines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channels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→ 8 ch (§3.2)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flat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100 %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shared slave caps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bandwidth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not utilization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memory latency (response delay)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→ 512 cyc (§4)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to the 128-cyc BDP per channel, then a Little’s-Law cliff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Architectural takeaway:</w:t>
      </w:r>
      <w:r>
        <w:rPr>
          <w:sz w:val="20"/>
        </w:rPr>
        <w:t xml:space="preserve"> the datapath bubbles in exactly one regime — when the in-flight window cannot cover the memory round trip, </w:t>
      </w:r>
      <w:r>
        <w:rPr>
          <w:rStyle w:val="VerbatimChar"/>
          <w:sz w:val="20"/>
        </w:rPr>
        <w:t>outstanding × beats &lt; response delay</w:t>
      </w:r>
      <w:r>
        <w:rPr>
          <w:sz w:val="20"/>
        </w:rPr>
        <w:t xml:space="preserve">. That is reachable two ways: shrinking the transaction below ~3 beats (knob 1, §3.0) </w:t>
      </w:r>
      <w:r>
        <w:rPr>
          <w:b/>
          <w:bCs/>
          <w:sz w:val="20"/>
        </w:rPr>
        <w:t>or</w:t>
      </w:r>
      <w:r>
        <w:rPr>
          <w:sz w:val="20"/>
        </w:rPr>
        <w:t xml:space="preserve"> raising memory latency above the 128-beat window (knob 5, §4) — the same bandwidth-delay-product limit from opposite directions. Across the entire real operating range — 1 KB transactions down to 64 B, at memory latency within the 128-cycle window — the engine holds the bus at 100%. Beyond the BDP throughput follows Little’s Law (</w:t>
      </w:r>
      <w:r>
        <w:rPr>
          <w:rStyle w:val="VerbatimChar"/>
          <w:sz w:val="20"/>
        </w:rPr>
        <w:t>AR_MAX_OUTSTANDING × burst_len</w:t>
      </w:r>
      <w:r>
        <w:rPr>
          <w:sz w:val="20"/>
        </w:rPr>
        <w:t xml:space="preserve"> beats in flight per channel), and added channels push the latency knee out, saturating past ~4 channels at the shared backing memory.</w:t>
      </w:r>
    </w:p>
    <w:p>
      <w:pPr>
        <w:pStyle w:val="Normal"/>
        <w:rPr/>
      </w:pPr>
      <w:bookmarkStart w:id="12" w:name="headl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2911_3043144986"/>
      <w:bookmarkStart w:id="14" w:name="how-it-is-measured-the-observation-hooks"/>
      <w:bookmarkEnd w:id="13"/>
      <w:r>
        <w:rPr>
          <w:b/>
          <w:color w:val="228B22"/>
          <w:sz w:val="28"/>
        </w:rPr>
        <w:t>2. How it is measured (the observation hooks)</w:t>
      </w:r>
    </w:p>
    <w:p>
      <w:pPr>
        <w:pStyle w:val="FirstParagraph"/>
        <w:rPr/>
      </w:pPr>
      <w:r>
        <w:rPr>
          <w:sz w:val="20"/>
        </w:rPr>
        <w:t xml:space="preserve">The harness instruments the DMA’s read/write AXI without perturbing it (the same logic now packaged standalone as </w:t>
      </w:r>
      <w:r>
        <w:rPr>
          <w:rStyle w:val="VerbatimChar"/>
          <w:sz w:val="20"/>
        </w:rPr>
        <w:t>axi4_dma_observer</w:t>
      </w:r>
      <w:r>
        <w:rPr>
          <w:sz w:val="20"/>
        </w:rPr>
        <w:t xml:space="preserve"> — see </w:t>
      </w:r>
      <w:r>
        <w:rPr>
          <w:rStyle w:val="VerbatimChar"/>
          <w:sz w:val="20"/>
        </w:rPr>
        <w:t>../../docs/dma_observer_integration_tracker.md</w:t>
      </w:r>
      <w:r>
        <w:rPr>
          <w:sz w:val="20"/>
        </w:rPr>
        <w:t>):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axi_bus_meter</w:t>
      </w:r>
      <w:r>
        <w:rPr>
          <w:b/>
          <w:bCs/>
        </w:rPr>
        <w:t xml:space="preserve"> × 2</w:t>
      </w:r>
      <w:r>
        <w:rPr/>
        <w:t xml:space="preserve"> (read R-channel, write W-channel): pure </w:t>
      </w:r>
      <w:r>
        <w:rPr>
          <w:rStyle w:val="VerbatimChar"/>
        </w:rPr>
        <w:t>valid</w:t>
      </w:r>
      <w:r>
        <w:rPr/>
        <w:t>/</w:t>
      </w:r>
      <w:r>
        <w:rPr>
          <w:rStyle w:val="VerbatimChar"/>
        </w:rPr>
        <w:t>ready</w:t>
      </w:r>
      <w:r>
        <w:rPr/>
        <w:t xml:space="preserve"> snoop, classifies every cycle as productive / backpressure / starvation / idle. CSR counters, no SRAM — unbounded run length. Source of the datapath-utilization numbers.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Harness timer</w:t>
      </w:r>
      <w:r>
        <w:rPr/>
        <w:t xml:space="preserve">: counts aclk from descriptor kick to write-side </w:t>
      </w:r>
      <w:r>
        <w:rPr>
          <w:rStyle w:val="VerbatimChar"/>
        </w:rPr>
        <w:t>done</w:t>
      </w:r>
      <w:r>
        <w:rPr/>
        <w:t xml:space="preserve"> (</w:t>
      </w:r>
      <w:r>
        <w:rPr>
          <w:rStyle w:val="VerbatimChar"/>
        </w:rPr>
        <w:t>cycles_total</w:t>
      </w:r>
      <w:r>
        <w:rPr/>
        <w:t xml:space="preserve">). Bus meters freeze at the same </w:t>
      </w:r>
      <w:r>
        <w:rPr>
          <w:rStyle w:val="VerbatimChar"/>
        </w:rPr>
        <w:t>done</w:t>
      </w:r>
      <w:r>
        <w:rPr/>
        <w:t>, so the bucket sums equal the timer window exactly.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axi4_dma_slaves</w:t>
      </w:r>
      <w:r>
        <w:rPr/>
        <w:t>: LFSR read-source + CRC write-sink — the endpoints the DMA reads/writes, giving per-channel data-correctness CRC.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axi_response_delay</w:t>
      </w:r>
      <w:r>
        <w:rPr>
          <w:b/>
          <w:bCs/>
        </w:rPr>
        <w:t xml:space="preserve"> × 2</w:t>
      </w:r>
      <w:r>
        <w:rPr/>
        <w:t>: pipelined per-beat R/B hold, the knob for the memory-latency axis.</w:t>
      </w:r>
    </w:p>
    <w:p>
      <w:pPr>
        <w:pStyle w:val="Normal"/>
        <w:rPr/>
      </w:pPr>
      <w:bookmarkStart w:id="15" w:name="how-it-is-measured-the-observation-hoo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2913_3043144986"/>
      <w:bookmarkStart w:id="17" w:name="single-axis-sweeps"/>
      <w:bookmarkEnd w:id="16"/>
      <w:r>
        <w:rPr>
          <w:b/>
          <w:color w:val="228B22"/>
          <w:sz w:val="28"/>
        </w:rPr>
        <w:t>3. Single-axis sweeps</w:t>
      </w:r>
    </w:p>
    <w:p>
      <w:pPr>
        <w:pStyle w:val="Heading3"/>
        <w:spacing w:before="200" w:after="80"/>
        <w:rPr/>
      </w:pPr>
      <w:bookmarkStart w:id="18" w:name="__RefHeading___Toc2915_3043144986"/>
      <w:bookmarkStart w:id="19" w:name="X280fa11123845f9c45e985b89f940d531a52a3f"/>
      <w:bookmarkEnd w:id="18"/>
      <w:r>
        <w:rPr>
          <w:b/>
          <w:color w:val="404040"/>
          <w:sz w:val="24"/>
        </w:rPr>
        <w:t>3.0 Knob 1 — transaction (burst) size · 1 ch, 1 MB, fixed outstanding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0" name="Picture" descr="burst size ut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burst size util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burst size util</w:t>
      </w:r>
    </w:p>
    <w:p>
      <w:pPr>
        <w:pStyle w:val="TableCaption"/>
        <w:rPr/>
      </w:pPr>
      <w:bookmarkStart w:id="20" w:name="_Tab_3_Knob_1___datapath_ut"/>
      <w:r>
        <w:rPr/>
        <w:t>Knob 1 — datapath utilization vs transaction (burst) size</w:t>
      </w:r>
      <w:bookmarkEnd w:id="2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bytes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 datapath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 datapath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starvation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beats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KB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66.9 %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66.7 %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33.5 %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33.3 %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individual AXI transaction is sized by </w:t>
      </w:r>
      <w:r>
        <w:rPr>
          <w:rStyle w:val="VerbatimChar"/>
          <w:sz w:val="20"/>
        </w:rPr>
        <w:t>cfg_axi_rd_xfer_beats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cfg_axi_wr_xfer_beats</w:t>
      </w:r>
      <w:r>
        <w:rPr>
          <w:sz w:val="20"/>
        </w:rPr>
        <w:t xml:space="preserve">. With a fixed outstanding depth the datapath is a flat </w:t>
      </w:r>
      <w:r>
        <w:rPr>
          <w:b/>
          <w:bCs/>
          <w:sz w:val="20"/>
        </w:rPr>
        <w:t>100 % — zero bubbles — from the 1 KB spec maximum down to 64 B</w:t>
      </w:r>
      <w:r>
        <w:rPr>
          <w:sz w:val="20"/>
        </w:rPr>
        <w:t xml:space="preserve"> (4 beats). It falls only when </w:t>
      </w:r>
      <w:r>
        <w:rPr>
          <w:rStyle w:val="VerbatimChar"/>
          <w:sz w:val="20"/>
        </w:rPr>
        <w:t>outstanding × beats</w:t>
      </w:r>
      <w:r>
        <w:rPr>
          <w:sz w:val="20"/>
        </w:rPr>
        <w:t xml:space="preserve"> drops below the </w:t>
      </w:r>
      <w:r>
        <w:rPr>
          <w:rStyle w:val="VerbatimChar"/>
          <w:sz w:val="20"/>
        </w:rPr>
        <w:t>AR→first-R</w:t>
      </w:r>
      <w:r>
        <w:rPr>
          <w:sz w:val="20"/>
        </w:rPr>
        <w:t xml:space="preserve"> fill (the bandwidth-delay product, ~3 beats here): a 2-beat burst sustains 67 %, a single beat 33 %, because the pipeline cannot stay full on bursts that small. </w:t>
      </w:r>
      <w:r>
        <w:rPr>
          <w:b/>
          <w:bCs/>
          <w:sz w:val="20"/>
        </w:rPr>
        <w:t>This is the only place the datapath bubbles, and it is below any realistic transaction size.</w:t>
      </w:r>
      <w:bookmarkEnd w:id="19"/>
    </w:p>
    <w:p>
      <w:pPr>
        <w:pStyle w:val="Heading3"/>
        <w:spacing w:before="200" w:after="80"/>
        <w:rPr/>
      </w:pPr>
      <w:bookmarkStart w:id="21" w:name="__RefHeading___Toc2917_3043144986"/>
      <w:bookmarkStart w:id="22" w:name="X857d9fbed52399a043a5892a5987f03f58628f3"/>
      <w:bookmarkEnd w:id="21"/>
      <w:r>
        <w:rPr>
          <w:b/>
          <w:color w:val="404040"/>
          <w:sz w:val="24"/>
        </w:rPr>
        <w:t>3.1 Knob 3 — descriptors per channel (1 ch, 1→16 desc, 1 MB each, delay 0)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067050"/>
            <wp:effectExtent l="0" t="0" r="0" b="0"/>
            <wp:docPr id="11" name="Image2" descr="desc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desc sweep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desc sweep</w:t>
      </w:r>
    </w:p>
    <w:p>
      <w:pPr>
        <w:pStyle w:val="TableCaption"/>
        <w:rPr/>
      </w:pPr>
      <w:bookmarkStart w:id="23" w:name="_Tab_4_Knob_3___datapath_ut"/>
      <w:r>
        <w:rPr/>
        <w:t>Knob 3 — datapath utilization vs descriptors per channel</w:t>
      </w:r>
      <w:bookmarkEnd w:id="2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moved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bus MB/s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datapath util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Flat at 100 %. The descriptor engine fetches the next descriptor </w:t>
      </w:r>
      <w:r>
        <w:rPr>
          <w:i/>
          <w:iCs/>
          <w:sz w:val="20"/>
        </w:rPr>
        <w:t>concurrently</w:t>
      </w:r>
      <w:r>
        <w:rPr>
          <w:sz w:val="20"/>
        </w:rPr>
        <w:t xml:space="preserve"> with the data engines draining the current one (separate desc master), so there is no inter-descriptor bubble — chain length is free.</w:t>
      </w:r>
      <w:bookmarkEnd w:id="22"/>
    </w:p>
    <w:p>
      <w:pPr>
        <w:pStyle w:val="Heading3"/>
        <w:spacing w:before="200" w:after="80"/>
        <w:rPr/>
      </w:pPr>
      <w:bookmarkStart w:id="24" w:name="__RefHeading___Toc2919_3043144986"/>
      <w:bookmarkStart w:id="25" w:name="X7c8130238e9e1d6077158a336cc61850f243d87"/>
      <w:bookmarkEnd w:id="24"/>
      <w:r>
        <w:rPr>
          <w:b/>
          <w:color w:val="404040"/>
          <w:sz w:val="24"/>
        </w:rPr>
        <w:t>3.2 Knob 4 — channels (1 desc each, 1→8 ch, 1 MB/ch, delay 0)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067050"/>
            <wp:effectExtent l="0" t="0" r="0" b="0"/>
            <wp:docPr id="12" name="Image3" descr="channel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channel swee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 sweep</w:t>
      </w:r>
    </w:p>
    <w:p>
      <w:pPr>
        <w:pStyle w:val="TableCaption"/>
        <w:rPr/>
      </w:pPr>
      <w:bookmarkStart w:id="26" w:name="_Tab_5_Knob_4___datapath_ut"/>
      <w:r>
        <w:rPr/>
        <w:t>Knob 4 — datapath utilization vs channels</w:t>
      </w:r>
      <w:bookmarkEnd w:id="2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moved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bus MB/s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datapath util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starvation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All channel counts hold 100 % datapath at the same ~1525 MB/s. </w:t>
      </w:r>
      <w:r>
        <w:rPr>
          <w:b/>
          <w:bCs/>
          <w:sz w:val="20"/>
        </w:rPr>
        <w:t>The shared read-source / write-sink is the bandwidth ceiling</w:t>
      </w:r>
      <w:r>
        <w:rPr>
          <w:sz w:val="20"/>
        </w:rPr>
        <w:t xml:space="preserve"> — adding channels splits that bandwidth across more streams rather than scaling it. Arbitration overhead 1→8 channels is </w:t>
      </w:r>
      <w:r>
        <w:rPr>
          <w:b/>
          <w:bCs/>
          <w:sz w:val="20"/>
        </w:rPr>
        <w:t>zero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starvation = 0</w:t>
      </w:r>
      <w:r>
        <w:rPr>
          <w:sz w:val="20"/>
        </w:rPr>
        <w:t xml:space="preserve"> — the combinational, bubble-free channel arbiter). Channels buy </w:t>
      </w:r>
      <w:r>
        <w:rPr>
          <w:i/>
          <w:iCs/>
          <w:sz w:val="20"/>
        </w:rPr>
        <w:t>latency tolerance</w:t>
      </w:r>
      <w:r>
        <w:rPr>
          <w:sz w:val="20"/>
        </w:rPr>
        <w:t>, not raw bandwidth (§5).</w:t>
      </w:r>
      <w:bookmarkEnd w:id="25"/>
    </w:p>
    <w:p>
      <w:pPr>
        <w:pStyle w:val="Heading3"/>
        <w:spacing w:before="200" w:after="80"/>
        <w:rPr/>
      </w:pPr>
      <w:bookmarkStart w:id="27" w:name="__RefHeading___Toc2921_3043144986"/>
      <w:bookmarkStart w:id="28" w:name="X55b804944995b71d41e555e5b39c910c22b4987"/>
      <w:bookmarkEnd w:id="27"/>
      <w:r>
        <w:rPr>
          <w:b/>
          <w:color w:val="404040"/>
          <w:sz w:val="24"/>
        </w:rPr>
        <w:t>3.3 Knob 2 — transactions per descriptor (transfer size, 1 ch, 1 desc, 8 KB→1 MB, delay 0)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067050"/>
            <wp:effectExtent l="0" t="0" r="0" b="0"/>
            <wp:docPr id="13" name="Image4" descr="size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 descr="size swee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size sweep</w:t>
      </w:r>
    </w:p>
    <w:p>
      <w:pPr>
        <w:pStyle w:val="TableCaption"/>
        <w:rPr/>
      </w:pPr>
      <w:bookmarkStart w:id="29" w:name="_Tab_6_Knob_2___datapath_ut"/>
      <w:r>
        <w:rPr/>
        <w:t>Knob 2 — datapath utilization vs descriptor size (transactions per descriptor)</w:t>
      </w:r>
      <w:bookmarkEnd w:id="2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 size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256 B transactions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bus MB/s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datapath util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1398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1459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1492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1509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1517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descriptor is issued as 32 → 4096 fixed </w:t>
      </w:r>
      <w:r>
        <w:rPr>
          <w:b/>
          <w:bCs/>
          <w:sz w:val="20"/>
        </w:rPr>
        <w:t>256 B transactions</w:t>
      </w:r>
      <w:r>
        <w:rPr>
          <w:sz w:val="20"/>
        </w:rPr>
        <w:t xml:space="preserve">. Datapath utilization is </w:t>
      </w:r>
      <w:r>
        <w:rPr>
          <w:b/>
          <w:bCs/>
          <w:sz w:val="20"/>
        </w:rPr>
        <w:t>100 %</w:t>
      </w:r>
      <w:r>
        <w:rPr>
          <w:sz w:val="20"/>
        </w:rPr>
        <w:t xml:space="preserve"> — the bus is gapless across every burst boundary (including the 4 KB AXI boundaries a &gt;4 KB descriptor must split on); the fractional dip at 8–32 KB is the gated window’s fixed ~2-cycle edge over a still-modest beat count, </w:t>
      </w:r>
      <w:r>
        <w:rPr>
          <w:b/>
          <w:bCs/>
          <w:sz w:val="20"/>
        </w:rPr>
        <w:t>not</w:t>
      </w:r>
      <w:r>
        <w:rPr>
          <w:sz w:val="20"/>
        </w:rPr>
        <w:t xml:space="preserve"> bubbles. The </w:t>
      </w:r>
      <w:r>
        <w:rPr>
          <w:i/>
          <w:iCs/>
          <w:sz w:val="20"/>
        </w:rPr>
        <w:t>end-to-end</w:t>
      </w:r>
      <w:r>
        <w:rPr>
          <w:sz w:val="20"/>
        </w:rPr>
        <w:t xml:space="preserve"> number climbs 91.6 → 99.9 % across this range as the one-time fill/drain amortizes — a framing effect, reported in </w:t>
      </w:r>
      <w:r>
        <w:rPr>
          <w:b/>
          <w:bCs/>
          <w:sz w:val="20"/>
        </w:rPr>
        <w:t>Addendum A</w:t>
      </w:r>
      <w:r>
        <w:rPr>
          <w:sz w:val="20"/>
        </w:rPr>
        <w:t>.</w:t>
      </w:r>
    </w:p>
    <w:p>
      <w:pPr>
        <w:pStyle w:val="Normal"/>
        <w:rPr/>
      </w:pPr>
      <w:bookmarkStart w:id="30" w:name="single-axis-sweeps"/>
      <w:bookmarkStart w:id="31" w:name="X55b804944995b71d41e555e5b39c910c22b498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  <w:bookmarkEnd w:id="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" w:name="__RefHeading___Toc2923_3043144986"/>
      <w:bookmarkStart w:id="33" w:name="d-surfaces"/>
      <w:bookmarkEnd w:id="32"/>
      <w:r>
        <w:rPr>
          <w:b/>
          <w:color w:val="228B22"/>
          <w:sz w:val="28"/>
        </w:rPr>
        <w:t>4. 2-D surfaces</w:t>
      </w:r>
    </w:p>
    <w:p>
      <w:pPr>
        <w:pStyle w:val="Heading3"/>
        <w:spacing w:before="200" w:after="80"/>
        <w:rPr/>
      </w:pPr>
      <w:bookmarkStart w:id="34" w:name="__RefHeading___Toc2925_3043144986"/>
      <w:bookmarkStart w:id="35" w:name="X83fc7c3a34c2f05142af5d4eb98ff1706f9fc26"/>
      <w:bookmarkEnd w:id="34"/>
      <w:r>
        <w:rPr>
          <w:b/>
          <w:color w:val="404040"/>
          <w:sz w:val="24"/>
        </w:rPr>
        <w:t>4.1 Channels × descriptors (1 MB, delay 0) — the operating envelope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292475"/>
            <wp:effectExtent l="0" t="0" r="0" b="0"/>
            <wp:docPr id="16" name="Image5" descr="channels x desc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" descr="channels x desc heatma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desc heatmap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1505"/>
            <wp:effectExtent l="0" t="0" r="0" b="0"/>
            <wp:docPr id="17" name="Image6" descr="channels x desc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6" descr="channels x desc line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desc lines</w:t>
      </w:r>
    </w:p>
    <w:p>
      <w:pPr>
        <w:pStyle w:val="BodyText"/>
        <w:rPr/>
      </w:pPr>
      <w:r>
        <w:rPr>
          <w:sz w:val="20"/>
        </w:rPr>
        <w:t xml:space="preserve">The entire envelope is flat at </w:t>
      </w:r>
      <w:r>
        <w:rPr>
          <w:b/>
          <w:bCs/>
          <w:sz w:val="20"/>
        </w:rPr>
        <w:t>100 % datapath</w:t>
      </w:r>
      <w:r>
        <w:rPr>
          <w:sz w:val="20"/>
        </w:rPr>
        <w:t>. Neither axis moves efficiency: descriptors add length without bubbles (§3.1), channels share one slave (§3.2). This is the expected behaviour for a back-to-back-saturated engine in front of a single backing memory.</w:t>
      </w:r>
      <w:bookmarkEnd w:id="35"/>
    </w:p>
    <w:p>
      <w:pPr>
        <w:pStyle w:val="Heading3"/>
        <w:spacing w:before="200" w:after="80"/>
        <w:rPr/>
      </w:pPr>
      <w:bookmarkStart w:id="36" w:name="__RefHeading___Toc2927_3043144986"/>
      <w:bookmarkStart w:id="37" w:name="channels-memory-latency-the-key-result"/>
      <w:bookmarkEnd w:id="36"/>
      <w:r>
        <w:rPr>
          <w:b/>
          <w:color w:val="404040"/>
          <w:sz w:val="24"/>
        </w:rPr>
        <w:t xml:space="preserve">4.2 Channels × memory latency — </w:t>
      </w:r>
      <w:r>
        <w:rPr>
          <w:b/>
          <w:i/>
          <w:iCs/>
          <w:color w:val="404040"/>
          <w:sz w:val="24"/>
        </w:rPr>
        <w:t>the key result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400425"/>
            <wp:effectExtent l="0" t="0" r="0" b="0"/>
            <wp:docPr id="18" name="Image7" descr="channels x delay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" descr="channels x delay heatmap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delay heatmap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1185"/>
            <wp:effectExtent l="0" t="0" r="0" b="0"/>
            <wp:docPr id="19" name="Image8" descr="channels x delay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8" descr="channels x delay lines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delay lines</w:t>
      </w:r>
    </w:p>
    <w:p>
      <w:pPr>
        <w:pStyle w:val="BodyText"/>
        <w:rPr/>
      </w:pPr>
      <w:r>
        <w:rPr>
          <w:sz w:val="20"/>
        </w:rPr>
        <w:t xml:space="preserve">At delay 0 every channel count peaks at the full </w:t>
      </w:r>
      <w:r>
        <w:rPr>
          <w:b/>
          <w:bCs/>
          <w:sz w:val="20"/>
        </w:rPr>
        <w:t>~1525 MB/s</w:t>
      </w:r>
      <w:r>
        <w:rPr>
          <w:sz w:val="20"/>
        </w:rPr>
        <w:t>. Bus throughput holds flat until the memory round-trip latency exceeds the engine’s in-flight window (</w:t>
      </w:r>
      <w:r>
        <w:rPr>
          <w:b/>
          <w:bCs/>
          <w:sz w:val="20"/>
        </w:rPr>
        <w:t>128 cycles</w:t>
      </w:r>
      <w:r>
        <w:rPr>
          <w:sz w:val="20"/>
        </w:rPr>
        <w:t xml:space="preserve"> for 1 channel = </w:t>
      </w:r>
      <w:r>
        <w:rPr>
          <w:rStyle w:val="VerbatimChar"/>
          <w:sz w:val="20"/>
        </w:rPr>
        <w:t>AR_MAX_OUTSTANDING × burst_len</w:t>
      </w:r>
      <w:r>
        <w:rPr>
          <w:sz w:val="20"/>
        </w:rPr>
        <w:t xml:space="preserve"> beats), then cliffs linearly per Little’s Law (</w:t>
      </w:r>
      <w:r>
        <w:rPr>
          <w:rStyle w:val="VerbatimChar"/>
          <w:sz w:val="20"/>
        </w:rPr>
        <w:t>BW ≈ window / L × peak</w:t>
      </w:r>
      <w:r>
        <w:rPr>
          <w:sz w:val="20"/>
        </w:rPr>
        <w:t xml:space="preserve">). Each added channel contributes its own outstanding queue, pushing the knee out — 2 ch hold to ~256 cyc, 4 ch to ~512 — but </w:t>
      </w:r>
      <w:r>
        <w:rPr>
          <w:b/>
          <w:bCs/>
          <w:sz w:val="20"/>
        </w:rPr>
        <w:t>8 ch ≈ 4 ch</w:t>
      </w:r>
      <w:r>
        <w:rPr>
          <w:sz w:val="20"/>
        </w:rPr>
        <w:t>: past ~4 channels the shared read-source / write-sink caps the aggregate in-flight window, so more channels stop buying latency tolerance. (Exact per-point throughput is in the line plot above.)</w:t>
      </w:r>
      <w:bookmarkEnd w:id="37"/>
    </w:p>
    <w:p>
      <w:pPr>
        <w:pStyle w:val="Heading3"/>
        <w:spacing w:before="200" w:after="80"/>
        <w:rPr/>
      </w:pPr>
      <w:bookmarkStart w:id="38" w:name="__RefHeading___Toc2929_3043144986"/>
      <w:bookmarkStart w:id="39" w:name="descriptors-memory-latency-1-ch"/>
      <w:bookmarkEnd w:id="38"/>
      <w:r>
        <w:rPr>
          <w:b/>
          <w:color w:val="404040"/>
          <w:sz w:val="24"/>
        </w:rPr>
        <w:t>4.3 Descriptors × memory latency (1 ch)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96615"/>
            <wp:effectExtent l="0" t="0" r="0" b="0"/>
            <wp:docPr id="20" name="Image9" descr="desc x delay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" descr="desc x delay heatmap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desc x delay heatmap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1185"/>
            <wp:effectExtent l="0" t="0" r="0" b="0"/>
            <wp:docPr id="21" name="Image10" descr="desc x delay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" descr="desc x delay line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desc x delay lines</w:t>
      </w:r>
    </w:p>
    <w:p>
      <w:pPr>
        <w:pStyle w:val="BodyText"/>
        <w:rPr/>
      </w:pPr>
      <w:r>
        <w:rPr>
          <w:sz w:val="20"/>
        </w:rPr>
        <w:t xml:space="preserve">Every descriptor-count curve </w:t>
      </w:r>
      <w:r>
        <w:rPr>
          <w:b/>
          <w:bCs/>
          <w:sz w:val="20"/>
        </w:rPr>
        <w:t>overlaps exactly</w:t>
      </w:r>
      <w:r>
        <w:rPr>
          <w:sz w:val="20"/>
        </w:rPr>
        <w:t xml:space="preserve"> and cliffs at the same 128-cycle knee. Descriptors are sequential within a channel, so they share the single channel’s 128-beat in-flight window — they add transfer </w:t>
      </w:r>
      <w:r>
        <w:rPr>
          <w:i/>
          <w:iCs/>
          <w:sz w:val="20"/>
        </w:rPr>
        <w:t>length</w:t>
      </w:r>
      <w:r>
        <w:rPr>
          <w:sz w:val="20"/>
        </w:rPr>
        <w:t xml:space="preserve">, never latency </w:t>
      </w:r>
      <w:r>
        <w:rPr>
          <w:i/>
          <w:iCs/>
          <w:sz w:val="20"/>
        </w:rPr>
        <w:t>tolerance</w:t>
      </w:r>
      <w:r>
        <w:rPr>
          <w:sz w:val="20"/>
        </w:rPr>
        <w:t xml:space="preserve">. This is the clean complement to §4.2: </w:t>
      </w:r>
      <w:r>
        <w:rPr>
          <w:b/>
          <w:bCs/>
          <w:sz w:val="20"/>
        </w:rPr>
        <w:t>channels widen the latency window; descriptors do not.</w:t>
      </w:r>
      <w:bookmarkEnd w:id="39"/>
    </w:p>
    <w:p>
      <w:pPr>
        <w:pStyle w:val="Heading3"/>
        <w:spacing w:before="200" w:after="80"/>
        <w:rPr/>
      </w:pPr>
      <w:bookmarkStart w:id="40" w:name="__RefHeading___Toc2931_3043144986"/>
      <w:bookmarkStart w:id="41" w:name="X67219d7d859be246243f5d424d5a03955ba3a8c"/>
      <w:bookmarkEnd w:id="40"/>
      <w:r>
        <w:rPr>
          <w:b/>
          <w:color w:val="404040"/>
          <w:sz w:val="24"/>
        </w:rPr>
        <w:t>4.4 Where the cycles go — utilization pair + bus-cycle breakdown</w:t>
      </w:r>
    </w:p>
    <w:p>
      <w:pPr>
        <w:pStyle w:val="FirstParagraph"/>
        <w:rPr/>
      </w:pPr>
      <w:r>
        <w:rPr>
          <w:sz w:val="20"/>
        </w:rPr>
        <w:t>The methodology (</w:t>
      </w:r>
      <w:r>
        <w:rPr>
          <w:rStyle w:val="VerbatimChar"/>
          <w:sz w:val="20"/>
        </w:rPr>
        <w:t>DMA_UTILIZATION_MEASUREMENT.md</w:t>
      </w:r>
      <w:r>
        <w:rPr>
          <w:sz w:val="20"/>
        </w:rPr>
        <w:t xml:space="preserve"> §5) asks for a </w:t>
      </w:r>
      <w:r>
        <w:rPr>
          <w:i/>
          <w:iCs/>
          <w:sz w:val="20"/>
        </w:rPr>
        <w:t>pair</w:t>
      </w:r>
      <w:r>
        <w:rPr>
          <w:sz w:val="20"/>
        </w:rPr>
        <w:t xml:space="preserve"> of numbers — steady-state </w:t>
      </w:r>
      <w:r>
        <w:rPr>
          <w:b/>
          <w:bCs/>
          <w:sz w:val="20"/>
        </w:rPr>
        <w:t>datapath</w:t>
      </w:r>
      <w:r>
        <w:rPr>
          <w:sz w:val="20"/>
        </w:rPr>
        <w:t xml:space="preserve"> utilization (§2.1) and </w:t>
      </w:r>
      <w:r>
        <w:rPr>
          <w:b/>
          <w:bCs/>
          <w:sz w:val="20"/>
        </w:rPr>
        <w:t>end-to-end</w:t>
      </w:r>
      <w:r>
        <w:rPr>
          <w:sz w:val="20"/>
        </w:rPr>
        <w:t xml:space="preserve"> utilization (§2.3) — with the gap reported as overhead. On this SRAM↔SRAM engine with single-cycle descriptor turnaround the two track within the perf monitor’s resolution, so the overhead band is essentially zero: there is no descriptor- fetch bubble to amortize.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1185"/>
            <wp:effectExtent l="0" t="0" r="0" b="0"/>
            <wp:docPr id="22" name="Image11" descr="datapath vs end-to-end utilization vs lat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" descr="datapath vs end-to-end utilization vs latency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datapath vs end-to-end utilization vs latency</w:t>
      </w:r>
    </w:p>
    <w:p>
      <w:pPr>
        <w:pStyle w:val="BodyText"/>
        <w:rPr/>
      </w:pPr>
      <w:r>
        <w:rPr>
          <w:sz w:val="20"/>
        </w:rPr>
        <w:t xml:space="preserve">The §3 four-bucket classification on the write (destination) interface is the diagnostic payoff. As memory latency rises past the 128-cycle in-flight window, the lost cycles are </w:t>
      </w:r>
      <w:r>
        <w:rPr>
          <w:b/>
          <w:bCs/>
          <w:sz w:val="20"/>
        </w:rPr>
        <w:t xml:space="preserve">entirely </w:t>
      </w:r>
      <w:r>
        <w:rPr>
          <w:rStyle w:val="VerbatimChar"/>
          <w:b/>
          <w:bCs/>
          <w:sz w:val="20"/>
        </w:rPr>
        <w:t>starvation</w:t>
      </w:r>
      <w:r>
        <w:rPr>
          <w:sz w:val="20"/>
        </w:rPr>
        <w:t xml:space="preserve"> — the read side cannot feed the datapath fast enough — while </w:t>
      </w:r>
      <w:r>
        <w:rPr>
          <w:rStyle w:val="VerbatimChar"/>
          <w:b/>
          <w:bCs/>
          <w:sz w:val="20"/>
        </w:rPr>
        <w:t>backpressure</w:t>
      </w:r>
      <w:r>
        <w:rPr>
          <w:b/>
          <w:bCs/>
          <w:sz w:val="20"/>
        </w:rPr>
        <w:t xml:space="preserve"> stays pinned at 0%</w:t>
      </w:r>
      <w:r>
        <w:rPr>
          <w:sz w:val="20"/>
        </w:rPr>
        <w:t>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067050"/>
            <wp:effectExtent l="0" t="0" r="0" b="0"/>
            <wp:docPr id="23" name="Image12" descr="W-bus cycle breakdown vs lat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" descr="W-bus cycle breakdown vs latency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W-bus cycle breakdown vs latency</w:t>
      </w:r>
    </w:p>
    <w:p>
      <w:pPr>
        <w:pStyle w:val="TableCaption"/>
        <w:rPr/>
      </w:pPr>
      <w:bookmarkStart w:id="42" w:name="_Tab_7_Write_bus_cycle_brea"/>
      <w:r>
        <w:rPr/>
        <w:t>Write-bus cycle breakdown vs memory latency (knob 5)</w:t>
      </w:r>
      <w:bookmarkEnd w:id="4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delay (cyc)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productive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starvation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0–96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This is the engine’s signature: it is </w:t>
      </w:r>
      <w:r>
        <w:rPr>
          <w:b/>
          <w:bCs/>
          <w:sz w:val="20"/>
        </w:rPr>
        <w:t>never destination-bound</w:t>
      </w:r>
      <w:r>
        <w:rPr>
          <w:sz w:val="20"/>
        </w:rPr>
        <w:t xml:space="preserve"> (the SRAM sink always keeps up); the only thing that throttles it is read-latency starvation past the outstanding-transaction window — exactly the Little’s-Law behaviour of §5. At delay 0 starvation is now </w:t>
      </w:r>
      <w:r>
        <w:rPr>
          <w:b/>
          <w:bCs/>
          <w:sz w:val="20"/>
        </w:rPr>
        <w:t>0%</w:t>
      </w:r>
      <w:r>
        <w:rPr>
          <w:sz w:val="20"/>
        </w:rPr>
        <w:t xml:space="preserve"> — the harness slave fix removed the per-burst gap that the prior report attributed to “inter-burst arbitration,” so the datapath is fully bubble-free until latency exceeds the in-flight window.</w:t>
      </w:r>
    </w:p>
    <w:p>
      <w:pPr>
        <w:pStyle w:val="BodyText"/>
        <w:rPr/>
      </w:pPr>
      <w:r>
        <w:rPr>
          <w:b/>
          <w:bCs/>
          <w:sz w:val="20"/>
        </w:rPr>
        <w:t>Overhead vs transfer size (§5)</w:t>
      </w:r>
      <w:r>
        <w:rPr>
          <w:sz w:val="20"/>
        </w:rPr>
        <w:t xml:space="preserve"> — the one place a real datapath/end-to-end gap appears is small transfers, where a fixed ~90-cycle startup is a larger fraction of a short run; it amortizes away by ~256 KB: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24" name="Image13" descr="datapath vs end-to-end utilization vs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" descr="datapath vs end-to-end utilization vs siz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datapath vs end-to-end utilization vs size</w:t>
      </w:r>
    </w:p>
    <w:p>
      <w:pPr>
        <w:pStyle w:val="Normal"/>
        <w:rPr/>
      </w:pPr>
      <w:bookmarkStart w:id="43" w:name="d-surfaces"/>
      <w:bookmarkStart w:id="44" w:name="X67219d7d859be246243f5d424d5a03955ba3a8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  <w:bookmarkEnd w:id="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2933_3043144986"/>
      <w:bookmarkStart w:id="46" w:name="Xe2b3aeb18d748a6affe3c4f2fba660b2e8b1dc1"/>
      <w:bookmarkEnd w:id="45"/>
      <w:r>
        <w:rPr>
          <w:b/>
          <w:color w:val="228B22"/>
          <w:sz w:val="28"/>
        </w:rPr>
        <w:t>5. The architecture: Little’s Law on real silicon</w:t>
      </w:r>
    </w:p>
    <w:p>
      <w:pPr>
        <w:pStyle w:val="FirstParagraph"/>
        <w:rPr/>
      </w:pPr>
      <w:r>
        <w:rPr>
          <w:sz w:val="20"/>
        </w:rPr>
        <w:t>The cliff is the textbook signature of a multi-outstanding master in front of a pipelined memory: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Below the knee (L ≤ 128):</w:t>
      </w:r>
      <w:r>
        <w:rPr/>
        <w:t xml:space="preserve"> the in-flight window covers the round trip; the entire latency is paid once as a pipe-fill and the rest streams at line rate. Adding 64 cycles of per-beat latency costs &lt; 0.3 % of a 1 MB run.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At/above the knee (L ≥ 128):</w:t>
      </w:r>
      <w:r>
        <w:rPr/>
        <w:t xml:space="preserve"> Little’s Law governs — </w:t>
      </w:r>
      <w:r>
        <w:rPr>
          <w:rStyle w:val="VerbatimChar"/>
        </w:rPr>
        <w:t>BW ≈ (in_flight_beats / L) × peak</w:t>
      </w:r>
      <w:r>
        <w:rPr/>
        <w:t xml:space="preserve">, with </w:t>
      </w:r>
      <w:r>
        <w:rPr>
          <w:rStyle w:val="VerbatimChar"/>
        </w:rPr>
        <w:t>in_flight = 128</w:t>
      </w:r>
      <w:r>
        <w:rPr/>
        <w:t xml:space="preserve"> beats and </w:t>
      </w:r>
      <w:r>
        <w:rPr>
          <w:rStyle w:val="VerbatimChar"/>
        </w:rPr>
        <w:t>peak ≈ 1525 MB/s</w:t>
      </w:r>
      <w:r>
        <w:rPr/>
        <w:t xml:space="preserve">. The measured 1-channel cliff in §4.2 tracks </w:t>
      </w:r>
      <w:r>
        <w:rPr>
          <w:rStyle w:val="VerbatimChar"/>
        </w:rPr>
        <w:t>(128/L) ×   1525</w:t>
      </w:r>
      <w:r>
        <w:rPr/>
        <w:t xml:space="preserve"> to within a few percent at every delay point, the fit tightening as </w:t>
      </w:r>
      <w:r>
        <w:rPr>
          <w:rStyle w:val="VerbatimChar"/>
        </w:rPr>
        <w:t>L</w:t>
      </w:r>
      <w:r>
        <w:rPr/>
        <w:t xml:space="preserve"> grows.</w:t>
      </w:r>
    </w:p>
    <w:p>
      <w:pPr>
        <w:pStyle w:val="FirstParagraph"/>
        <w:rPr/>
      </w:pPr>
      <w:r>
        <w:rPr>
          <w:sz w:val="20"/>
        </w:rPr>
        <w:t xml:space="preserve">The window is </w:t>
      </w:r>
      <w:r>
        <w:rPr>
          <w:rStyle w:val="VerbatimChar"/>
          <w:sz w:val="20"/>
        </w:rPr>
        <w:t>AR_MAX_OUTSTANDING (8) × burst_len (16) = 128</w:t>
      </w:r>
      <w:r>
        <w:rPr>
          <w:sz w:val="20"/>
        </w:rPr>
        <w:t xml:space="preserve"> beats per channel; channels scale it linearly until the shared slave caps the aggregate (≈ 4 × in this harness). This is the same BDP that bounds the per-transaction sweep in §3.0 — a burst shorter than </w:t>
      </w:r>
      <w:r>
        <w:rPr>
          <w:rStyle w:val="VerbatimChar"/>
          <w:sz w:val="20"/>
        </w:rPr>
        <w:t>latency / outstanding</w:t>
      </w:r>
      <w:r>
        <w:rPr>
          <w:sz w:val="20"/>
        </w:rPr>
        <w:t xml:space="preserve"> cannot keep the window full.</w:t>
      </w:r>
    </w:p>
    <w:p>
      <w:pPr>
        <w:pStyle w:val="Normal"/>
        <w:rPr/>
      </w:pPr>
      <w:bookmarkStart w:id="47" w:name="Xe2b3aeb18d748a6affe3c4f2fba660b2e8b1dc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2935_3043144986"/>
      <w:bookmarkStart w:id="49" w:name="what-we-learned"/>
      <w:bookmarkEnd w:id="48"/>
      <w:r>
        <w:rPr>
          <w:b/>
          <w:color w:val="228B22"/>
          <w:sz w:val="28"/>
        </w:rPr>
        <w:t>6. What we learned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The datapath is 100 % utilized</w:t>
      </w:r>
      <w:r>
        <w:rPr/>
        <w:t xml:space="preserve"> — bubble-free (</w:t>
      </w:r>
      <w:r>
        <w:rPr>
          <w:rStyle w:val="VerbatimChar"/>
        </w:rPr>
        <w:t>starvation = 0</w:t>
      </w:r>
      <w:r>
        <w:rPr/>
        <w:t xml:space="preserve">, </w:t>
      </w:r>
      <w:r>
        <w:rPr>
          <w:rStyle w:val="VerbatimChar"/>
        </w:rPr>
        <w:t>backpressure = 0</w:t>
      </w:r>
      <w:r>
        <w:rPr/>
        <w:t>) across every transaction size ≥ 64 B, descriptor count, and channel count at the full ~1525 MB/s ceiling. The prior ~94 % was a characterization-harness slave artifact plus measurement framing, now fixed.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Only sub-BDP transactions bubble the bus.</w:t>
      </w:r>
      <w:r>
        <w:rPr/>
        <w:t xml:space="preserve"> A burst must carry at least </w:t>
      </w:r>
      <w:r>
        <w:rPr>
          <w:rStyle w:val="VerbatimChar"/>
        </w:rPr>
        <w:t>AR→first-R latency / outstanding</w:t>
      </w:r>
      <w:r>
        <w:rPr/>
        <w:t xml:space="preserve"> (~3 beats here) to keep the pipeline full; 1–2 beat bursts are the </w:t>
      </w:r>
      <w:r>
        <w:rPr>
          <w:i/>
          <w:iCs/>
        </w:rPr>
        <w:t>sole</w:t>
      </w:r>
      <w:r>
        <w:rPr/>
        <w:t xml:space="preserve"> place utilization drops — far below any realistic transaction (knob 1, §3.0).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Descriptors are free.</w:t>
      </w:r>
      <w:r>
        <w:rPr/>
        <w:t xml:space="preserve"> Concurrent prefetch over the dedicated descriptor master means chain length adds no per-descriptor bubble.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Channels share bandwidth, not multiply it</w:t>
      </w:r>
      <w:r>
        <w:rPr/>
        <w:t xml:space="preserve"> — in </w:t>
      </w:r>
      <w:r>
        <w:rPr>
          <w:i/>
          <w:iCs/>
        </w:rPr>
        <w:t>this</w:t>
      </w:r>
      <w:r>
        <w:rPr/>
        <w:t xml:space="preserve"> harness, where all channels hit one read-source and one write-sink. Independent per-channel backing memory would scale N×; that’s a follow-on.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Channels buy latency tolerance.</w:t>
      </w:r>
      <w:r>
        <w:rPr/>
        <w:t xml:space="preserve"> The 128-cycle hide-window scales with channel count to the shared-slave saturation point (~4 ch); descriptors, sharing a channel’s window, buy none.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Size matters only end-to-end.</w:t>
      </w:r>
      <w:r>
        <w:rPr/>
        <w:t xml:space="preserve"> Datapath stays 100 %; only the </w:t>
      </w:r>
      <w:r>
        <w:rPr>
          <w:i/>
          <w:iCs/>
        </w:rPr>
        <w:t>system</w:t>
      </w:r>
      <w:r>
        <w:rPr/>
        <w:t xml:space="preserve"> end-to-end metric sees the one-time fill amortize (Addendum A) — that is latency, not bus bubbles.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The fixes cost nothing — they gained.</w:t>
      </w:r>
      <w:r>
        <w:rPr/>
        <w:t xml:space="preserve"> Trimming the monitors to perf-only closed 100 MHz timing at </w:t>
      </w:r>
      <w:r>
        <w:rPr>
          <w:b/>
          <w:bCs/>
        </w:rPr>
        <w:t>+0.031 ns</w:t>
      </w:r>
      <w:r>
        <w:rPr/>
        <w:t xml:space="preserve"> (was −0.097 ns), and the data, now correctly gated, reads a clean 100 %.</w:t>
      </w:r>
    </w:p>
    <w:p>
      <w:pPr>
        <w:pStyle w:val="Normal"/>
        <w:rPr/>
      </w:pPr>
      <w:bookmarkStart w:id="50" w:name="what-we-learn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" w:name="__RefHeading___Toc2937_3043144986"/>
      <w:bookmarkStart w:id="52" w:name="appendix-data-files-reproduce"/>
      <w:bookmarkEnd w:id="51"/>
      <w:r>
        <w:rPr>
          <w:b/>
          <w:color w:val="228B22"/>
          <w:sz w:val="28"/>
        </w:rPr>
        <w:t>Appendix: data files &amp; reproduce</w:t>
      </w:r>
    </w:p>
    <w:p>
      <w:pPr>
        <w:pStyle w:val="TableCaption"/>
        <w:rPr/>
      </w:pPr>
      <w:bookmarkStart w:id="53" w:name="_Tab_8_Characterization_dat"/>
      <w:r>
        <w:rPr/>
        <w:t>Characterization datasets (2026-06-23, board 210292B7D46F)</w:t>
      </w:r>
      <w:bookmarkEnd w:id="5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Sweep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json/matrix_2026-06-23.json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 × descriptors, 40 configs, 1 MB (knobs 3 × 4)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json/burst_{1,2,4,8,16,32,64}beat_2026-06-23.json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(burst) size 1 KB → 1 beat, 1 ch (knob 1, §3.0)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json/size_sweep_2026-06-23.json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size 8 KB → 1 MB, 1 ch 1 desc (knob 2, §3.3)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json/chan_x_delay_2026-06-23.json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 {1,2,4,8} × delay {0..512}, 1 desc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json/desc_x_delay_2026-06-23.json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 {1,2,4,8,16} × delay {0..512}, 1 ch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json/matrix_2026-06-23.csv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CSV of the matrix (column dictionary below)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plots/*.png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figures above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host/plot_char_reports.py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burst_size_util.png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old/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superseded datasets and prior report revisions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Every record carries the methodology primitives (§2.1 datapath + §2.3 end-to-end utilization, §3 productive/backpressure/starvation/idle buckets, aggregate and per-channel, R and W) under each config’s </w:t>
      </w:r>
      <w:r>
        <w:rPr>
          <w:rStyle w:val="VerbatimChar"/>
          <w:sz w:val="20"/>
        </w:rPr>
        <w:t>metrics</w:t>
      </w:r>
      <w:r>
        <w:rPr>
          <w:sz w:val="20"/>
        </w:rPr>
        <w:t xml:space="preserve"> key. Delay sweeps nest the per-run record under a </w:t>
      </w:r>
      <w:r>
        <w:rPr>
          <w:rStyle w:val="VerbatimChar"/>
          <w:sz w:val="20"/>
        </w:rPr>
        <w:t>result</w:t>
      </w:r>
      <w:r>
        <w:rPr>
          <w:sz w:val="20"/>
        </w:rPr>
        <w:t xml:space="preserve"> key with </w:t>
      </w:r>
      <w:r>
        <w:rPr>
          <w:rStyle w:val="VerbatimChar"/>
          <w:sz w:val="20"/>
        </w:rPr>
        <w:t>rd_delay</w:t>
      </w:r>
      <w:r>
        <w:rPr>
          <w:sz w:val="20"/>
        </w:rPr>
        <w:t>/</w:t>
      </w:r>
      <w:r>
        <w:rPr>
          <w:rStyle w:val="VerbatimChar"/>
          <w:sz w:val="20"/>
        </w:rPr>
        <w:t>wr_delay</w:t>
      </w:r>
      <w:r>
        <w:rPr>
          <w:sz w:val="20"/>
        </w:rPr>
        <w:t xml:space="preserve"> siblings.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flows-stream-bridge/host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</w:t>
      </w:r>
      <w:r>
        <w:rPr>
          <w:rStyle w:val="VariableTok"/>
        </w:rPr>
        <w:t>$REPO_ROOT</w:t>
      </w:r>
      <w:r>
        <w:rPr>
          <w:rStyle w:val="NormalTok"/>
        </w:rPr>
        <w:t>/env_python</w:t>
      </w:r>
      <w:r>
        <w:rPr/>
        <w:br/>
      </w:r>
      <w:r>
        <w:rPr>
          <w:rStyle w:val="VariableTok"/>
        </w:rPr>
        <w:t>P</w:t>
      </w:r>
      <w:r>
        <w:rPr>
          <w:rStyle w:val="OperatorTok"/>
        </w:rPr>
        <w:t>=</w:t>
      </w:r>
      <w:r>
        <w:rPr>
          <w:rStyle w:val="NormalTok"/>
        </w:rPr>
        <w:t>/dev/serial/by-id/usb-Digilent_Digilent_USB_Device_210292B7D46F-if01-port0</w:t>
      </w:r>
      <w:r>
        <w:rPr/>
        <w:br/>
      </w:r>
      <w:r>
        <w:rPr>
          <w:rStyle w:val="VariableTok"/>
        </w:rPr>
        <w:t>D</w:t>
      </w:r>
      <w:r>
        <w:rPr>
          <w:rStyle w:val="OperatorTok"/>
        </w:rPr>
        <w:t>=</w:t>
      </w:r>
      <w:r>
        <w:rPr>
          <w:rStyle w:val="NormalTok"/>
        </w:rPr>
        <w:t>0,32,64,96,112,128,144,160,192,256,384,512</w:t>
      </w:r>
      <w:r>
        <w:rPr/>
        <w:br/>
      </w:r>
      <w:r>
        <w:rPr>
          <w:rStyle w:val="CommentTok"/>
        </w:rPr>
        <w:t xml:space="preserve"># </w:t>
      </w:r>
      <w:r>
        <w:rPr>
          <w:rStyle w:val="AlertTok"/>
        </w:rPr>
        <w:t>NOTE</w:t>
      </w:r>
      <w:r>
        <w:rPr>
          <w:rStyle w:val="CommentTok"/>
        </w:rPr>
        <w:t>: -o paths are relative to host/; the reports dir is two levels up, so</w:t>
      </w:r>
      <w:r>
        <w:rPr/>
        <w:br/>
      </w:r>
      <w:r>
        <w:rPr>
          <w:rStyle w:val="CommentTok"/>
        </w:rPr>
        <w:t># use an ABSOLUTE path (or ../../reports/perf) -- "../reports/perf" does NOT</w:t>
      </w:r>
      <w:r>
        <w:rPr/>
        <w:br/>
      </w:r>
      <w:r>
        <w:rPr>
          <w:rStyle w:val="CommentTok"/>
        </w:rPr>
        <w:t># exist and the run will compute then crash on save.</w:t>
      </w:r>
      <w:r>
        <w:rPr/>
        <w:br/>
      </w:r>
      <w:r>
        <w:rPr>
          <w:rStyle w:val="VariableTok"/>
        </w:rPr>
        <w:t>R</w:t>
      </w:r>
      <w:r>
        <w:rPr>
          <w:rStyle w:val="OperatorTok"/>
        </w:rPr>
        <w:t>=</w:t>
      </w:r>
      <w:r>
        <w:rPr>
          <w:rStyle w:val="VariableTok"/>
        </w:rPr>
        <w:t>$REPO_ROOT</w:t>
      </w:r>
      <w:r>
        <w:rPr>
          <w:rStyle w:val="NormalTok"/>
        </w:rPr>
        <w:t>/projects/NexysA7/stream_characterization/reports/perf</w:t>
      </w:r>
      <w:r>
        <w:rPr/>
        <w:br/>
      </w:r>
      <w:r>
        <w:rPr>
          <w:rStyle w:val="VariableTok"/>
        </w:rPr>
        <w:t>J</w:t>
      </w:r>
      <w:r>
        <w:rPr>
          <w:rStyle w:val="OperatorTok"/>
        </w:rPr>
        <w:t>=</w:t>
      </w:r>
      <w:r>
        <w:rPr>
          <w:rStyle w:val="VariableTok"/>
        </w:rPr>
        <w:t>$R</w:t>
      </w:r>
      <w:r>
        <w:rPr>
          <w:rStyle w:val="NormalTok"/>
        </w:rPr>
        <w:t xml:space="preserve">/json   </w:t>
      </w:r>
      <w:r>
        <w:rPr>
          <w:rStyle w:val="CommentTok"/>
        </w:rPr>
        <w:t># datasets live in reports/perf/json/ ; plots in reports/perf/plots/</w:t>
      </w:r>
      <w:r>
        <w:rPr/>
        <w:br/>
      </w:r>
      <w:r>
        <w:rPr>
          <w:rStyle w:val="CommentTok"/>
        </w:rPr>
        <w:t># IMPORTANT: re-program the board (make program) before the matrix / size</w:t>
      </w:r>
      <w:r>
        <w:rPr/>
        <w:br/>
      </w:r>
      <w:r>
        <w:rPr>
          <w:rStyle w:val="CommentTok"/>
        </w:rPr>
        <w:t># sweeps. The --resp-delays sweep leaves the RESP_DELAY CSR set; a leftover</w:t>
      </w:r>
      <w:r>
        <w:rPr/>
        <w:br/>
      </w:r>
      <w:r>
        <w:rPr>
          <w:rStyle w:val="CommentTok"/>
        </w:rPr>
        <w:t># value silently degrades a later no-delay run (util drops, high-load configs</w:t>
      </w:r>
      <w:r>
        <w:rPr/>
        <w:br/>
      </w:r>
      <w:r>
        <w:rPr>
          <w:rStyle w:val="CommentTok"/>
        </w:rPr>
        <w:t># time out). Re-program also recovers a clean state if a sweep crashed.</w:t>
      </w:r>
      <w:r>
        <w:rPr/>
        <w:br/>
      </w:r>
      <w:r>
        <w:rPr>
          <w:rStyle w:val="CommentTok"/>
        </w:rPr>
        <w:t># matrix (40-config, knobs 3 x 4):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</w:t>
      </w:r>
      <w:r>
        <w:rPr>
          <w:rStyle w:val="VariableTok"/>
        </w:rPr>
        <w:t>$P</w:t>
      </w:r>
      <w:r>
        <w:rPr>
          <w:rStyle w:val="NormalTok"/>
        </w:rPr>
        <w:t xml:space="preserve"> </w:t>
      </w:r>
      <w:r>
        <w:rPr>
          <w:rStyle w:val="AttributeTok"/>
        </w:rPr>
        <w:t>--csv</w:t>
      </w:r>
      <w:r>
        <w:rPr>
          <w:rStyle w:val="NormalTok"/>
        </w:rPr>
        <w:t xml:space="preserve"> fpga_suite.csv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>/matrix_2026-06-23.json</w:t>
      </w:r>
      <w:r>
        <w:rPr/>
        <w:br/>
      </w:r>
      <w:r>
        <w:rPr>
          <w:rStyle w:val="CommentTok"/>
        </w:rPr>
        <w:t># KNOB 1 -- individual transaction (burst) size, 1 ch, 1 MB. XFER_BEATS drives</w:t>
      </w:r>
      <w:r>
        <w:rPr/>
        <w:br/>
      </w:r>
      <w:r>
        <w:rPr>
          <w:rStyle w:val="CommentTok"/>
        </w:rPr>
        <w:t># cfg_axi_rd/wr_xfer_beats (ARLEN = beats-1); this is the only datapath-bubbling axis: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b </w:t>
      </w:r>
      <w:r>
        <w:rPr>
          <w:rStyle w:val="KeywordTok"/>
        </w:rPr>
        <w:t>in</w:t>
      </w:r>
      <w:r>
        <w:rPr>
          <w:rStyle w:val="NormalTok"/>
        </w:rPr>
        <w:t xml:space="preserve"> 64 32 16 8 4 2 1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VariableTok"/>
        </w:rPr>
        <w:t>XFER_BEATS</w:t>
      </w:r>
      <w:r>
        <w:rPr>
          <w:rStyle w:val="OperatorTok"/>
        </w:rPr>
        <w:t>=</w:t>
      </w:r>
      <w:r>
        <w:rPr>
          <w:rStyle w:val="VariableTok"/>
        </w:rPr>
        <w:t>$b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--port</w:t>
      </w:r>
      <w:r>
        <w:rPr>
          <w:rStyle w:val="NormalTok"/>
        </w:rPr>
        <w:t xml:space="preserve"> </w:t>
      </w:r>
      <w:r>
        <w:rPr>
          <w:rStyle w:val="VariableTok"/>
        </w:rPr>
        <w:t>$P</w:t>
      </w:r>
      <w:r>
        <w:rPr>
          <w:rStyle w:val="NormalTok"/>
        </w:rPr>
        <w:t xml:space="preserve"> </w:t>
      </w:r>
      <w:r>
        <w:rPr>
          <w:rStyle w:val="AttributeTok"/>
        </w:rPr>
        <w:t>--size</w:t>
      </w:r>
      <w:r>
        <w:rPr>
          <w:rStyle w:val="NormalTok"/>
        </w:rPr>
        <w:t xml:space="preserve"> 1MB </w:t>
      </w:r>
      <w:r>
        <w:rPr>
          <w:rStyle w:val="AttributeTok"/>
        </w:rPr>
        <w:t>--channels</w:t>
      </w:r>
      <w:r>
        <w:rPr>
          <w:rStyle w:val="NormalTok"/>
        </w:rPr>
        <w:t xml:space="preserve"> 1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>/burst_</w:t>
      </w:r>
      <w:r>
        <w:rPr>
          <w:rStyle w:val="VariableTok"/>
        </w:rPr>
        <w:t>${b}</w:t>
      </w:r>
      <w:r>
        <w:rPr>
          <w:rStyle w:val="NormalTok"/>
        </w:rPr>
        <w:t>beat_2026-06-23.json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done</w:t>
      </w:r>
      <w:r>
        <w:rPr/>
        <w:br/>
      </w:r>
      <w:r>
        <w:rPr>
          <w:rStyle w:val="CommentTok"/>
        </w:rPr>
        <w:t># KNOB 2 -- descriptor size (transactions per descriptor), 1 ch 1 desc: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</w:t>
      </w:r>
      <w:r>
        <w:rPr>
          <w:rStyle w:val="VariableTok"/>
        </w:rPr>
        <w:t>$P</w:t>
      </w:r>
      <w:r>
        <w:rPr>
          <w:rStyle w:val="NormalTok"/>
        </w:rPr>
        <w:t xml:space="preserve"> </w:t>
      </w:r>
      <w:r>
        <w:rPr>
          <w:rStyle w:val="AttributeTok"/>
        </w:rPr>
        <w:t>--csv</w:t>
      </w:r>
      <w:r>
        <w:rPr>
          <w:rStyle w:val="NormalTok"/>
        </w:rPr>
        <w:t xml:space="preserve"> size_sweep_suite.csv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>/size_sweep_2026-06-23.json</w:t>
      </w:r>
      <w:r>
        <w:rPr/>
        <w:br/>
      </w:r>
      <w:r>
        <w:rPr>
          <w:rStyle w:val="CommentTok"/>
        </w:rPr>
        <w:t># channels x delay (1 desc, 512 KB):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</w:t>
      </w:r>
      <w:r>
        <w:rPr>
          <w:rStyle w:val="VariableTok"/>
        </w:rPr>
        <w:t>$P</w:t>
      </w:r>
      <w:r>
        <w:rPr>
          <w:rStyle w:val="NormalTok"/>
        </w:rPr>
        <w:t xml:space="preserve"> </w:t>
      </w:r>
      <w:r>
        <w:rPr>
          <w:rStyle w:val="AttributeTok"/>
        </w:rPr>
        <w:t>--phase</w:t>
      </w:r>
      <w:r>
        <w:rPr>
          <w:rStyle w:val="NormalTok"/>
        </w:rPr>
        <w:t xml:space="preserve"> 1 </w:t>
      </w:r>
      <w:r>
        <w:rPr>
          <w:rStyle w:val="AttributeTok"/>
        </w:rPr>
        <w:t>--channels</w:t>
      </w:r>
      <w:r>
        <w:rPr>
          <w:rStyle w:val="NormalTok"/>
        </w:rPr>
        <w:t xml:space="preserve"> 1 2 4 8 </w:t>
      </w:r>
      <w:r>
        <w:rPr>
          <w:rStyle w:val="AttributeTok"/>
        </w:rPr>
        <w:t>--size</w:t>
      </w:r>
      <w:r>
        <w:rPr>
          <w:rStyle w:val="NormalTok"/>
        </w:rPr>
        <w:t xml:space="preserve"> 512KB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--resp-delays</w:t>
      </w:r>
      <w:r>
        <w:rPr>
          <w:rStyle w:val="NormalTok"/>
        </w:rPr>
        <w:t xml:space="preserve"> </w:t>
      </w:r>
      <w:r>
        <w:rPr>
          <w:rStyle w:val="VariableTok"/>
        </w:rPr>
        <w:t>$D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>/chan_x_delay_2026-06-23.json</w:t>
      </w:r>
      <w:r>
        <w:rPr/>
        <w:br/>
      </w:r>
      <w:r>
        <w:rPr>
          <w:rStyle w:val="CommentTok"/>
        </w:rPr>
        <w:t># desc x delay (1 ch, 512 KB):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</w:t>
      </w:r>
      <w:r>
        <w:rPr>
          <w:rStyle w:val="VariableTok"/>
        </w:rPr>
        <w:t>$P</w:t>
      </w:r>
      <w:r>
        <w:rPr>
          <w:rStyle w:val="NormalTok"/>
        </w:rPr>
        <w:t xml:space="preserve"> </w:t>
      </w:r>
      <w:r>
        <w:rPr>
          <w:rStyle w:val="AttributeTok"/>
        </w:rPr>
        <w:t>--channels</w:t>
      </w:r>
      <w:r>
        <w:rPr>
          <w:rStyle w:val="NormalTok"/>
        </w:rPr>
        <w:t xml:space="preserve"> 1 </w:t>
      </w:r>
      <w:r>
        <w:rPr>
          <w:rStyle w:val="AttributeTok"/>
        </w:rPr>
        <w:t>--size</w:t>
      </w:r>
      <w:r>
        <w:rPr>
          <w:rStyle w:val="NormalTok"/>
        </w:rPr>
        <w:t xml:space="preserve"> 512KB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--resp-delays</w:t>
      </w:r>
      <w:r>
        <w:rPr>
          <w:rStyle w:val="NormalTok"/>
        </w:rPr>
        <w:t xml:space="preserve"> </w:t>
      </w:r>
      <w:r>
        <w:rPr>
          <w:rStyle w:val="VariableTok"/>
        </w:rPr>
        <w:t>$D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>/desc_x_delay_2026-06-23.json</w:t>
      </w:r>
      <w:r>
        <w:rPr/>
        <w:br/>
      </w:r>
      <w:r>
        <w:rPr>
          <w:rStyle w:val="CommentTok"/>
        </w:rPr>
        <w:t># plots (matrix/delay/size); burst plot is host-side matplotlib (burst_size_util.png):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plot_char_reports.py </w:t>
      </w:r>
      <w:r>
        <w:rPr>
          <w:rStyle w:val="AttributeTok"/>
        </w:rPr>
        <w:t>--matrix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 xml:space="preserve">/matrix_2026-06-23.json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--chan-delay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 xml:space="preserve">/chan_x_delay_2026-06-23.json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--desc-delay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 xml:space="preserve">/desc_x_delay_2026-06-23.json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--size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 xml:space="preserve">/size_sweep_2026-06-23.json </w:t>
      </w:r>
      <w:r>
        <w:rPr>
          <w:rStyle w:val="AttributeTok"/>
        </w:rPr>
        <w:t>--outdir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NormalTok"/>
        </w:rPr>
        <w:t>/plots</w:t>
      </w:r>
      <w:r>
        <w:rPr/>
        <w:br/>
      </w:r>
      <w:r>
        <w:rPr>
          <w:rStyle w:val="CommentTok"/>
        </w:rPr>
        <w:t># CSV from a matrix JSON (column dictionary in this appendix):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perf_json_to_csv.py </w:t>
      </w:r>
      <w:r>
        <w:rPr>
          <w:rStyle w:val="VariableTok"/>
        </w:rPr>
        <w:t>$J</w:t>
      </w:r>
      <w:r>
        <w:rPr>
          <w:rStyle w:val="NormalTok"/>
        </w:rPr>
        <w:t xml:space="preserve">/matrix_2026-06-23.json </w:t>
      </w:r>
      <w:r>
        <w:rPr>
          <w:rStyle w:val="AttributeTok"/>
        </w:rPr>
        <w:t>--out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>/matrix_2026-06-23.csv</w:t>
      </w:r>
    </w:p>
    <w:p>
      <w:pPr>
        <w:pStyle w:val="FirstParagraph"/>
        <w:rPr/>
      </w:pPr>
      <w:r>
        <w:rPr>
          <w:sz w:val="20"/>
        </w:rPr>
        <w:t xml:space="preserve">CSV columns (current runner): </w:t>
      </w:r>
      <w:r>
        <w:rPr>
          <w:rStyle w:val="VerbatimChar"/>
          <w:sz w:val="20"/>
        </w:rPr>
        <w:t>date,time,config,channels,descriptors,desc_KB, mb_moved,bus_time_s,bus_throughput_MBps,bus_max_one_dir_MBps, bus_max_net_moved_MBps,bus_e2e_util_pct,datapath_{R,W,E2E}_pct, {R,W}_{prod,bp,starv}_pct,dma_time_s,throughput_MBps</w:t>
      </w:r>
      <w:r>
        <w:rPr>
          <w:sz w:val="20"/>
        </w:rPr>
        <w:t>. Bus-side columns are authoritative; the two host-side columns (</w:t>
      </w:r>
      <w:r>
        <w:rPr>
          <w:rStyle w:val="VerbatimChar"/>
          <w:sz w:val="20"/>
        </w:rPr>
        <w:t>dma_time_s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throughput_MBps</w:t>
      </w:r>
      <w:r>
        <w:rPr>
          <w:sz w:val="20"/>
        </w:rPr>
        <w:t xml:space="preserve">) are transparency-only. The </w:t>
      </w:r>
      <w:r>
        <w:rPr>
          <w:rStyle w:val="VerbatimChar"/>
          <w:sz w:val="20"/>
        </w:rPr>
        <w:t>16desc_*</w:t>
      </w:r>
      <w:r>
        <w:rPr>
          <w:sz w:val="20"/>
        </w:rPr>
        <w:t xml:space="preserve"> configs trip </w:t>
      </w:r>
      <w:r>
        <w:rPr>
          <w:rStyle w:val="VerbatimChar"/>
          <w:sz w:val="20"/>
        </w:rPr>
        <w:t>trace.overflow</w:t>
      </w:r>
      <w:r>
        <w:rPr>
          <w:sz w:val="20"/>
        </w:rPr>
        <w:t xml:space="preserve"> (the 2048-beat debug-trace SRAM) — benign; it bounds only the waveform trace, not the bus-meter counters.</w:t>
      </w:r>
    </w:p>
    <w:p>
      <w:pPr>
        <w:pStyle w:val="Normal"/>
        <w:rPr/>
      </w:pPr>
      <w:bookmarkStart w:id="54" w:name="appendix-data-files-reprodu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" w:name="__RefHeading___Toc2939_3043144986"/>
      <w:bookmarkStart w:id="56" w:name="Xdf165e457cd3cbdfdd5bd43c80c06fed6c30259"/>
      <w:bookmarkEnd w:id="55"/>
      <w:r>
        <w:rPr>
          <w:b/>
          <w:color w:val="228B22"/>
          <w:sz w:val="28"/>
        </w:rPr>
        <w:t xml:space="preserve">Addendum A — End-to-end utilization (system framing, </w:t>
      </w:r>
      <w:r>
        <w:rPr>
          <w:b/>
          <w:i/>
          <w:iCs/>
          <w:color w:val="228B22"/>
          <w:sz w:val="28"/>
        </w:rPr>
        <w:t>not</w:t>
      </w:r>
      <w:r>
        <w:rPr>
          <w:b/>
          <w:color w:val="228B22"/>
          <w:sz w:val="28"/>
        </w:rPr>
        <w:t xml:space="preserve"> bus bubbles)</w:t>
      </w:r>
    </w:p>
    <w:p>
      <w:pPr>
        <w:pStyle w:val="FirstParagraph"/>
        <w:rPr/>
      </w:pPr>
      <w:r>
        <w:rPr>
          <w:sz w:val="20"/>
        </w:rPr>
        <w:t>End-to-end utilization (</w:t>
      </w:r>
      <w:r>
        <w:rPr>
          <w:rStyle w:val="VerbatimChar"/>
          <w:sz w:val="20"/>
        </w:rPr>
        <w:t>productive beats / kick→done cycles</w:t>
      </w:r>
      <w:r>
        <w:rPr>
          <w:sz w:val="20"/>
        </w:rPr>
        <w:t xml:space="preserve">) is a </w:t>
      </w:r>
      <w:r>
        <w:rPr>
          <w:b/>
          <w:bCs/>
          <w:sz w:val="20"/>
        </w:rPr>
        <w:t>system</w:t>
      </w:r>
      <w:r>
        <w:rPr>
          <w:sz w:val="20"/>
        </w:rPr>
        <w:t xml:space="preserve"> metric, not a bus metric. It counts the one-time per-transfer startup — descriptor fetch + </w:t>
      </w:r>
      <w:r>
        <w:rPr>
          <w:rStyle w:val="VerbatimChar"/>
          <w:sz w:val="20"/>
        </w:rPr>
        <w:t>AR→first-R</w:t>
      </w:r>
      <w:r>
        <w:rPr>
          <w:sz w:val="20"/>
        </w:rPr>
        <w:t xml:space="preserve"> pipe-fill — and the trailing drain </w:t>
      </w:r>
      <w:r>
        <w:rPr>
          <w:i/>
          <w:iCs/>
          <w:sz w:val="20"/>
        </w:rPr>
        <w:t>as if</w:t>
      </w:r>
      <w:r>
        <w:rPr>
          <w:sz w:val="20"/>
        </w:rPr>
        <w:t xml:space="preserve"> they were non-productive bus cycles. They are </w:t>
      </w:r>
      <w:r>
        <w:rPr>
          <w:b/>
          <w:bCs/>
          <w:sz w:val="20"/>
        </w:rPr>
        <w:t>latency, not bubbles</w:t>
      </w:r>
      <w:r>
        <w:rPr>
          <w:sz w:val="20"/>
        </w:rPr>
        <w:t>: the bus is gapless the entire time data is moving (datapath = 100 %). E2E is reported here, apart from the headline, because that distinction is easy to misread.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800350"/>
            <wp:effectExtent l="0" t="0" r="0" b="0"/>
            <wp:docPr id="33" name="Image14" descr="end-to-end vs datapath utilization vs descriptor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4" descr="end-to-end vs datapath utilization vs descriptor siz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end-to-end vs datapath utilization vs descriptor size</w:t>
      </w:r>
    </w:p>
    <w:p>
      <w:pPr>
        <w:pStyle w:val="BodyText"/>
        <w:rPr/>
      </w:pPr>
      <w:r>
        <w:rPr>
          <w:sz w:val="20"/>
        </w:rPr>
        <w:t>For a single isolated transfer the end-to-end number rises as the transfer grows and the fixed startup amortizes, while datapath stays pinned at 100 %:</w:t>
      </w:r>
    </w:p>
    <w:p>
      <w:pPr>
        <w:pStyle w:val="TableCaption"/>
        <w:rPr/>
      </w:pPr>
      <w:bookmarkStart w:id="57" w:name="_Tab_9_End_to_end_vs_datapa"/>
      <w:r>
        <w:rPr/>
        <w:t>End-to-end vs datapath utilization by descriptor size</w:t>
      </w:r>
      <w:bookmarkEnd w:id="5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datapath util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end-to-end util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KB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99.6 %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91.6 %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98.9 %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99.7 %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</w:tr>
    </w:tbl>
    <w:p>
      <w:pPr>
        <w:pStyle w:val="BodyText"/>
        <w:spacing w:before="180" w:after="180"/>
        <w:rPr/>
      </w:pPr>
      <w:r>
        <w:rPr>
          <w:sz w:val="20"/>
        </w:rPr>
        <w:t xml:space="preserve">In back-to-back operation the startup of one transfer overlaps the drain of the previous, so the steady-state system rate equals the datapath rate. </w:t>
      </w:r>
      <w:r>
        <w:rPr>
          <w:b/>
          <w:bCs/>
          <w:sz w:val="20"/>
        </w:rPr>
        <w:t>This number says nothing about whether the datapath bubbles — it does not</w:t>
      </w:r>
      <w:r>
        <w:rPr>
          <w:sz w:val="20"/>
        </w:rPr>
        <w:t xml:space="preserve"> (§3.0).</w:t>
      </w:r>
      <w:bookmarkEnd w:id="4"/>
      <w:bookmarkEnd w:id="56"/>
    </w:p>
    <w:sectPr>
      <w:footerReference w:type="even" r:id="rId17"/>
      <w:footerReference w:type="default" r:id="rId18"/>
      <w:footerReference w:type="first" r:id="rId1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DMA Performance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23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23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DMA Performance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23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23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</w:num>
  <w:num w:numId="8">
    <w:abstractNumId w:val="2"/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2026-06-24T04:36:49Z</dcterms:created>
  <dc:creator/>
  <dc:description/>
  <dc:language>en-US</dc:language>
  <cp:lastModifiedBy/>
  <dcterms:modified xsi:type="dcterms:W3CDTF">2026-06-23T21:36:53Z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