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Binary BCH UART Harness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95_1863445830">
            <w:r>
              <w:rPr>
                <w:webHidden/>
                <w:rStyle w:val="IndexLink"/>
              </w:rPr>
              <w:t>1 Document Information</w:t>
              <w:tab/>
              <w:t>7</w:t>
            </w:r>
          </w:hyperlink>
        </w:p>
        <w:p>
          <w:pPr>
            <w:pStyle w:val="TOC2"/>
            <w:tabs>
              <w:tab w:val="clear" w:pos="9077"/>
              <w:tab w:val="right" w:pos="9359" w:leader="dot"/>
            </w:tabs>
            <w:rPr/>
          </w:pPr>
          <w:hyperlink w:anchor="__RefHeading___Toc1697_1863445830">
            <w:r>
              <w:rPr>
                <w:webHidden/>
                <w:rStyle w:val="IndexLink"/>
              </w:rPr>
              <w:t>1.1 Revision History</w:t>
              <w:tab/>
              <w:t>7</w:t>
            </w:r>
          </w:hyperlink>
        </w:p>
        <w:p>
          <w:pPr>
            <w:pStyle w:val="TOC2"/>
            <w:tabs>
              <w:tab w:val="clear" w:pos="9077"/>
              <w:tab w:val="right" w:pos="9359" w:leader="dot"/>
            </w:tabs>
            <w:rPr/>
          </w:pPr>
          <w:hyperlink w:anchor="__RefHeading___Toc1699_1863445830">
            <w:r>
              <w:rPr>
                <w:webHidden/>
                <w:rStyle w:val="IndexLink"/>
              </w:rPr>
              <w:t>1.2 Scope</w:t>
              <w:tab/>
              <w:t>8</w:t>
            </w:r>
          </w:hyperlink>
        </w:p>
        <w:p>
          <w:pPr>
            <w:pStyle w:val="TOC2"/>
            <w:tabs>
              <w:tab w:val="clear" w:pos="9077"/>
              <w:tab w:val="right" w:pos="9359" w:leader="dot"/>
            </w:tabs>
            <w:rPr/>
          </w:pPr>
          <w:hyperlink w:anchor="__RefHeading___Toc1701_1863445830">
            <w:r>
              <w:rPr>
                <w:webHidden/>
                <w:rStyle w:val="IndexLink"/>
              </w:rPr>
              <w:t>1.3 Provenance</w:t>
              <w:tab/>
              <w:t>9</w:t>
            </w:r>
          </w:hyperlink>
        </w:p>
        <w:p>
          <w:pPr>
            <w:pStyle w:val="TOC1"/>
            <w:tabs>
              <w:tab w:val="clear" w:pos="9360"/>
              <w:tab w:val="right" w:pos="9359" w:leader="dot"/>
            </w:tabs>
            <w:rPr/>
          </w:pPr>
          <w:hyperlink w:anchor="__RefHeading___Toc1703_1863445830">
            <w:r>
              <w:rPr>
                <w:webHidden/>
                <w:rStyle w:val="IndexLink"/>
              </w:rPr>
              <w:t>2 Purpose and Geometry</w:t>
              <w:tab/>
              <w:t>10</w:t>
            </w:r>
          </w:hyperlink>
        </w:p>
        <w:p>
          <w:pPr>
            <w:pStyle w:val="TOC1"/>
            <w:tabs>
              <w:tab w:val="clear" w:pos="9360"/>
              <w:tab w:val="right" w:pos="9359" w:leader="dot"/>
            </w:tabs>
            <w:rPr/>
          </w:pPr>
          <w:hyperlink w:anchor="__RefHeading___Toc1705_1863445830">
            <w:r>
              <w:rPr>
                <w:webHidden/>
                <w:rStyle w:val="IndexLink"/>
              </w:rPr>
              <w:t>3 What Is In It</w:t>
              <w:tab/>
              <w:t>11</w:t>
            </w:r>
          </w:hyperlink>
        </w:p>
        <w:p>
          <w:pPr>
            <w:pStyle w:val="TOC2"/>
            <w:tabs>
              <w:tab w:val="clear" w:pos="9077"/>
              <w:tab w:val="right" w:pos="9359" w:leader="dot"/>
            </w:tabs>
            <w:rPr/>
          </w:pPr>
          <w:hyperlink w:anchor="__RefHeading___Toc1707_1863445830">
            <w:r>
              <w:rPr>
                <w:webHidden/>
                <w:rStyle w:val="IndexLink"/>
              </w:rPr>
              <w:t>3.1 RTL blocks</w:t>
              <w:tab/>
              <w:t>11</w:t>
            </w:r>
          </w:hyperlink>
        </w:p>
        <w:p>
          <w:pPr>
            <w:pStyle w:val="TOC2"/>
            <w:tabs>
              <w:tab w:val="clear" w:pos="9077"/>
              <w:tab w:val="right" w:pos="9359" w:leader="dot"/>
            </w:tabs>
            <w:rPr/>
          </w:pPr>
          <w:hyperlink w:anchor="__RefHeading___Toc1709_1863445830">
            <w:r>
              <w:rPr>
                <w:webHidden/>
                <w:rStyle w:val="IndexLink"/>
              </w:rPr>
              <w:t>3.2 Host scripts</w:t>
              <w:tab/>
              <w:t>13</w:t>
            </w:r>
          </w:hyperlink>
        </w:p>
        <w:p>
          <w:pPr>
            <w:pStyle w:val="TOC2"/>
            <w:tabs>
              <w:tab w:val="clear" w:pos="9077"/>
              <w:tab w:val="right" w:pos="9359" w:leader="dot"/>
            </w:tabs>
            <w:rPr/>
          </w:pPr>
          <w:hyperlink w:anchor="__RefHeading___Toc1711_1863445830">
            <w:r>
              <w:rPr>
                <w:webHidden/>
                <w:rStyle w:val="IndexLink"/>
              </w:rPr>
              <w:t>3.3 Make targets and build flow</w:t>
              <w:tab/>
              <w:t>14</w:t>
            </w:r>
          </w:hyperlink>
        </w:p>
        <w:p>
          <w:pPr>
            <w:pStyle w:val="TOC1"/>
            <w:tabs>
              <w:tab w:val="clear" w:pos="9360"/>
              <w:tab w:val="right" w:pos="9359" w:leader="dot"/>
            </w:tabs>
            <w:rPr/>
          </w:pPr>
          <w:hyperlink w:anchor="__RefHeading___Toc1713_1863445830">
            <w:r>
              <w:rPr>
                <w:webHidden/>
                <w:rStyle w:val="IndexLink"/>
              </w:rPr>
              <w:t>4 How The Pieces Connect</w:t>
              <w:tab/>
              <w:t>15</w:t>
            </w:r>
          </w:hyperlink>
        </w:p>
        <w:p>
          <w:pPr>
            <w:pStyle w:val="TOC2"/>
            <w:tabs>
              <w:tab w:val="clear" w:pos="9077"/>
              <w:tab w:val="right" w:pos="9359" w:leader="dot"/>
            </w:tabs>
            <w:rPr/>
          </w:pPr>
          <w:hyperlink w:anchor="__RefHeading___Toc1715_1863445830">
            <w:r>
              <w:rPr>
                <w:webHidden/>
                <w:rStyle w:val="IndexLink"/>
              </w:rPr>
              <w:t>4.1 Register path</w:t>
              <w:tab/>
              <w:t>15</w:t>
            </w:r>
          </w:hyperlink>
        </w:p>
        <w:p>
          <w:pPr>
            <w:pStyle w:val="TOC3"/>
            <w:tabs>
              <w:tab w:val="clear" w:pos="8793"/>
              <w:tab w:val="right" w:pos="9359" w:leader="dot"/>
            </w:tabs>
            <w:rPr/>
          </w:pPr>
          <w:hyperlink w:anchor="__RefHeading___Toc1717_1863445830">
            <w:r>
              <w:rPr>
                <w:webHidden/>
                <w:rStyle w:val="IndexLink"/>
              </w:rPr>
              <w:t>4.1.1 Figure 2.1: BCH AXIS datapath and register path</w:t>
              <w:tab/>
              <w:t>15</w:t>
            </w:r>
          </w:hyperlink>
        </w:p>
        <w:p>
          <w:pPr>
            <w:pStyle w:val="TOC2"/>
            <w:tabs>
              <w:tab w:val="clear" w:pos="9077"/>
              <w:tab w:val="right" w:pos="9359" w:leader="dot"/>
            </w:tabs>
            <w:rPr/>
          </w:pPr>
          <w:hyperlink w:anchor="__RefHeading___Toc1719_1863445830">
            <w:r>
              <w:rPr>
                <w:webHidden/>
                <w:rStyle w:val="IndexLink"/>
              </w:rPr>
              <w:t>4.2 AXI4 flavour datapath</w:t>
              <w:tab/>
              <w:t>17</w:t>
            </w:r>
          </w:hyperlink>
        </w:p>
        <w:p>
          <w:pPr>
            <w:pStyle w:val="TOC3"/>
            <w:tabs>
              <w:tab w:val="clear" w:pos="8793"/>
              <w:tab w:val="right" w:pos="9359" w:leader="dot"/>
            </w:tabs>
            <w:rPr/>
          </w:pPr>
          <w:hyperlink w:anchor="__RefHeading___Toc1721_1863445830">
            <w:r>
              <w:rPr>
                <w:webHidden/>
                <w:rStyle w:val="IndexLink"/>
              </w:rPr>
              <w:t>4.2.1 Figure 2.2: BCH AXI4 memory-to-memory datapath</w:t>
              <w:tab/>
              <w:t>18</w:t>
            </w:r>
          </w:hyperlink>
        </w:p>
        <w:p>
          <w:pPr>
            <w:pStyle w:val="TOC2"/>
            <w:tabs>
              <w:tab w:val="clear" w:pos="9077"/>
              <w:tab w:val="right" w:pos="9359" w:leader="dot"/>
            </w:tabs>
            <w:rPr/>
          </w:pPr>
          <w:hyperlink w:anchor="__RefHeading___Toc1723_1863445830">
            <w:r>
              <w:rPr>
                <w:webHidden/>
                <w:rStyle w:val="IndexLink"/>
              </w:rPr>
              <w:t>4.3 Clock and reset</w:t>
              <w:tab/>
              <w:t>19</w:t>
            </w:r>
          </w:hyperlink>
        </w:p>
        <w:p>
          <w:pPr>
            <w:pStyle w:val="TOC1"/>
            <w:tabs>
              <w:tab w:val="clear" w:pos="9360"/>
              <w:tab w:val="right" w:pos="9359" w:leader="dot"/>
            </w:tabs>
            <w:rPr/>
          </w:pPr>
          <w:hyperlink w:anchor="__RefHeading___Toc1725_1863445830">
            <w:r>
              <w:rPr>
                <w:webHidden/>
                <w:rStyle w:val="IndexLink"/>
              </w:rPr>
              <w:t>5 The FPGA-Testing Choices, And Why</w:t>
              <w:tab/>
              <w:t>20</w:t>
            </w:r>
          </w:hyperlink>
        </w:p>
        <w:p>
          <w:pPr>
            <w:pStyle w:val="TOC2"/>
            <w:tabs>
              <w:tab w:val="clear" w:pos="9077"/>
              <w:tab w:val="right" w:pos="9359" w:leader="dot"/>
            </w:tabs>
            <w:rPr/>
          </w:pPr>
          <w:hyperlink w:anchor="__RefHeading___Toc1727_1863445830">
            <w:r>
              <w:rPr>
                <w:webHidden/>
                <w:rStyle w:val="IndexLink"/>
              </w:rPr>
              <w:t>5.1 Deterministic campaigns</w:t>
              <w:tab/>
              <w:t>20</w:t>
            </w:r>
          </w:hyperlink>
        </w:p>
        <w:p>
          <w:pPr>
            <w:pStyle w:val="TOC2"/>
            <w:tabs>
              <w:tab w:val="clear" w:pos="9077"/>
              <w:tab w:val="right" w:pos="9359" w:leader="dot"/>
            </w:tabs>
            <w:rPr/>
          </w:pPr>
          <w:hyperlink w:anchor="__RefHeading___Toc1729_1863445830">
            <w:r>
              <w:rPr>
                <w:webHidden/>
                <w:rStyle w:val="IndexLink"/>
              </w:rPr>
              <w:t>5.2 Injector modes mapped to real failure mechanisms</w:t>
              <w:tab/>
              <w:t>21</w:t>
            </w:r>
          </w:hyperlink>
        </w:p>
        <w:p>
          <w:pPr>
            <w:pStyle w:val="TOC2"/>
            <w:tabs>
              <w:tab w:val="clear" w:pos="9077"/>
              <w:tab w:val="right" w:pos="9359" w:leader="dot"/>
            </w:tabs>
            <w:rPr/>
          </w:pPr>
          <w:hyperlink w:anchor="__RefHeading___Toc1731_1863445830">
            <w:r>
              <w:rPr>
                <w:webHidden/>
                <w:rStyle w:val="IndexLink"/>
              </w:rPr>
              <w:t>5.3 Post-encoder injection protecting parity bits too</w:t>
              <w:tab/>
              <w:t>22</w:t>
            </w:r>
          </w:hyperlink>
        </w:p>
        <w:p>
          <w:pPr>
            <w:pStyle w:val="TOC2"/>
            <w:tabs>
              <w:tab w:val="clear" w:pos="9077"/>
              <w:tab w:val="right" w:pos="9359" w:leader="dot"/>
            </w:tabs>
            <w:rPr/>
          </w:pPr>
          <w:hyperlink w:anchor="__RefHeading___Toc1733_1863445830">
            <w:r>
              <w:rPr>
                <w:webHidden/>
                <w:rStyle w:val="IndexLink"/>
              </w:rPr>
              <w:t>5.4 Recheck + flip-only verdict as the on-chip oracle</w:t>
              <w:tab/>
              <w:t>23</w:t>
            </w:r>
          </w:hyperlink>
        </w:p>
        <w:p>
          <w:pPr>
            <w:pStyle w:val="TOC2"/>
            <w:tabs>
              <w:tab w:val="clear" w:pos="9077"/>
              <w:tab w:val="right" w:pos="9359" w:leader="dot"/>
            </w:tabs>
            <w:rPr/>
          </w:pPr>
          <w:hyperlink w:anchor="__RefHeading___Toc1735_1863445830">
            <w:r>
              <w:rPr>
                <w:webHidden/>
                <w:rStyle w:val="IndexLink"/>
              </w:rPr>
              <w:t>5.5 UART over a debug core, plus the safety pair</w:t>
              <w:tab/>
              <w:t>24</w:t>
            </w:r>
          </w:hyperlink>
        </w:p>
        <w:p>
          <w:pPr>
            <w:pStyle w:val="TOC2"/>
            <w:tabs>
              <w:tab w:val="clear" w:pos="9077"/>
              <w:tab w:val="right" w:pos="9359" w:leader="dot"/>
            </w:tabs>
            <w:rPr/>
          </w:pPr>
          <w:hyperlink w:anchor="__RefHeading___Toc1737_1863445830">
            <w:r>
              <w:rPr>
                <w:webHidden/>
                <w:rStyle w:val="IndexLink"/>
              </w:rPr>
              <w:t>5.6 AXIS vs AXI4 flavours covering both integration styles</w:t>
              <w:tab/>
              <w:t>25</w:t>
            </w:r>
          </w:hyperlink>
        </w:p>
        <w:p>
          <w:pPr>
            <w:pStyle w:val="TOC1"/>
            <w:tabs>
              <w:tab w:val="clear" w:pos="9360"/>
              <w:tab w:val="right" w:pos="9359" w:leader="dot"/>
            </w:tabs>
            <w:rPr/>
          </w:pPr>
          <w:hyperlink w:anchor="__RefHeading___Toc1739_1863445830">
            <w:r>
              <w:rPr>
                <w:webHidden/>
                <w:rStyle w:val="IndexLink"/>
              </w:rPr>
              <w:t>6 Operating It</w:t>
              <w:tab/>
              <w:t>26</w:t>
            </w:r>
          </w:hyperlink>
        </w:p>
        <w:p>
          <w:pPr>
            <w:pStyle w:val="TOC1"/>
            <w:tabs>
              <w:tab w:val="clear" w:pos="9360"/>
              <w:tab w:val="right" w:pos="9359" w:leader="dot"/>
            </w:tabs>
            <w:rPr/>
          </w:pPr>
          <w:hyperlink w:anchor="__RefHeading___Toc1741_1863445830">
            <w:r>
              <w:rPr>
                <w:webHidden/>
                <w:rStyle w:val="IndexLink"/>
              </w:rPr>
              <w:t>7 What Is Deliberately Not Board-Tested</w:t>
              <w:tab/>
              <w:t>27</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CH_AXIS_datapath_an">
        <w:r>
          <w:rPr>
            <w:rStyle w:val="ListLabel1"/>
            <w:color w:val="000000"/>
            <w:sz w:val="24"/>
          </w:rPr>
          <w:t>Figure 2.1: BCH AXIS datapath and register path</w:t>
        </w:r>
        <w:r>
          <w:rPr>
            <w:rStyle w:val="ListLabel1"/>
          </w:rPr>
          <w:tab/>
        </w:r>
        <w:r>
          <w:rPr>
            <w:rStyle w:val="ListLabel1"/>
          </w:rPr>
          <w:fldChar w:fldCharType="begin"/>
        </w:r>
        <w:r>
          <w:rPr>
            <w:rStyle w:val="ListLabel1"/>
          </w:rPr>
          <w:instrText xml:space="preserve"> PAGEREF _Fig_1_BCH_AXIS_datapath_an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2_BCH_AXI4_memory_to_m">
        <w:r>
          <w:rPr>
            <w:rStyle w:val="ListLabel1"/>
            <w:color w:val="000000"/>
            <w:sz w:val="24"/>
          </w:rPr>
          <w:t>Figure 2.2: BCH AXI4 memory-to-memory datapath</w:t>
        </w:r>
        <w:r>
          <w:rPr>
            <w:rStyle w:val="ListLabel1"/>
          </w:rPr>
          <w:tab/>
        </w:r>
        <w:r>
          <w:rPr>
            <w:rStyle w:val="ListLabel1"/>
          </w:rPr>
          <w:fldChar w:fldCharType="begin"/>
        </w:r>
        <w:r>
          <w:rPr>
            <w:rStyle w:val="ListLabel1"/>
          </w:rPr>
          <w:instrText xml:space="preserve"> PAGEREF _Fig_2_BCH_AXI4_memory_to_m \h </w:instrText>
        </w:r>
        <w:r>
          <w:rPr>
            <w:rStyle w:val="ListLabel1"/>
          </w:rPr>
          <w:fldChar w:fldCharType="separate"/>
        </w:r>
        <w:r>
          <w:rPr>
            <w:rStyle w:val="ListLabel1"/>
          </w:rPr>
          <w:t>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1695_1863445830"/>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1697_1863445830"/>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harness guide for the BCH Genesys 2 UART loop.</w:t>
            </w:r>
            <w:bookmarkStart w:id="4" w:name="revision-history"/>
            <w:bookmarkEnd w:id="4"/>
          </w:p>
        </w:tc>
      </w:tr>
    </w:tbl>
    <w:p>
      <w:pPr>
        <w:pStyle w:val="Heading2"/>
        <w:pBdr>
          <w:bottom w:val="single" w:sz="12" w:space="0" w:color="228B22"/>
        </w:pBdr>
        <w:spacing w:before="280" w:after="80"/>
        <w:rPr/>
      </w:pPr>
      <w:r>
        <w:br w:type="page"/>
      </w:r>
      <w:bookmarkStart w:id="5" w:name="__RefHeading___Toc1699_1863445830"/>
      <w:bookmarkEnd w:id="5"/>
      <w:r>
        <w:rPr>
          <w:rStyle w:val="SectionNumber"/>
          <w:b/>
          <w:color w:val="228B22"/>
          <w:sz w:val="28"/>
        </w:rPr>
        <w:t>1.2</w:t>
      </w:r>
      <w:r>
        <w:rPr>
          <w:b/>
          <w:color w:val="228B22"/>
          <w:sz w:val="28"/>
        </w:rPr>
        <w:tab/>
        <w:t>Scope</w:t>
      </w:r>
    </w:p>
    <w:p>
      <w:pPr>
        <w:pStyle w:val="FirstParagraph"/>
        <w:rPr/>
      </w:pPr>
      <w:r>
        <w:rPr>
          <w:sz w:val="20"/>
        </w:rPr>
        <w:t>This book describes the BCH(4224,4120) t=8 UART harness on the Digilent Genesys 2: its contents, connectivity, and the motivations behind the FPGA testing choices. It is the harness guide that pairs with the Binary BCH Board Validation Report, which carries the run evidence.</w:t>
      </w:r>
      <w:r>
        <w:br w:type="page"/>
      </w:r>
    </w:p>
    <w:p>
      <w:pPr>
        <w:pStyle w:val="Heading2"/>
        <w:pBdr>
          <w:bottom w:val="single" w:sz="12" w:space="0" w:color="228B22"/>
        </w:pBdr>
        <w:spacing w:before="280" w:after="80"/>
        <w:rPr/>
      </w:pPr>
      <w:bookmarkStart w:id="6" w:name="__RefHeading___Toc1701_1863445830"/>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The harness description comes from </w:t>
      </w:r>
      <w:r>
        <w:rPr>
          <w:rStyle w:val="VerbatimChar"/>
          <w:sz w:val="20"/>
        </w:rPr>
        <w:t>docs/UART_HARNESS.md</w:t>
      </w:r>
      <w:r>
        <w:rPr>
          <w:sz w:val="20"/>
        </w:rPr>
        <w:t xml:space="preserve">, the living markdown copy in the harness directory. Build facts come from </w:t>
      </w:r>
      <w:r>
        <w:rPr>
          <w:rStyle w:val="VerbatimChar"/>
          <w:sz w:val="20"/>
        </w:rPr>
        <w:t>stable/MANIFEST.md</w:t>
      </w:r>
      <w:r>
        <w:rPr>
          <w:sz w:val="20"/>
        </w:rPr>
        <w:t xml:space="preserve"> and </w:t>
      </w:r>
      <w:r>
        <w:rPr>
          <w:rStyle w:val="VerbatimChar"/>
          <w:sz w:val="20"/>
        </w:rPr>
        <w:t>stable/reports/</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1703_1863445830"/>
      <w:bookmarkStart w:id="9" w:name="purpose-and-geometry"/>
      <w:bookmarkEnd w:id="8"/>
      <w:r>
        <w:rPr>
          <w:rStyle w:val="SectionNumber"/>
          <w:b/>
          <w:color w:val="FFFFFF"/>
          <w:sz w:val="32"/>
        </w:rPr>
        <w:t>2</w:t>
      </w:r>
      <w:r>
        <w:rPr>
          <w:b/>
          <w:color w:val="FFFFFF"/>
          <w:sz w:val="32"/>
        </w:rPr>
        <w:tab/>
        <w:t>Purpose and Geometry</w:t>
      </w:r>
    </w:p>
    <w:p>
      <w:pPr>
        <w:pStyle w:val="FirstParagraph"/>
        <w:rPr/>
      </w:pPr>
      <w:r>
        <w:rPr>
          <w:sz w:val="20"/>
        </w:rPr>
        <w:t xml:space="preserve">This is the BCH(4224,4120) t=8 codec on the Digilent Genesys 2, wrapped in a UART-controlled loop that runs the same campaigns in cocotb simulation and on the board. The geometry is frozen in </w:t>
      </w:r>
      <w:r>
        <w:rPr>
          <w:rStyle w:val="VerbatimChar"/>
          <w:sz w:val="20"/>
        </w:rPr>
        <w:t>build-loop/rtl/bch_loop_cfg_pkg.sv</w:t>
      </w:r>
      <w:r>
        <w:rPr>
          <w:sz w:val="20"/>
        </w:rPr>
        <w:t xml:space="preserve">: GF(2^13), primitive polynomial </w:t>
      </w:r>
      <w:r>
        <w:rPr>
          <w:rStyle w:val="VerbatimChar"/>
          <w:sz w:val="20"/>
        </w:rPr>
        <w:t>0x201B</w:t>
      </w:r>
      <w:r>
        <w:rPr>
          <w:sz w:val="20"/>
        </w:rPr>
        <w:t xml:space="preserve">, first root </w:t>
      </w:r>
      <w:r>
        <w:rPr>
          <w:rStyle w:val="VerbatimChar"/>
          <w:sz w:val="20"/>
        </w:rPr>
        <w:t>b=1</w:t>
      </w:r>
      <w:r>
        <w:rPr>
          <w:sz w:val="20"/>
        </w:rPr>
        <w:t xml:space="preserve">, </w:t>
      </w:r>
      <w:r>
        <w:rPr>
          <w:rStyle w:val="VerbatimChar"/>
          <w:sz w:val="20"/>
        </w:rPr>
        <w:t>n=4224</w:t>
      </w:r>
      <w:r>
        <w:rPr>
          <w:sz w:val="20"/>
        </w:rPr>
        <w:t xml:space="preserve"> shortened from </w:t>
      </w:r>
      <w:r>
        <w:rPr>
          <w:rStyle w:val="VerbatimChar"/>
          <w:sz w:val="20"/>
        </w:rPr>
        <w:t>8191 = 2^13 - 1</w:t>
      </w:r>
      <w:r>
        <w:rPr>
          <w:sz w:val="20"/>
        </w:rPr>
        <w:t xml:space="preserve">, parity degree </w:t>
      </w:r>
      <w:r>
        <w:rPr>
          <w:rStyle w:val="VerbatimChar"/>
          <w:sz w:val="20"/>
        </w:rPr>
        <w:t>104 = m*t</w:t>
      </w:r>
      <w:r>
        <w:rPr>
          <w:sz w:val="20"/>
        </w:rPr>
        <w:t xml:space="preserve">. The component core defaults to </w:t>
      </w:r>
      <w:r>
        <w:rPr>
          <w:rStyle w:val="VerbatimChar"/>
          <w:sz w:val="20"/>
        </w:rPr>
        <w:t>BITS_PER_BEAT = 8</w:t>
      </w:r>
      <w:r>
        <w:rPr>
          <w:sz w:val="20"/>
        </w:rPr>
        <w:t>; this harness widens the AXI-Stream/AXI4 wrappers to 32-bit beats.</w:t>
      </w:r>
    </w:p>
    <w:p>
      <w:pPr>
        <w:pStyle w:val="BodyText"/>
        <w:rPr/>
      </w:pPr>
      <w:r>
        <w:rPr>
          <w:sz w:val="20"/>
        </w:rPr>
        <w:t xml:space="preserve">The whole point of the loop is that errors are injected </w:t>
      </w:r>
      <w:r>
        <w:rPr>
          <w:b/>
          <w:bCs/>
          <w:sz w:val="20"/>
        </w:rPr>
        <w:t>after</w:t>
      </w:r>
      <w:r>
        <w:rPr>
          <w:sz w:val="20"/>
        </w:rPr>
        <w:t xml:space="preserve"> the encoder. The checker regenerates the expected LFSR pattern independently and compares it against the decoder’s output, so the verdict comes from a reference that never saw the errors.</w:t>
      </w:r>
    </w:p>
    <w:p>
      <w:pPr>
        <w:pStyle w:val="BodyText"/>
        <w:rPr/>
      </w:pPr>
      <w:r>
        <w:rPr>
          <w:sz w:val="20"/>
        </w:rPr>
        <w:t xml:space="preserve">The harness directory moved from </w:t>
      </w:r>
      <w:r>
        <w:rPr>
          <w:rStyle w:val="VerbatimChar"/>
          <w:sz w:val="20"/>
        </w:rPr>
        <w:t>NexysA7/</w:t>
      </w:r>
      <w:r>
        <w:rPr>
          <w:sz w:val="20"/>
        </w:rPr>
        <w:t xml:space="preserve"> to </w:t>
      </w:r>
      <w:r>
        <w:rPr>
          <w:rStyle w:val="VerbatimChar"/>
          <w:sz w:val="20"/>
        </w:rPr>
        <w:t>Genesys2/</w:t>
      </w:r>
      <w:r>
        <w:rPr>
          <w:sz w:val="20"/>
        </w:rPr>
        <w:t xml:space="preserve"> on 2026-10-05. </w:t>
      </w:r>
      <w:r>
        <w:rPr>
          <w:rStyle w:val="VerbatimChar"/>
          <w:sz w:val="20"/>
        </w:rPr>
        <w:t>BCH_TARGET</w:t>
      </w:r>
      <w:r>
        <w:rPr>
          <w:sz w:val="20"/>
        </w:rPr>
        <w:t xml:space="preserve"> still accepts </w:t>
      </w:r>
      <w:r>
        <w:rPr>
          <w:rStyle w:val="VerbatimChar"/>
          <w:sz w:val="20"/>
        </w:rPr>
        <w:t>nexys_a7_100t</w:t>
      </w:r>
      <w:r>
        <w:rPr>
          <w:sz w:val="20"/>
        </w:rPr>
        <w:t xml:space="preserve"> as a build option, and since 2026-10-07 the same tree carries a first-class small profile for it (issue #82): </w:t>
      </w:r>
      <w:r>
        <w:rPr>
          <w:rStyle w:val="VerbatimChar"/>
          <w:sz w:val="20"/>
        </w:rPr>
        <w:t>BCH_PROFILE=small</w:t>
      </w:r>
      <w:r>
        <w:rPr>
          <w:sz w:val="20"/>
        </w:rPr>
        <w:t xml:space="preserve"> builds BCH(248,224) t=3 for the A7-100T at 50 MHz (WNS +7.8 ns, 38% LUT). The Genesys 2 remains the primary target for the full profile: the k325t-2 has the room and timing margin to hold the full BCH(4224,4120) loop at 100 MHz with both AXIS and AXI4 flavours, and both images came out timing-clean on the board build with positive slack.</w:t>
      </w:r>
    </w:p>
    <w:p>
      <w:pPr>
        <w:pStyle w:val="BodyText"/>
        <w:rPr/>
      </w:pPr>
      <w:r>
        <w:rPr>
          <w:sz w:val="20"/>
        </w:rPr>
        <w:t xml:space="preserve">Two bitstreams are built: </w:t>
      </w:r>
      <w:r>
        <w:rPr>
          <w:rStyle w:val="VerbatimChar"/>
          <w:sz w:val="20"/>
        </w:rPr>
        <w:t>bch_loop_genesys2_axis.bit</w:t>
      </w:r>
      <w:r>
        <w:rPr>
          <w:sz w:val="20"/>
        </w:rPr>
        <w:t xml:space="preserve"> and </w:t>
      </w:r>
      <w:r>
        <w:rPr>
          <w:rStyle w:val="VerbatimChar"/>
          <w:sz w:val="20"/>
        </w:rPr>
        <w:t>bch_loop_genesys2_axi4.bit</w:t>
      </w:r>
      <w:r>
        <w:rPr>
          <w:sz w:val="20"/>
        </w:rPr>
        <w:t xml:space="preserve">. The AXIS flavour is a single streaming pipe; the AXI4 flavour is a memory-to-memory job chain across four AXI4 memories.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 so the same campaign scripts drive both without a command-line flag.</w:t>
      </w:r>
      <w:bookmarkEnd w:id="9"/>
      <w:r>
        <w:br w:type="page"/>
      </w:r>
    </w:p>
    <w:p>
      <w:pPr>
        <w:pStyle w:val="Heading1"/>
        <w:shd w:val="clear" w:color="auto" w:fill="404040"/>
        <w:spacing w:before="360" w:after="120"/>
        <w:rPr/>
      </w:pPr>
      <w:bookmarkStart w:id="10" w:name="__RefHeading___Toc1705_1863445830"/>
      <w:bookmarkEnd w:id="10"/>
      <w:r>
        <w:rPr>
          <w:rStyle w:val="SectionNumber"/>
          <w:b/>
          <w:color w:val="FFFFFF"/>
          <w:sz w:val="32"/>
        </w:rPr>
        <w:t>3</w:t>
      </w:r>
      <w:r>
        <w:rPr>
          <w:b/>
          <w:color w:val="FFFFFF"/>
          <w:sz w:val="32"/>
        </w:rPr>
        <w:tab/>
        <w:t>What Is In It</w:t>
      </w:r>
    </w:p>
    <w:p>
      <w:pPr>
        <w:pStyle w:val="Heading2"/>
        <w:pageBreakBefore w:val="false"/>
        <w:pBdr>
          <w:bottom w:val="single" w:sz="12" w:space="0" w:color="228B22"/>
        </w:pBdr>
        <w:spacing w:before="280" w:after="80"/>
        <w:rPr/>
      </w:pPr>
      <w:bookmarkStart w:id="11" w:name="__RefHeading___Toc1707_1863445830"/>
      <w:bookmarkEnd w:id="11"/>
      <w:r>
        <w:rPr>
          <w:rStyle w:val="SectionNumber"/>
          <w:b/>
          <w:color w:val="228B22"/>
          <w:sz w:val="28"/>
        </w:rPr>
        <w:t>3.1</w:t>
      </w:r>
      <w:r>
        <w:rPr>
          <w:b/>
          <w:color w:val="228B22"/>
          <w:sz w:val="28"/>
        </w:rPr>
        <w:tab/>
        <w:t>RTL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build-loop/rtl/bch_loop_genesys2_top.sv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 top: 200 MHz LVDS input, MMCM to 100 MHz, UART,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Nexys A7-100T board top, kept as the </w:t>
            </w:r>
            <w:r>
              <w:rPr>
                <w:rStyle w:val="VerbatimChar"/>
                <w:rFonts w:eastAsia="Cambria" w:cs=""/>
                <w:kern w:val="0"/>
                <w:szCs w:val="24"/>
                <w:lang w:val="en-US" w:eastAsia="en-US" w:bidi="ar-SA"/>
              </w:rPr>
              <w:t>nexys_a7_100t</w:t>
            </w:r>
            <w:r>
              <w:rPr>
                <w:rFonts w:eastAsia="Cambria" w:cs=""/>
                <w:kern w:val="0"/>
                <w:sz w:val="24"/>
                <w:szCs w:val="24"/>
                <w:lang w:val="en-US" w:eastAsia="en-US" w:bidi="ar-SA"/>
              </w:rPr>
              <w:t xml:space="preserve"> target option.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Board-agnostic datapath, CSR wiring, observer mux, status aggregation.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flavour: memory-to-memory codec chain over three job memories.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source of geometry, UART baud, build ID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bch_loop_regs_pkg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build-loop/rtl/generated/bch_loop_regs/rtl/bch_loop_regs.sv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bch_loop_regs_pkg.sv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PeakRDL-generated CSR block from </w:t>
            </w:r>
            <w:r>
              <w:rPr>
                <w:rStyle w:val="VerbatimChar"/>
                <w:rFonts w:eastAsia="Cambria" w:cs=""/>
                <w:kern w:val="0"/>
                <w:szCs w:val="24"/>
                <w:lang w:val="en-US" w:eastAsia="en-US" w:bidi="ar-SA"/>
              </w:rPr>
              <w:t>build-loop/rtl/bch_loop_regs.rdl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bridge_bch_loop_axil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rtl/bridges/generated/bridge_bch_loop_axil/bridge_bch_loop_axil.sv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1-master x 3-slave AXIL-to-APB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byte stream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projects/components/utility-ip/converters/rtl/apb4_to_peakrdl.sv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slave to PeakRDL cpuif 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one packet per block, per-channel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projects/components/ecc-ip/bch/rtl/top/bch_encoder_axis4.sv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rtl/macro/bch_encoder_core.sv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encoder,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projects/components/ecc-ip/bch/rtl/fub/bch_beat_packer.sv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Repacks encoder output into </w:t>
            </w:r>
            <w:r>
              <w:rPr>
                <w:rStyle w:val="VerbatimChar"/>
                <w:rFonts w:eastAsia="Cambria" w:cs=""/>
                <w:kern w:val="0"/>
                <w:szCs w:val="24"/>
                <w:lang w:val="en-US" w:eastAsia="en-US" w:bidi="ar-SA"/>
              </w:rPr>
              <w:t>ceil(n/BITS_PER_BEAT)</w:t>
            </w:r>
            <w:r>
              <w:rPr>
                <w:rFonts w:eastAsia="Cambria" w:cs=""/>
                <w:kern w:val="0"/>
                <w:sz w:val="24"/>
                <w:szCs w:val="24"/>
                <w:lang w:val="en-US" w:eastAsia="en-US" w:bidi="ar-SA"/>
              </w:rPr>
              <w:t xml:space="preserve"> codeword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bit-granular injector, modes 0..7, sits after the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projects/components/ecc-ip/bch/rtl/top/bch_decoder_axis4.sv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rtl/macro/bch_decoder_core.sv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reference checker, byte-granular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projects/components/utility-ip/misc/rtl/axis4_intf_observer.sv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four AXIS seams.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projects/components/utility-ip/misc/rtl/axi4_intf_master_observer.sv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AXI4 pipeline ports (AXI4 flavour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rtl/amba/shared/axi_bus_meter.sv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windowed bandwidth meters inside the harness.</w:t>
            </w:r>
            <w:bookmarkStart w:id="12" w:name="rtl-blocks"/>
            <w:bookmarkEnd w:id="12"/>
          </w:p>
        </w:tc>
      </w:tr>
    </w:tbl>
    <w:p>
      <w:pPr>
        <w:pStyle w:val="Heading2"/>
        <w:pBdr>
          <w:bottom w:val="single" w:sz="12" w:space="0" w:color="228B22"/>
        </w:pBdr>
        <w:spacing w:before="280" w:after="80"/>
        <w:rPr/>
      </w:pPr>
      <w:r>
        <w:br w:type="page"/>
      </w:r>
      <w:bookmarkStart w:id="13" w:name="__RefHeading___Toc1709_1863445830"/>
      <w:bookmarkEnd w:id="13"/>
      <w:r>
        <w:rPr>
          <w:rStyle w:val="SectionNumber"/>
          <w:b/>
          <w:color w:val="228B22"/>
          <w:sz w:val="28"/>
        </w:rPr>
        <w:t>3.2</w:t>
      </w:r>
      <w:r>
        <w:rPr>
          <w:b/>
          <w:color w:val="228B22"/>
          <w:sz w:val="28"/>
        </w:rPr>
        <w:tab/>
        <w:t>Host scripts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anchor: puts the shared </w:t>
            </w:r>
            <w:r>
              <w:rPr>
                <w:rStyle w:val="VerbatimChar"/>
                <w:rFonts w:eastAsia="Cambria" w:cs=""/>
                <w:kern w:val="0"/>
                <w:szCs w:val="24"/>
                <w:lang w:val="en-US" w:eastAsia="en-US" w:bidi="ar-SA"/>
              </w:rPr>
              <w:t>projects/fpga-systems/bin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build-loop/host</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sys.path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Campaign runner: resolves sequences, opens </w:t>
            </w:r>
            <w:r>
              <w:rPr>
                <w:rStyle w:val="VerbatimChar"/>
                <w:rFonts w:eastAsia="Cambria" w:cs=""/>
                <w:kern w:val="0"/>
                <w:szCs w:val="24"/>
                <w:lang w:val="en-US" w:eastAsia="en-US" w:bidi="ar-SA"/>
              </w:rPr>
              <w:t>BchLoopDriver</w:t>
            </w:r>
            <w:r>
              <w:rPr>
                <w:rFonts w:eastAsia="Cambria" w:cs=""/>
                <w:kern w:val="0"/>
                <w:sz w:val="24"/>
                <w:szCs w:val="24"/>
                <w:lang w:val="en-US" w:eastAsia="en-US" w:bidi="ar-SA"/>
              </w:rPr>
              <w:t>, prints report.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bin/seq_init.py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Proves BUILD_ID, SCRATCH round-trip, PROFILE, TOPOLOGY.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clean, </w:t>
            </w:r>
            <w:r>
              <w:rPr>
                <w:rStyle w:val="VerbatimChar"/>
                <w:rFonts w:eastAsia="Cambria" w:cs=""/>
                <w:kern w:val="0"/>
                <w:szCs w:val="24"/>
                <w:lang w:val="en-US" w:eastAsia="en-US" w:bidi="ar-SA"/>
              </w:rPr>
              <w:t>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e=t+1</w:t>
            </w:r>
            <w:r>
              <w:rPr>
                <w:rFonts w:eastAsia="Cambria" w:cs=""/>
                <w:kern w:val="0"/>
                <w:sz w:val="24"/>
                <w:szCs w:val="24"/>
                <w:lang w:val="en-US" w:eastAsia="en-US" w:bidi="ar-SA"/>
              </w:rPr>
              <w:t>, DEBUG walk.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bin/seq_sweep.py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count for </w:t>
            </w:r>
            <w:r>
              <w:rPr>
                <w:rStyle w:val="VerbatimChar"/>
                <w:rFonts w:eastAsia="Cambria" w:cs=""/>
                <w:kern w:val="0"/>
                <w:szCs w:val="24"/>
                <w:lang w:val="en-US" w:eastAsia="en-US" w:bidi="ar-SA"/>
              </w:rPr>
              <w:t>e = 0 .. 2t+2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RandomCampaign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bin/seq_random.py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data/error seeds, mixed modes.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bin/seq_soak.py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random-pattern stress.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BchLoopDriver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RunResult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status collection, observer readers.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authored-once programs: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verdict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 over the same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build-loop/dv/tbclasses/bch_loop_regs_regmap.py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by-name register map.</w:t>
            </w:r>
          </w:p>
        </w:tc>
      </w:tr>
    </w:tbl>
    <w:p>
      <w:pPr>
        <w:pStyle w:val="Heading2"/>
        <w:pBdr>
          <w:bottom w:val="single" w:sz="12" w:space="0" w:color="228B22"/>
        </w:pBdr>
        <w:spacing w:before="280" w:after="80"/>
        <w:rPr/>
      </w:pPr>
      <w:r>
        <w:br w:type="page"/>
      </w:r>
      <w:bookmarkStart w:id="14" w:name="__RefHeading___Toc1711_1863445830"/>
      <w:bookmarkEnd w:id="14"/>
      <w:r>
        <w:rPr>
          <w:rStyle w:val="SectionNumber"/>
          <w:b/>
          <w:color w:val="228B22"/>
          <w:sz w:val="28"/>
        </w:rPr>
        <w:t>3.3</w:t>
      </w:r>
      <w:r>
        <w:rPr>
          <w:b/>
          <w:color w:val="228B22"/>
          <w:sz w:val="28"/>
        </w:rPr>
        <w:tab/>
        <w:t>Make targets and build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Make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help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Area dispatcher; delegates every target to </w:t>
            </w:r>
            <w:r>
              <w:rPr>
                <w:rStyle w:val="VerbatimChar"/>
                <w:rFonts w:eastAsia="Cambria" w:cs=""/>
                <w:kern w:val="0"/>
                <w:szCs w:val="24"/>
                <w:lang w:val="en-US" w:eastAsia="en-US" w:bidi="ar-SA"/>
              </w:rPr>
              <w:t>build-loop/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BCH_TARGET=genesys2</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BCH_IFACE={AXIS,AXI4}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program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make/fpga_board.mk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projects/fpga-systems/bin/fpga_board.py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the board after JTAG identity verification.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Regenerates the CSR RTL and </w:t>
            </w:r>
            <w:r>
              <w:rPr>
                <w:rStyle w:val="VerbatimChar"/>
                <w:rFonts w:eastAsia="Cambria" w:cs=""/>
                <w:kern w:val="0"/>
                <w:szCs w:val="24"/>
                <w:lang w:val="en-US" w:eastAsia="en-US" w:bidi="ar-SA"/>
              </w:rPr>
              <w:t>dv/tbclasses/bch_loop_regs_regmap.py</w:t>
            </w:r>
            <w:r>
              <w:rPr>
                <w:rFonts w:eastAsia="Cambria" w:cs=""/>
                <w:kern w:val="0"/>
                <w:sz w:val="24"/>
                <w:szCs w:val="24"/>
                <w:lang w:val="en-US" w:eastAsia="en-US" w:bidi="ar-SA"/>
              </w:rPr>
              <w:t xml:space="preserve"> from the RDL.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bin/regen_bridges.sh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bin/regen_bridges.sh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Regenerates the 1x3 fabric from </w:t>
            </w:r>
            <w:r>
              <w:rPr>
                <w:rStyle w:val="VerbatimChar"/>
                <w:rFonts w:eastAsia="Cambria" w:cs=""/>
                <w:kern w:val="0"/>
                <w:szCs w:val="24"/>
                <w:lang w:val="en-US" w:eastAsia="en-US" w:bidi="ar-SA"/>
              </w:rPr>
              <w:t>rtl/bridges/configs/bridge_bch_loop_axil.toml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Serial build of both </w:t>
            </w:r>
            <w:r>
              <w:rPr>
                <w:rStyle w:val="VerbatimChar"/>
                <w:rFonts w:eastAsia="Cambria" w:cs=""/>
                <w:kern w:val="0"/>
                <w:szCs w:val="24"/>
                <w:lang w:val="en-US" w:eastAsia="en-US" w:bidi="ar-SA"/>
              </w:rPr>
              <w:t>bch_loop_genesys2_axis.bit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bch_loop_genesys2_axi4.bit</w:t>
            </w:r>
            <w:r>
              <w:rPr>
                <w:rFonts w:eastAsia="Cambria" w:cs=""/>
                <w:kern w:val="0"/>
                <w:sz w:val="24"/>
                <w:szCs w:val="24"/>
                <w:lang w:val="en-US" w:eastAsia="en-US" w:bidi="ar-SA"/>
              </w:rPr>
              <w:t>.</w:t>
            </w:r>
            <w:bookmarkStart w:id="15" w:name="what-is-in-it"/>
            <w:bookmarkEnd w:id="15"/>
          </w:p>
        </w:tc>
      </w:tr>
    </w:tbl>
    <w:p>
      <w:pPr>
        <w:pStyle w:val="Heading1"/>
        <w:shd w:val="clear" w:color="auto" w:fill="404040"/>
        <w:spacing w:before="360" w:after="120"/>
        <w:rPr/>
      </w:pPr>
      <w:r>
        <w:br w:type="page"/>
      </w:r>
      <w:bookmarkStart w:id="16" w:name="__RefHeading___Toc1713_1863445830"/>
      <w:bookmarkEnd w:id="16"/>
      <w:r>
        <w:rPr>
          <w:rStyle w:val="SectionNumber"/>
          <w:b/>
          <w:color w:val="FFFFFF"/>
          <w:sz w:val="32"/>
        </w:rPr>
        <w:t>4</w:t>
      </w:r>
      <w:r>
        <w:rPr>
          <w:b/>
          <w:color w:val="FFFFFF"/>
          <w:sz w:val="32"/>
        </w:rPr>
        <w:tab/>
        <w:t>How The Pieces Connect</w:t>
      </w:r>
    </w:p>
    <w:p>
      <w:pPr>
        <w:pStyle w:val="Heading2"/>
        <w:pageBreakBefore w:val="false"/>
        <w:pBdr>
          <w:bottom w:val="single" w:sz="12" w:space="0" w:color="228B22"/>
        </w:pBdr>
        <w:spacing w:before="280" w:after="80"/>
        <w:rPr/>
      </w:pPr>
      <w:bookmarkStart w:id="17" w:name="__RefHeading___Toc1715_1863445830"/>
      <w:bookmarkStart w:id="18" w:name="register-path"/>
      <w:bookmarkEnd w:id="17"/>
      <w:r>
        <w:rPr>
          <w:rStyle w:val="SectionNumber"/>
          <w:b/>
          <w:color w:val="228B22"/>
          <w:sz w:val="28"/>
        </w:rPr>
        <w:t>4.1</w:t>
      </w:r>
      <w:r>
        <w:rPr>
          <w:b/>
          <w:color w:val="228B22"/>
          <w:sz w:val="28"/>
        </w:rPr>
        <w:tab/>
        <w:t>Register path</w:t>
      </w:r>
    </w:p>
    <w:p>
      <w:pPr>
        <w:pStyle w:val="FirstParagraph"/>
        <w:rPr/>
      </w:pPr>
      <w:r>
        <w:rPr>
          <w:sz w:val="20"/>
        </w:rPr>
        <w:t xml:space="preserve">The host talks by name, not by offset: </w:t>
      </w:r>
      <w:r>
        <w:rPr>
          <w:rStyle w:val="VerbatimChar"/>
          <w:sz w:val="20"/>
        </w:rPr>
        <w:t>BchLoopDriver</w:t>
      </w:r>
      <w:r>
        <w:rPr>
          <w:sz w:val="20"/>
        </w:rPr>
        <w:t xml:space="preserve"> wraps </w:t>
      </w:r>
      <w:r>
        <w:rPr>
          <w:rStyle w:val="VerbatimChar"/>
          <w:sz w:val="20"/>
        </w:rPr>
        <w:t>UARTAxiBridge</w:t>
      </w:r>
      <w:r>
        <w:rPr>
          <w:sz w:val="20"/>
        </w:rPr>
        <w:t xml:space="preserve"> with </w:t>
      </w:r>
      <w:r>
        <w:rPr>
          <w:rStyle w:val="VerbatimChar"/>
          <w:sz w:val="20"/>
        </w:rPr>
        <w:t>UartRegisterMap</w:t>
      </w:r>
      <w:r>
        <w:rPr>
          <w:sz w:val="20"/>
        </w:rPr>
        <w:t xml:space="preserve"> over </w:t>
      </w:r>
      <w:r>
        <w:rPr>
          <w:rStyle w:val="VerbatimChar"/>
          <w:sz w:val="20"/>
        </w:rPr>
        <w:t>bch_loop_regs_regmap.py</w:t>
      </w:r>
      <w:r>
        <w:rPr>
          <w:sz w:val="20"/>
        </w:rPr>
        <w:t>. The diagram shows the path from the laptop to the three APB windows.</w:t>
      </w:r>
    </w:p>
    <w:p>
      <w:pPr>
        <w:pStyle w:val="Heading3"/>
        <w:spacing w:before="200" w:after="80"/>
        <w:rPr/>
      </w:pPr>
      <w:bookmarkStart w:id="19" w:name="__RefHeading___Toc1717_1863445830"/>
      <w:bookmarkStart w:id="20" w:name="X8bce58b1d260b5d325e3470ce4e1ef8c8af14c4"/>
      <w:bookmarkStart w:id="21" w:name="_Fig_1_BCH_AXIS_datapath_an"/>
      <w:bookmarkEnd w:id="19"/>
      <w:r>
        <w:rPr>
          <w:rStyle w:val="SectionNumber"/>
          <w:b/>
          <w:color w:val="404040"/>
          <w:sz w:val="24"/>
        </w:rPr>
        <w:t>4.1.1</w:t>
      </w:r>
      <w:r>
        <w:rPr>
          <w:b/>
          <w:color w:val="404040"/>
          <w:sz w:val="24"/>
        </w:rPr>
        <w:tab/>
        <w:t>Figure 2.1: BCH AXIS datapath and register path</w:t>
      </w:r>
      <w:bookmarkEnd w:id="21"/>
    </w:p>
    <w:p>
      <w:pPr>
        <w:pStyle w:val="CaptionedFigure"/>
        <w:rPr/>
      </w:pPr>
      <w:r>
        <w:rPr/>
        <w:drawing>
          <wp:inline distT="0" distB="0" distL="0" distR="0">
            <wp:extent cx="5334000" cy="4991100"/>
            <wp:effectExtent l="0" t="0" r="0" b="0"/>
            <wp:docPr id="4" name="Picture" descr="BCH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BCH AXIS datapath and register path"/>
                    <pic:cNvPicPr>
                      <a:picLocks noChangeAspect="1" noChangeArrowheads="1"/>
                    </pic:cNvPicPr>
                  </pic:nvPicPr>
                  <pic:blipFill>
                    <a:blip r:embed="rId3"/>
                    <a:stretch>
                      <a:fillRect/>
                    </a:stretch>
                  </pic:blipFill>
                  <pic:spPr bwMode="auto">
                    <a:xfrm>
                      <a:off x="0" y="0"/>
                      <a:ext cx="5334000" cy="4991100"/>
                    </a:xfrm>
                    <a:prstGeom prst="rect">
                      <a:avLst/>
                    </a:prstGeom>
                  </pic:spPr>
                </pic:pic>
              </a:graphicData>
            </a:graphic>
          </wp:inline>
        </w:drawing>
      </w:r>
    </w:p>
    <w:p>
      <w:pPr>
        <w:pStyle w:val="ImageCaption"/>
        <w:rPr/>
      </w:pPr>
      <w:r>
        <w:rPr/>
        <w:t>BCH AXIS datapath and register path</w:t>
      </w:r>
    </w:p>
    <w:p>
      <w:pPr>
        <w:pStyle w:val="BodyText"/>
        <w:rPr/>
      </w:pPr>
      <w:r>
        <w:rPr>
          <w:b/>
          <w:bCs/>
          <w:sz w:val="20"/>
        </w:rPr>
        <w:t>Source:</w:t>
      </w:r>
      <w:r>
        <w:rPr>
          <w:sz w:val="20"/>
        </w:rPr>
        <w:t xml:space="preserve"> </w:t>
      </w:r>
      <w:hyperlink r:id="rId4">
        <w:r>
          <w:rPr>
            <w:rStyle w:val="Hyperlink"/>
          </w:rPr>
          <w:t>01_bch_axis_loop.dot</w:t>
        </w:r>
      </w:hyperlink>
    </w:p>
    <w:p>
      <w:pPr>
        <w:pStyle w:val="BodyText"/>
        <w:rPr/>
      </w:pPr>
      <w:r>
        <w:rPr>
          <w:sz w:val="20"/>
        </w:rPr>
        <w:t xml:space="preserve">The register path is the same in both flavours. The only raw addresses in the host code are the two expansion-window bases used to attach observer register maps: </w:t>
      </w:r>
      <w:r>
        <w:rPr>
          <w:rStyle w:val="VerbatimChar"/>
          <w:sz w:val="20"/>
        </w:rPr>
        <w:t>OBS_AXI4_BASE = 0x00010000</w:t>
      </w:r>
      <w:r>
        <w:rPr>
          <w:sz w:val="20"/>
        </w:rPr>
        <w:t xml:space="preserve"> and </w:t>
      </w:r>
      <w:r>
        <w:rPr>
          <w:rStyle w:val="VerbatimChar"/>
          <w:sz w:val="20"/>
        </w:rPr>
        <w:t>OBS_AXIS_BASE = 0x00020000</w:t>
      </w:r>
      <w:r>
        <w:rPr>
          <w:sz w:val="20"/>
        </w:rPr>
        <w:t xml:space="preserve"> in </w:t>
      </w:r>
      <w:r>
        <w:rPr>
          <w:rStyle w:val="VerbatimChar"/>
          <w:sz w:val="20"/>
        </w:rPr>
        <w:t>build-loop/host/bch_loop.py</w:t>
      </w:r>
      <w:r>
        <w:rPr>
          <w:sz w:val="20"/>
        </w:rPr>
        <w:t xml:space="preserve">. Those bases match </w:t>
      </w:r>
      <w:r>
        <w:rPr>
          <w:rStyle w:val="VerbatimChar"/>
          <w:sz w:val="20"/>
        </w:rPr>
        <w:t>rtl/bridges/generated/bridge_bch_loop_axil/bridge_bch_loop_axil.toml</w:t>
      </w:r>
      <w:r>
        <w:rPr>
          <w:sz w:val="20"/>
        </w:rPr>
        <w:t>; if a window moves, the bridge is regenerated and the host picks it up in one place.</w:t>
      </w:r>
      <w:bookmarkEnd w:id="18"/>
      <w:bookmarkEnd w:id="20"/>
      <w:r>
        <w:br w:type="page"/>
      </w:r>
    </w:p>
    <w:p>
      <w:pPr>
        <w:pStyle w:val="Heading2"/>
        <w:pBdr>
          <w:bottom w:val="single" w:sz="12" w:space="0" w:color="228B22"/>
        </w:pBdr>
        <w:spacing w:before="280" w:after="80"/>
        <w:rPr/>
      </w:pPr>
      <w:bookmarkStart w:id="22" w:name="__RefHeading___Toc1719_1863445830"/>
      <w:bookmarkStart w:id="23" w:name="axi4-flavour-datapath"/>
      <w:bookmarkEnd w:id="22"/>
      <w:r>
        <w:rPr>
          <w:rStyle w:val="SectionNumber"/>
          <w:b/>
          <w:color w:val="228B22"/>
          <w:sz w:val="28"/>
        </w:rPr>
        <w:t>4.2</w:t>
      </w:r>
      <w:r>
        <w:rPr>
          <w:b/>
          <w:color w:val="228B22"/>
          <w:sz w:val="28"/>
        </w:rPr>
        <w:tab/>
        <w:t>AXI4 flavour datapath</w:t>
      </w:r>
    </w:p>
    <w:p>
      <w:pPr>
        <w:pStyle w:val="FirstParagraph"/>
        <w:rPr/>
      </w:pPr>
      <w:r>
        <w:rPr>
          <w:sz w:val="20"/>
        </w:rPr>
        <w:t>The AXI4 flavour replaces the streaming middle with a memory-to-memory job chain across three job memories.</w:t>
      </w:r>
    </w:p>
    <w:p>
      <w:pPr>
        <w:pStyle w:val="Heading3"/>
        <w:spacing w:before="200" w:after="80"/>
        <w:rPr/>
      </w:pPr>
      <w:bookmarkStart w:id="24" w:name="__RefHeading___Toc1721_1863445830"/>
      <w:bookmarkStart w:id="25" w:name="X95e220d01eb04ea275aef5e01c6660554f765c9"/>
      <w:bookmarkStart w:id="26" w:name="_Fig_2_BCH_AXI4_memory_to_m"/>
      <w:bookmarkEnd w:id="24"/>
      <w:r>
        <w:rPr>
          <w:rStyle w:val="SectionNumber"/>
          <w:b/>
          <w:color w:val="404040"/>
          <w:sz w:val="24"/>
        </w:rPr>
        <w:t>4.2.1</w:t>
      </w:r>
      <w:r>
        <w:rPr>
          <w:b/>
          <w:color w:val="404040"/>
          <w:sz w:val="24"/>
        </w:rPr>
        <w:tab/>
        <w:t>Figure 2.2: BCH AXI4 memory-to-memory datapath</w:t>
      </w:r>
      <w:bookmarkEnd w:id="26"/>
    </w:p>
    <w:p>
      <w:pPr>
        <w:pStyle w:val="CaptionedFigure"/>
        <w:rPr/>
      </w:pPr>
      <w:r>
        <w:rPr/>
        <w:drawing>
          <wp:inline distT="0" distB="0" distL="0" distR="0">
            <wp:extent cx="5334000" cy="6590030"/>
            <wp:effectExtent l="0" t="0" r="0" b="0"/>
            <wp:docPr id="5" name="Image2" descr="BCH AXI4 memory-to-memory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BCH AXI4 memory-to-memory datapath"/>
                    <pic:cNvPicPr>
                      <a:picLocks noChangeAspect="1" noChangeArrowheads="1"/>
                    </pic:cNvPicPr>
                  </pic:nvPicPr>
                  <pic:blipFill>
                    <a:blip r:embed="rId5"/>
                    <a:stretch>
                      <a:fillRect/>
                    </a:stretch>
                  </pic:blipFill>
                  <pic:spPr bwMode="auto">
                    <a:xfrm>
                      <a:off x="0" y="0"/>
                      <a:ext cx="5334000" cy="6590030"/>
                    </a:xfrm>
                    <a:prstGeom prst="rect">
                      <a:avLst/>
                    </a:prstGeom>
                  </pic:spPr>
                </pic:pic>
              </a:graphicData>
            </a:graphic>
          </wp:inline>
        </w:drawing>
      </w:r>
    </w:p>
    <w:p>
      <w:pPr>
        <w:pStyle w:val="ImageCaption"/>
        <w:rPr/>
      </w:pPr>
      <w:r>
        <w:rPr/>
        <w:t>BCH AXI4 memory-to-memory datapath</w:t>
      </w:r>
    </w:p>
    <w:p>
      <w:pPr>
        <w:pStyle w:val="BodyText"/>
        <w:rPr/>
      </w:pPr>
      <w:r>
        <w:rPr>
          <w:b/>
          <w:bCs/>
          <w:sz w:val="20"/>
        </w:rPr>
        <w:t>Source:</w:t>
      </w:r>
      <w:r>
        <w:rPr>
          <w:sz w:val="20"/>
        </w:rPr>
        <w:t xml:space="preserve"> </w:t>
      </w:r>
      <w:hyperlink r:id="rId6">
        <w:r>
          <w:rPr>
            <w:rStyle w:val="Hyperlink"/>
          </w:rPr>
          <w:t>02_bch_axi4_loop.dot</w:t>
        </w:r>
      </w:hyperlink>
      <w:bookmarkEnd w:id="23"/>
      <w:bookmarkEnd w:id="25"/>
      <w:r>
        <w:br w:type="page"/>
      </w:r>
    </w:p>
    <w:p>
      <w:pPr>
        <w:pStyle w:val="Heading2"/>
        <w:pBdr>
          <w:bottom w:val="single" w:sz="12" w:space="0" w:color="228B22"/>
        </w:pBdr>
        <w:spacing w:before="280" w:after="80"/>
        <w:rPr/>
      </w:pPr>
      <w:bookmarkStart w:id="27" w:name="__RefHeading___Toc1723_1863445830"/>
      <w:bookmarkStart w:id="28" w:name="clock-and-reset"/>
      <w:bookmarkEnd w:id="27"/>
      <w:r>
        <w:rPr>
          <w:rStyle w:val="SectionNumber"/>
          <w:b/>
          <w:color w:val="228B22"/>
          <w:sz w:val="28"/>
        </w:rPr>
        <w:t>4.3</w:t>
      </w:r>
      <w:r>
        <w:rPr>
          <w:b/>
          <w:color w:val="228B22"/>
          <w:sz w:val="28"/>
        </w:rPr>
        <w:tab/>
        <w:t>Clock and reset</w:t>
      </w:r>
    </w:p>
    <w:p>
      <w:pPr>
        <w:pStyle w:val="FirstParagraph"/>
        <w:rPr/>
      </w:pPr>
      <w:r>
        <w:rPr>
          <w:sz w:val="20"/>
        </w:rPr>
        <w:t xml:space="preserve">Clock and reset come from </w:t>
      </w:r>
      <w:r>
        <w:rPr>
          <w:rStyle w:val="VerbatimChar"/>
          <w:sz w:val="20"/>
        </w:rPr>
        <w:t>bch_loop_genesys2_top</w:t>
      </w:r>
      <w:r>
        <w:rPr>
          <w:sz w:val="20"/>
        </w:rPr>
        <w:t xml:space="preserve">: the 200 MHz LVDS system clock passes through </w:t>
      </w:r>
      <w:r>
        <w:rPr>
          <w:rStyle w:val="VerbatimChar"/>
          <w:sz w:val="20"/>
        </w:rPr>
        <w:t>IBUFDS</w:t>
      </w:r>
      <w:r>
        <w:rPr>
          <w:sz w:val="20"/>
        </w:rPr>
        <w:t xml:space="preserve"> and an </w:t>
      </w:r>
      <w:r>
        <w:rPr>
          <w:rStyle w:val="VerbatimChar"/>
          <w:sz w:val="20"/>
        </w:rPr>
        <w:t>MMCME2_BASE</w:t>
      </w:r>
      <w:r>
        <w:rPr>
          <w:sz w:val="20"/>
        </w:rPr>
        <w:t xml:space="preserve"> with </w:t>
      </w:r>
      <w:r>
        <w:rPr>
          <w:rStyle w:val="VerbatimChar"/>
          <w:sz w:val="20"/>
        </w:rPr>
        <w:t>CLKFBOUT_MULT_F = 6</w:t>
      </w:r>
      <w:r>
        <w:rPr>
          <w:sz w:val="20"/>
        </w:rPr>
        <w:t xml:space="preserve"> and </w:t>
      </w:r>
      <w:r>
        <w:rPr>
          <w:rStyle w:val="VerbatimChar"/>
          <w:sz w:val="20"/>
        </w:rPr>
        <w:t>CLKOUT0_DIVIDE_F = 12</w:t>
      </w:r>
      <w:r>
        <w:rPr>
          <w:sz w:val="20"/>
        </w:rPr>
        <w:t>, giving a 100 MHz harness clock. The Nexys A7 top runs the same 100 MHz directly. That frequency was chosen because the BCH loop and the UART divisor both close timing comfortably at 100 MHz on the k325t-2, and it keeps the AXIS and AXI4 flavours interchangeable from the host’s point of view.</w:t>
      </w:r>
      <w:bookmarkEnd w:id="28"/>
      <w:r>
        <w:br w:type="page"/>
      </w:r>
    </w:p>
    <w:p>
      <w:pPr>
        <w:pStyle w:val="Heading1"/>
        <w:shd w:val="clear" w:color="auto" w:fill="404040"/>
        <w:spacing w:before="360" w:after="120"/>
        <w:rPr/>
      </w:pPr>
      <w:bookmarkStart w:id="29" w:name="__RefHeading___Toc1725_1863445830"/>
      <w:bookmarkStart w:id="30" w:name="the-fpga-testing-choices-and-why"/>
      <w:bookmarkEnd w:id="29"/>
      <w:r>
        <w:rPr>
          <w:rStyle w:val="SectionNumber"/>
          <w:b/>
          <w:color w:val="FFFFFF"/>
          <w:sz w:val="32"/>
        </w:rPr>
        <w:t>5</w:t>
      </w:r>
      <w:r>
        <w:rPr>
          <w:b/>
          <w:color w:val="FFFFFF"/>
          <w:sz w:val="32"/>
        </w:rPr>
        <w:tab/>
        <w:t>The FPGA-Testing Choices, And Why</w:t>
      </w:r>
    </w:p>
    <w:p>
      <w:pPr>
        <w:pStyle w:val="Heading2"/>
        <w:pageBreakBefore w:val="false"/>
        <w:pBdr>
          <w:bottom w:val="single" w:sz="12" w:space="0" w:color="228B22"/>
        </w:pBdr>
        <w:spacing w:before="280" w:after="80"/>
        <w:rPr/>
      </w:pPr>
      <w:bookmarkStart w:id="31" w:name="__RefHeading___Toc1727_1863445830"/>
      <w:bookmarkStart w:id="32" w:name="deterministic-campaigns"/>
      <w:bookmarkEnd w:id="31"/>
      <w:r>
        <w:rPr>
          <w:rStyle w:val="SectionNumber"/>
          <w:b/>
          <w:color w:val="228B22"/>
          <w:sz w:val="28"/>
        </w:rPr>
        <w:t>5.1</w:t>
      </w:r>
      <w:r>
        <w:rPr>
          <w:b/>
          <w:color w:val="228B22"/>
          <w:sz w:val="28"/>
        </w:rPr>
        <w:tab/>
        <w:t>Deterministic campaigns</w:t>
      </w:r>
    </w:p>
    <w:p>
      <w:pPr>
        <w:pStyle w:val="FirstParagraph"/>
        <w:rPr/>
      </w:pPr>
      <w:r>
        <w:rPr>
          <w:sz w:val="20"/>
        </w:rPr>
        <w:t xml:space="preserve">Every board campaign is deterministic: the default </w:t>
      </w:r>
      <w:r>
        <w:rPr>
          <w:rStyle w:val="VerbatimChar"/>
          <w:sz w:val="20"/>
        </w:rPr>
        <w:t>gen_seed</w:t>
      </w:r>
      <w:r>
        <w:rPr>
          <w:sz w:val="20"/>
        </w:rPr>
        <w:t xml:space="preserve"> and </w:t>
      </w:r>
      <w:r>
        <w:rPr>
          <w:rStyle w:val="VerbatimChar"/>
          <w:sz w:val="20"/>
        </w:rPr>
        <w:t>inj_seed</w:t>
      </w:r>
      <w:r>
        <w:rPr>
          <w:sz w:val="20"/>
        </w:rPr>
        <w:t xml:space="preserve"> are 1, and the sequences in </w:t>
      </w:r>
      <w:r>
        <w:rPr>
          <w:rStyle w:val="VerbatimChar"/>
          <w:sz w:val="20"/>
        </w:rPr>
        <w:t>bin/seq_*.py</w:t>
      </w:r>
      <w:r>
        <w:rPr>
          <w:sz w:val="20"/>
        </w:rPr>
        <w:t xml:space="preserve"> produce the same bit-exact runs in cocotb simulation and on the board. That matters because a failure you can replay is a failure you can fix; a non-deterministic board-only failure is just a scary story. </w:t>
      </w:r>
      <w:r>
        <w:rPr>
          <w:rStyle w:val="VerbatimChar"/>
          <w:sz w:val="20"/>
        </w:rPr>
        <w:t>seq_random.py</w:t>
      </w:r>
      <w:r>
        <w:rPr>
          <w:sz w:val="20"/>
        </w:rPr>
        <w:t xml:space="preserve"> still varies its draws, but those draws come from a host-side </w:t>
      </w:r>
      <w:r>
        <w:rPr>
          <w:rStyle w:val="VerbatimChar"/>
          <w:sz w:val="20"/>
        </w:rPr>
        <w:t>random.Random(seed)</w:t>
      </w:r>
      <w:r>
        <w:rPr>
          <w:sz w:val="20"/>
        </w:rPr>
        <w:t xml:space="preserve"> seeded by the caller, so the variation is reproducible when you need it.</w:t>
      </w:r>
      <w:bookmarkEnd w:id="32"/>
      <w:r>
        <w:br w:type="page"/>
      </w:r>
    </w:p>
    <w:p>
      <w:pPr>
        <w:pStyle w:val="Heading2"/>
        <w:pBdr>
          <w:bottom w:val="single" w:sz="12" w:space="0" w:color="228B22"/>
        </w:pBdr>
        <w:spacing w:before="280" w:after="80"/>
        <w:rPr/>
      </w:pPr>
      <w:bookmarkStart w:id="33" w:name="__RefHeading___Toc1729_1863445830"/>
      <w:bookmarkStart w:id="34" w:name="X53a199f0e05baf626d45c0740703794633d0362"/>
      <w:bookmarkEnd w:id="33"/>
      <w:r>
        <w:rPr>
          <w:rStyle w:val="SectionNumber"/>
          <w:b/>
          <w:color w:val="228B22"/>
          <w:sz w:val="28"/>
        </w:rPr>
        <w:t>5.2</w:t>
      </w:r>
      <w:r>
        <w:rPr>
          <w:b/>
          <w:color w:val="228B22"/>
          <w:sz w:val="28"/>
        </w:rPr>
        <w:tab/>
        <w:t>Injector modes mapped to real failure mechanisms</w:t>
      </w:r>
    </w:p>
    <w:p>
      <w:pPr>
        <w:pStyle w:val="FirstParagraph"/>
        <w:rPr/>
      </w:pPr>
      <w:r>
        <w:rPr>
          <w:sz w:val="20"/>
        </w:rPr>
        <w:t xml:space="preserve">The shared </w:t>
      </w:r>
      <w:r>
        <w:rPr>
          <w:rStyle w:val="VerbatimChar"/>
          <w:sz w:val="20"/>
        </w:rPr>
        <w:t>error_injector</w:t>
      </w:r>
      <w:r>
        <w:rPr>
          <w:sz w:val="20"/>
        </w:rPr>
        <w:t xml:space="preserve"> exposes eight modes, and each one answers a different physical question. Exact-count mode proves the correction boundary: at </w:t>
      </w:r>
      <w:r>
        <w:rPr>
          <w:rStyle w:val="VerbatimChar"/>
          <w:sz w:val="20"/>
        </w:rPr>
        <w:t>e &lt;= t</w:t>
      </w:r>
      <w:r>
        <w:rPr>
          <w:sz w:val="20"/>
        </w:rPr>
        <w:t xml:space="preserve"> every block must correct with exactly </w:t>
      </w:r>
      <w:r>
        <w:rPr>
          <w:rStyle w:val="VerbatimChar"/>
          <w:sz w:val="20"/>
        </w:rPr>
        <w:t>e</w:t>
      </w:r>
      <w:r>
        <w:rPr>
          <w:sz w:val="20"/>
        </w:rPr>
        <w:t xml:space="preserve"> bits flipped, and at </w:t>
      </w:r>
      <w:r>
        <w:rPr>
          <w:rStyle w:val="VerbatimChar"/>
          <w:sz w:val="20"/>
        </w:rPr>
        <w:t>e &gt; t</w:t>
      </w:r>
      <w:r>
        <w:rPr>
          <w:sz w:val="20"/>
        </w:rPr>
        <w:t xml:space="preserve"> the decoder must flag uncorrectable. Burst and rate modes model raw bit-error behaviour on a noisy channel. Clusters and localized mode stand in for spatially correlated faults — a bad DRAM row, a disturbed NAND page, a half-plane failure — because real errors are rarely uniform. Badblock mode models retention tails and worn blocks: most of the stream stays clean while a hard minority runs at a much higher error rate. Debug mode is the bring-up helper, a deterministic walking pattern that closes by inspection.</w:t>
      </w:r>
      <w:bookmarkEnd w:id="34"/>
      <w:r>
        <w:br w:type="page"/>
      </w:r>
    </w:p>
    <w:p>
      <w:pPr>
        <w:pStyle w:val="Heading2"/>
        <w:pBdr>
          <w:bottom w:val="single" w:sz="12" w:space="0" w:color="228B22"/>
        </w:pBdr>
        <w:spacing w:before="280" w:after="80"/>
        <w:rPr/>
      </w:pPr>
      <w:bookmarkStart w:id="35" w:name="__RefHeading___Toc1731_1863445830"/>
      <w:bookmarkStart w:id="36" w:name="X33425c8a372d93eb7f1a792208a4c72a5622771"/>
      <w:bookmarkEnd w:id="35"/>
      <w:r>
        <w:rPr>
          <w:rStyle w:val="SectionNumber"/>
          <w:b/>
          <w:color w:val="228B22"/>
          <w:sz w:val="28"/>
        </w:rPr>
        <w:t>5.3</w:t>
      </w:r>
      <w:r>
        <w:rPr>
          <w:b/>
          <w:color w:val="228B22"/>
          <w:sz w:val="28"/>
        </w:rPr>
        <w:tab/>
        <w:t>Post-encoder injection protecting parity bits too</w:t>
      </w:r>
    </w:p>
    <w:p>
      <w:pPr>
        <w:pStyle w:val="FirstParagraph"/>
        <w:rPr/>
      </w:pPr>
      <w:r>
        <w:rPr>
          <w:sz w:val="20"/>
        </w:rPr>
        <w:t xml:space="preserve">The injector sits after the encoder, not inside the generator. That is not an accident: an error in the generator data would be encoded faithfully and the code would never see it. By corrupting the codeword, the parity bits are exposed to the same errors as the data, which is what happens when a real packet is stored, transmitted, or read back from memory. The </w:t>
      </w:r>
      <w:r>
        <w:rPr>
          <w:rStyle w:val="VerbatimChar"/>
          <w:sz w:val="20"/>
        </w:rPr>
        <w:t>bch_loop_harness.sv</w:t>
      </w:r>
      <w:r>
        <w:rPr>
          <w:sz w:val="20"/>
        </w:rPr>
        <w:t xml:space="preserve"> header comment calls this out explicitly, and the layout follows from it.</w:t>
      </w:r>
      <w:bookmarkEnd w:id="36"/>
      <w:r>
        <w:br w:type="page"/>
      </w:r>
    </w:p>
    <w:p>
      <w:pPr>
        <w:pStyle w:val="Heading2"/>
        <w:pBdr>
          <w:bottom w:val="single" w:sz="12" w:space="0" w:color="228B22"/>
        </w:pBdr>
        <w:spacing w:before="280" w:after="80"/>
        <w:rPr/>
      </w:pPr>
      <w:bookmarkStart w:id="37" w:name="__RefHeading___Toc1733_1863445830"/>
      <w:bookmarkStart w:id="38" w:name="X28597d5f952d8edbf8e0506b6bb6ce9edca9d3e"/>
      <w:bookmarkEnd w:id="37"/>
      <w:r>
        <w:rPr>
          <w:rStyle w:val="SectionNumber"/>
          <w:b/>
          <w:color w:val="228B22"/>
          <w:sz w:val="28"/>
        </w:rPr>
        <w:t>5.4</w:t>
      </w:r>
      <w:r>
        <w:rPr>
          <w:b/>
          <w:color w:val="228B22"/>
          <w:sz w:val="28"/>
        </w:rPr>
        <w:tab/>
        <w:t>Recheck + flip-only verdict as the on-chip oracle</w:t>
      </w:r>
    </w:p>
    <w:p>
      <w:pPr>
        <w:pStyle w:val="FirstParagraph"/>
        <w:rPr/>
      </w:pPr>
      <w:r>
        <w:rPr>
          <w:sz w:val="20"/>
        </w:rPr>
        <w:t>The BCH decoder uses riBM with odd-syndrome computation and even syndromes by squaring. It runs a second-syndrome recheck (</w:t>
      </w:r>
      <w:r>
        <w:rPr>
          <w:rStyle w:val="VerbatimChar"/>
          <w:sz w:val="20"/>
        </w:rPr>
        <w:t>ENABLE_RECHECK</w:t>
      </w:r>
      <w:r>
        <w:rPr>
          <w:sz w:val="20"/>
        </w:rPr>
        <w:t xml:space="preserve">) and performs flip-only correction — there is no Forney, because binary values are always 1. The checker independently regenerates the expected stream and reports </w:t>
      </w:r>
      <w:r>
        <w:rPr>
          <w:rStyle w:val="VerbatimChar"/>
          <w:sz w:val="20"/>
        </w:rPr>
        <w:t>data_err</w:t>
      </w:r>
      <w:r>
        <w:rPr>
          <w:sz w:val="20"/>
        </w:rPr>
        <w:t xml:space="preserve"> on any mismatched beat. Together they form the on-chip oracle: the decoder decides whether it thinks it corrected the block, and the checker decides whether the recovered bytes actually match the reference.</w:t>
      </w:r>
      <w:bookmarkEnd w:id="38"/>
      <w:r>
        <w:br w:type="page"/>
      </w:r>
    </w:p>
    <w:p>
      <w:pPr>
        <w:pStyle w:val="Heading2"/>
        <w:pBdr>
          <w:bottom w:val="single" w:sz="12" w:space="0" w:color="228B22"/>
        </w:pBdr>
        <w:spacing w:before="280" w:after="80"/>
        <w:rPr/>
      </w:pPr>
      <w:bookmarkStart w:id="39" w:name="__RefHeading___Toc1735_1863445830"/>
      <w:bookmarkStart w:id="40" w:name="X0c98aa677c1a3dce27fae4ce98d2159186982bf"/>
      <w:bookmarkEnd w:id="39"/>
      <w:r>
        <w:rPr>
          <w:rStyle w:val="SectionNumber"/>
          <w:b/>
          <w:color w:val="228B22"/>
          <w:sz w:val="28"/>
        </w:rPr>
        <w:t>5.5</w:t>
      </w:r>
      <w:r>
        <w:rPr>
          <w:b/>
          <w:color w:val="228B22"/>
          <w:sz w:val="28"/>
        </w:rPr>
        <w:tab/>
        <w:t>UART over a debug core, plus the safety pair</w:t>
      </w:r>
    </w:p>
    <w:p>
      <w:pPr>
        <w:pStyle w:val="FirstParagraph"/>
        <w:rPr/>
      </w:pPr>
      <w:r>
        <w:rPr>
          <w:sz w:val="20"/>
        </w:rPr>
        <w:t xml:space="preserve">The host link is a plain UART at 115200 baud, driven by </w:t>
      </w:r>
      <w:r>
        <w:rPr>
          <w:rStyle w:val="VerbatimChar"/>
          <w:sz w:val="20"/>
        </w:rPr>
        <w:t>uart_axil_bridge</w:t>
      </w:r>
      <w:r>
        <w:rPr>
          <w:sz w:val="20"/>
        </w:rPr>
        <w:t xml:space="preserve">. That choice keeps the harness scriptable from Python without a debug core licence and without vendor-specific probes. But scriptable does not mean careless. Two pieces of shared tooling guard the board: </w:t>
      </w:r>
      <w:r>
        <w:rPr>
          <w:rStyle w:val="VerbatimChar"/>
          <w:sz w:val="20"/>
        </w:rPr>
        <w:t>projects/fpga-systems/bin/board_lock.sh</w:t>
      </w:r>
      <w:r>
        <w:rPr>
          <w:sz w:val="20"/>
        </w:rPr>
        <w:t xml:space="preserve"> serializes programming flows by JTAG serial, and </w:t>
      </w:r>
      <w:r>
        <w:rPr>
          <w:rStyle w:val="VerbatimChar"/>
          <w:sz w:val="20"/>
        </w:rPr>
        <w:t>projects/fpga-systems/bin/fpga_board.py</w:t>
      </w:r>
      <w:r>
        <w:rPr>
          <w:sz w:val="20"/>
        </w:rPr>
        <w:t xml:space="preserve"> refuses to program until a JTAG readback confirms the expected Genesys 2 serial </w:t>
      </w:r>
      <w:r>
        <w:rPr>
          <w:rStyle w:val="VerbatimChar"/>
          <w:sz w:val="20"/>
        </w:rPr>
        <w:t>200300B818A0</w:t>
      </w:r>
      <w:r>
        <w:rPr>
          <w:sz w:val="20"/>
        </w:rPr>
        <w:t xml:space="preserve"> on the chain with a device behind it. The readback also bounces </w:t>
      </w:r>
      <w:r>
        <w:rPr>
          <w:rStyle w:val="VerbatimChar"/>
          <w:sz w:val="20"/>
        </w:rPr>
        <w:t>hw_server</w:t>
      </w:r>
      <w:r>
        <w:rPr>
          <w:sz w:val="20"/>
        </w:rPr>
        <w:t xml:space="preserve"> and retries up to five times on the deviceless-enumeration race that otherwise refused roughly half of programming attempts when a second Digilent board shared the chain.</w:t>
      </w:r>
      <w:bookmarkEnd w:id="40"/>
      <w:r>
        <w:br w:type="page"/>
      </w:r>
    </w:p>
    <w:p>
      <w:pPr>
        <w:pStyle w:val="Heading2"/>
        <w:pBdr>
          <w:bottom w:val="single" w:sz="12" w:space="0" w:color="228B22"/>
        </w:pBdr>
        <w:spacing w:before="280" w:after="80"/>
        <w:rPr/>
      </w:pPr>
      <w:bookmarkStart w:id="41" w:name="__RefHeading___Toc1737_1863445830"/>
      <w:bookmarkStart w:id="42" w:name="Xeb2c1eca342142d59e7b837f5707d394fe730c6"/>
      <w:bookmarkEnd w:id="41"/>
      <w:r>
        <w:rPr>
          <w:rStyle w:val="SectionNumber"/>
          <w:b/>
          <w:color w:val="228B22"/>
          <w:sz w:val="28"/>
        </w:rPr>
        <w:t>5.6</w:t>
      </w:r>
      <w:r>
        <w:rPr>
          <w:b/>
          <w:color w:val="228B22"/>
          <w:sz w:val="28"/>
        </w:rPr>
        <w:tab/>
        <w:t>AXIS vs AXI4 flavours covering both integration styles</w:t>
      </w:r>
    </w:p>
    <w:p>
      <w:pPr>
        <w:pStyle w:val="FirstParagraph"/>
        <w:rPr/>
      </w:pPr>
      <w:r>
        <w:rPr>
          <w:sz w:val="20"/>
        </w:rPr>
        <w:t xml:space="preserve">Two bitstreams are built and both are exercised. The AXIS flavour is a single streaming pipe; the AXI4 flavour is a memory-to-memory job chain.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 so the same campaign scripts drive both without a command-line flag.</w:t>
      </w:r>
      <w:bookmarkEnd w:id="30"/>
      <w:bookmarkEnd w:id="42"/>
      <w:r>
        <w:br w:type="page"/>
      </w:r>
    </w:p>
    <w:p>
      <w:pPr>
        <w:pStyle w:val="Heading1"/>
        <w:shd w:val="clear" w:color="auto" w:fill="404040"/>
        <w:spacing w:before="360" w:after="120"/>
        <w:rPr/>
      </w:pPr>
      <w:bookmarkStart w:id="43" w:name="__RefHeading___Toc1739_1863445830"/>
      <w:bookmarkStart w:id="44" w:name="operating-it"/>
      <w:bookmarkEnd w:id="43"/>
      <w:r>
        <w:rPr>
          <w:rStyle w:val="SectionNumber"/>
          <w:b/>
          <w:color w:val="FFFFFF"/>
          <w:sz w:val="32"/>
        </w:rPr>
        <w:t>6</w:t>
      </w:r>
      <w:r>
        <w:rPr>
          <w:b/>
          <w:color w:val="FFFFFF"/>
          <w:sz w:val="32"/>
        </w:rPr>
        <w:tab/>
        <w:t>Operating It</w:t>
      </w:r>
    </w:p>
    <w:p>
      <w:pPr>
        <w:pStyle w:val="FirstParagraph"/>
        <w:rPr/>
      </w:pPr>
      <w:r>
        <w:rPr>
          <w:sz w:val="20"/>
        </w:rPr>
        <w:t xml:space="preserve">Start with </w:t>
      </w:r>
      <w:r>
        <w:rPr>
          <w:rStyle w:val="VerbatimChar"/>
          <w:sz w:val="20"/>
        </w:rPr>
        <w:t>make help</w:t>
      </w:r>
      <w:r>
        <w:rPr>
          <w:sz w:val="20"/>
        </w:rPr>
        <w:t xml:space="preserve"> in </w:t>
      </w:r>
      <w:r>
        <w:rPr>
          <w:rStyle w:val="VerbatimChar"/>
          <w:sz w:val="20"/>
        </w:rPr>
        <w:t>projects/fpga-systems/Genesys2/ecc-ip/bch/</w:t>
      </w:r>
      <w:r>
        <w:rPr>
          <w:sz w:val="20"/>
        </w:rPr>
        <w:t xml:space="preserve"> and the per-build help under </w:t>
      </w:r>
      <w:r>
        <w:rPr>
          <w:rStyle w:val="VerbatimChar"/>
          <w:sz w:val="20"/>
        </w:rPr>
        <w:t>build-loop/</w:t>
      </w:r>
      <w:r>
        <w:rPr>
          <w:sz w:val="20"/>
        </w:rPr>
        <w:t>. A typical board run looks like:</w:t>
      </w:r>
    </w:p>
    <w:p>
      <w:pPr>
        <w:pStyle w:val="SourceCode"/>
        <w:rPr/>
      </w:pPr>
      <w:r>
        <w:rPr>
          <w:rStyle w:val="ExtensionTok"/>
        </w:rPr>
        <w:t>bin/run_smoke.py</w:t>
      </w:r>
      <w:r>
        <w:rPr>
          <w:rStyle w:val="NormalTok"/>
        </w:rPr>
        <w:t xml:space="preserve"> </w:t>
      </w:r>
      <w:r>
        <w:rPr>
          <w:rStyle w:val="AttributeTok"/>
        </w:rPr>
        <w:t>--board</w:t>
      </w:r>
      <w:r>
        <w:rPr>
          <w:rStyle w:val="NormalTok"/>
        </w:rPr>
        <w:t xml:space="preserve"> genesys2 </w:t>
      </w:r>
      <w:r>
        <w:rPr>
          <w:rStyle w:val="AttributeTok"/>
        </w:rPr>
        <w:t>--port</w:t>
      </w:r>
      <w:r>
        <w:rPr>
          <w:rStyle w:val="NormalTok"/>
        </w:rPr>
        <w:t xml:space="preserve"> /dev/ttyUSB0 </w:t>
      </w:r>
      <w:r>
        <w:rPr>
          <w:rStyle w:val="AttributeTok"/>
        </w:rPr>
        <w:t>--sequences</w:t>
      </w:r>
      <w:r>
        <w:rPr>
          <w:rStyle w:val="NormalTok"/>
        </w:rPr>
        <w:t xml:space="preserve"> init smoke sweep</w:t>
      </w:r>
    </w:p>
    <w:p>
      <w:pPr>
        <w:pStyle w:val="FirstParagraph"/>
        <w:rPr/>
      </w:pPr>
      <w:r>
        <w:rPr>
          <w:sz w:val="20"/>
        </w:rPr>
        <w:t xml:space="preserve">For the Nexys A7 small profile, build the bitstream with </w:t>
      </w:r>
      <w:r>
        <w:rPr>
          <w:rStyle w:val="VerbatimChar"/>
          <w:sz w:val="20"/>
        </w:rPr>
        <w:t>make -C build-loop bitstream BCH_TARGET=nexys_a7_100t BCH_PROFILE=small</w:t>
      </w:r>
      <w:r>
        <w:rPr>
          <w:sz w:val="20"/>
        </w:rPr>
        <w:t xml:space="preserve"> and drive the same sequences over the A7’s UART; </w:t>
      </w:r>
      <w:r>
        <w:rPr>
          <w:rStyle w:val="VerbatimChar"/>
          <w:sz w:val="20"/>
        </w:rPr>
        <w:t>init</w:t>
      </w:r>
      <w:r>
        <w:rPr>
          <w:sz w:val="20"/>
        </w:rPr>
        <w:t xml:space="preserve"> proves the “BCHS” BUILD_ID and the PROFILE CSR reports n=248, t=3, so the host programs pick up the geometry from the board.</w:t>
      </w:r>
    </w:p>
    <w:p>
      <w:pPr>
        <w:pStyle w:val="BodyText"/>
        <w:rPr/>
      </w:pPr>
      <w:r>
        <w:rPr>
          <w:sz w:val="20"/>
        </w:rPr>
        <w:t xml:space="preserve">Board timing, utilisation, and the matrix summary are recorded in </w:t>
      </w:r>
      <w:r>
        <w:rPr>
          <w:rStyle w:val="VerbatimChar"/>
          <w:sz w:val="20"/>
        </w:rPr>
        <w:t>stable/MANIFEST.md</w:t>
      </w:r>
      <w:r>
        <w:rPr>
          <w:sz w:val="20"/>
        </w:rPr>
        <w:t xml:space="preserve"> and </w:t>
      </w:r>
      <w:r>
        <w:rPr>
          <w:rStyle w:val="VerbatimChar"/>
          <w:sz w:val="20"/>
        </w:rPr>
        <w:t>stable/reports/{genesys2_axis,genesys2_axi4}/</w:t>
      </w:r>
      <w:r>
        <w:rPr>
          <w:sz w:val="20"/>
        </w:rPr>
        <w:t xml:space="preserve">. Campaign transcripts turn into reports with </w:t>
      </w:r>
      <w:r>
        <w:rPr>
          <w:rStyle w:val="VerbatimChar"/>
          <w:sz w:val="20"/>
        </w:rPr>
        <w:t>projects/fpga-systems/bin/report_battery.py</w:t>
      </w:r>
      <w:r>
        <w:rPr>
          <w:sz w:val="20"/>
        </w:rPr>
        <w:t xml:space="preserve"> (JSON artifacts, correction-boundary / decode-cost / soak-timeline figures, and a generated </w:t>
      </w:r>
      <w:r>
        <w:rPr>
          <w:rStyle w:val="VerbatimChar"/>
          <w:sz w:val="20"/>
        </w:rPr>
        <w:t>FINDINGS.md</w:t>
      </w:r>
      <w:r>
        <w:rPr>
          <w:sz w:val="20"/>
        </w:rPr>
        <w:t xml:space="preserve">); published runs live under </w:t>
      </w:r>
      <w:r>
        <w:rPr>
          <w:rStyle w:val="VerbatimChar"/>
          <w:sz w:val="20"/>
        </w:rPr>
        <w:t>stable/results/</w:t>
      </w:r>
      <w:r>
        <w:rPr>
          <w:sz w:val="20"/>
        </w:rPr>
        <w:t xml:space="preserve">. The run evidence — the 2026-10-05 battery and the one-million-block soak — is rolled up in the companion </w:t>
      </w:r>
      <w:r>
        <w:rPr>
          <w:i/>
          <w:iCs/>
          <w:sz w:val="20"/>
        </w:rPr>
        <w:t>Binary BCH Board Validation Report</w:t>
      </w:r>
      <w:r>
        <w:rPr>
          <w:sz w:val="20"/>
        </w:rPr>
        <w:t xml:space="preserve"> (</w:t>
      </w:r>
      <w:r>
        <w:rPr>
          <w:rStyle w:val="VerbatimChar"/>
          <w:sz w:val="20"/>
        </w:rPr>
        <w:t>docs/Binary_BCH_Board_Validation_v0.1.pdf</w:t>
      </w:r>
      <w:r>
        <w:rPr>
          <w:sz w:val="20"/>
        </w:rPr>
        <w:t xml:space="preserve">). For the Galois-field math behind the profile, see the component HAS chapter 7 under </w:t>
      </w:r>
      <w:r>
        <w:rPr>
          <w:rStyle w:val="VerbatimChar"/>
          <w:sz w:val="20"/>
        </w:rPr>
        <w:t>projects/components/ecc-ip/bch/docs/</w:t>
      </w:r>
      <w:r>
        <w:rPr>
          <w:sz w:val="20"/>
        </w:rPr>
        <w:t xml:space="preserve">. The sister harness has the matching guide at </w:t>
      </w:r>
      <w:r>
        <w:rPr>
          <w:rStyle w:val="VerbatimChar"/>
          <w:sz w:val="20"/>
        </w:rPr>
        <w:t>../../reed-solomon/docs/Reed_Solomon_UART_Harness_v0.1.pdf</w:t>
      </w:r>
      <w:r>
        <w:rPr>
          <w:sz w:val="20"/>
        </w:rPr>
        <w:t>.</w:t>
      </w:r>
      <w:bookmarkEnd w:id="44"/>
      <w:r>
        <w:br w:type="page"/>
      </w:r>
    </w:p>
    <w:p>
      <w:pPr>
        <w:pStyle w:val="Heading1"/>
        <w:shd w:val="clear" w:color="auto" w:fill="404040"/>
        <w:spacing w:before="360" w:after="120"/>
        <w:rPr/>
      </w:pPr>
      <w:bookmarkStart w:id="45" w:name="__RefHeading___Toc1741_1863445830"/>
      <w:bookmarkStart w:id="46" w:name="what-is-deliberately-not-board-tested"/>
      <w:bookmarkEnd w:id="45"/>
      <w:r>
        <w:rPr>
          <w:rStyle w:val="SectionNumber"/>
          <w:b/>
          <w:color w:val="FFFFFF"/>
          <w:sz w:val="32"/>
        </w:rPr>
        <w:t>7</w:t>
      </w:r>
      <w:r>
        <w:rPr>
          <w:b/>
          <w:color w:val="FFFFFF"/>
          <w:sz w:val="32"/>
        </w:rPr>
        <w:tab/>
        <w:t>What Is Deliberately Not Board-Tested</w:t>
      </w:r>
    </w:p>
    <w:p>
      <w:pPr>
        <w:pStyle w:val="FirstParagraph"/>
        <w:rPr/>
      </w:pPr>
      <w:r>
        <w:rPr>
          <w:sz w:val="20"/>
        </w:rPr>
        <w:t>Some things are out of scope, and it is worth saying so plainly.</w:t>
      </w:r>
    </w:p>
    <w:p>
      <w:pPr>
        <w:pStyle w:val="Compact"/>
        <w:numPr>
          <w:ilvl w:val="0"/>
          <w:numId w:val="1"/>
        </w:numPr>
        <w:rPr/>
      </w:pPr>
      <w:r>
        <w:rPr/>
        <w:t xml:space="preserve">BCH has no erasure path in this harness: the injector’s </w:t>
      </w:r>
      <w:r>
        <w:rPr>
          <w:rStyle w:val="VerbatimChar"/>
        </w:rPr>
        <w:t>out_erasure</w:t>
      </w:r>
      <w:r>
        <w:rPr/>
        <w:t xml:space="preserve"> is tied off and </w:t>
      </w:r>
      <w:r>
        <w:rPr>
          <w:rStyle w:val="VerbatimChar"/>
        </w:rPr>
        <w:t>cfg_mark_erasure</w:t>
      </w:r>
      <w:r>
        <w:rPr/>
        <w:t xml:space="preserve"> is held low.</w:t>
      </w:r>
    </w:p>
    <w:p>
      <w:pPr>
        <w:pStyle w:val="Compact"/>
        <w:numPr>
          <w:ilvl w:val="0"/>
          <w:numId w:val="1"/>
        </w:numPr>
        <w:rPr/>
      </w:pPr>
      <w:r>
        <w:rPr/>
        <w:t xml:space="preserve">The board validates only the </w:t>
      </w:r>
      <w:r>
        <w:rPr>
          <w:rStyle w:val="VerbatimChar"/>
        </w:rPr>
        <w:t>BCH(4224,4120) t=8</w:t>
      </w:r>
      <w:r>
        <w:rPr/>
        <w:t xml:space="preserve"> profile; smaller profiles like </w:t>
      </w:r>
      <w:r>
        <w:rPr>
          <w:rStyle w:val="VerbatimChar"/>
        </w:rPr>
        <w:t>(63,57) t=1</w:t>
      </w:r>
      <w:r>
        <w:rPr/>
        <w:t xml:space="preserve"> are covered in simulation and component DV, not on the board.</w:t>
      </w:r>
    </w:p>
    <w:p>
      <w:pPr>
        <w:pStyle w:val="Compact"/>
        <w:numPr>
          <w:ilvl w:val="0"/>
          <w:numId w:val="1"/>
        </w:numPr>
        <w:rPr/>
      </w:pPr>
      <w:r>
        <w:rPr/>
        <w:t>The component DV matrix exercises the codec in ways the board harness does not replicate.</w:t>
      </w:r>
    </w:p>
    <w:p>
      <w:pPr>
        <w:pStyle w:val="Compact"/>
        <w:numPr>
          <w:ilvl w:val="0"/>
          <w:numId w:val="1"/>
        </w:numPr>
        <w:spacing w:before="36" w:after="36"/>
        <w:rPr/>
      </w:pPr>
      <w:bookmarkStart w:id="47" w:name="what-is-deliberately-not-board-tested"/>
      <w:r>
        <w:rPr/>
        <w:t>The 2026-10-05 million-block soak is statistical, not exhaustive; its counters and the bounded mis-decode criterion are reported in the Board Validation Report.</w:t>
      </w:r>
      <w:bookmarkEnd w:id="47"/>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ch_axis_loop.dot" TargetMode="External"/><Relationship Id="rId5" Type="http://schemas.openxmlformats.org/officeDocument/2006/relationships/image" Target="media/image3.png"/><Relationship Id="rId6" Type="http://schemas.openxmlformats.org/officeDocument/2006/relationships/hyperlink" Target="../assets/graphviz/02_bch_axi4_loop.dot"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2026-10-14T01:31:46Z</dcterms:created>
  <dc:creator/>
  <dc:description/>
  <dc:language>en-US</dc:language>
  <cp:lastModifiedBy/>
  <dcterms:modified xsi:type="dcterms:W3CDTF">2026-10-13T18:31:49Z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