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1.svg" ContentType="image/svg"/>
  <Override PartName="/word/media/image13.svg" ContentType="image/svg"/>
  <Override PartName="/word/media/image3.svg" ContentType="image/svg"/>
  <Override PartName="/word/media/image5.svg" ContentType="image/svg"/>
  <Override PartName="/word/media/image7.svg" ContentType="image/svg"/>
  <Override PartName="/word/media/image9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6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69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RTC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4323_3190140819">
            <w:r>
              <w:rPr>
                <w:webHidden/>
                <w:rStyle w:val="IndexLink"/>
              </w:rPr>
              <w:t>1 Rtc Mas Index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25_3190140819">
            <w:r>
              <w:rPr>
                <w:webHidden/>
                <w:rStyle w:val="IndexLink"/>
              </w:rPr>
              <w:t>2 APB RTC - Overview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27_3190140819">
            <w:r>
              <w:rPr>
                <w:webHidden/>
                <w:rStyle w:val="IndexLink"/>
              </w:rPr>
              <w:t>2.1 Introduction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29_3190140819">
            <w:r>
              <w:rPr>
                <w:webHidden/>
                <w:rStyle w:val="IndexLink"/>
              </w:rPr>
              <w:t>2.2 Key Features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31_3190140819">
            <w:r>
              <w:rPr>
                <w:webHidden/>
                <w:rStyle w:val="IndexLink"/>
              </w:rPr>
              <w:t>2.2.1 Time Keeping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33_3190140819">
            <w:r>
              <w:rPr>
                <w:webHidden/>
                <w:rStyle w:val="IndexLink"/>
              </w:rPr>
              <w:t>2.2.2 Alarm Function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35_3190140819">
            <w:r>
              <w:rPr>
                <w:webHidden/>
                <w:rStyle w:val="IndexLink"/>
              </w:rPr>
              <w:t>2.2.3 Interrupt Support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37_3190140819">
            <w:r>
              <w:rPr>
                <w:webHidden/>
                <w:rStyle w:val="IndexLink"/>
              </w:rPr>
              <w:t>2.2.4 Power Management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39_3190140819">
            <w:r>
              <w:rPr>
                <w:webHidden/>
                <w:rStyle w:val="IndexLink"/>
              </w:rPr>
              <w:t>2.3 Applications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41_3190140819">
            <w:r>
              <w:rPr>
                <w:webHidden/>
                <w:rStyle w:val="IndexLink"/>
              </w:rPr>
              <w:t>2.4 Block Diagram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43_3190140819">
            <w:r>
              <w:rPr>
                <w:webHidden/>
                <w:rStyle w:val="IndexLink"/>
              </w:rPr>
              <w:t>2.4.1 Figure 1.1: RTC Block Diagram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45_3190140819">
            <w:r>
              <w:rPr>
                <w:webHidden/>
                <w:rStyle w:val="IndexLink"/>
              </w:rPr>
              <w:t>2.5 Timing Diagrams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47_3190140819">
            <w:r>
              <w:rPr>
                <w:webHidden/>
                <w:rStyle w:val="IndexLink"/>
              </w:rPr>
              <w:t>2.5.1 Waveform 1.1: Time Register Read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49_3190140819">
            <w:r>
              <w:rPr>
                <w:webHidden/>
                <w:rStyle w:val="IndexLink"/>
              </w:rPr>
              <w:t>2.5.2 Waveform 1.2: Time Increment with Rollover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51_3190140819">
            <w:r>
              <w:rPr>
                <w:webHidden/>
                <w:rStyle w:val="IndexLink"/>
              </w:rPr>
              <w:t>2.5.3 Waveform 1.3: Alarm Match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53_3190140819">
            <w:r>
              <w:rPr>
                <w:webHidden/>
                <w:rStyle w:val="IndexLink"/>
              </w:rPr>
              <w:t>2.5.4 Waveform 1.4: Periodic Interrupt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55_3190140819">
            <w:r>
              <w:rPr>
                <w:webHidden/>
                <w:rStyle w:val="IndexLink"/>
              </w:rPr>
              <w:t>2.5.5 Waveform 1.5: Update-In-Progress (UIP)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57_3190140819">
            <w:r>
              <w:rPr>
                <w:webHidden/>
                <w:rStyle w:val="IndexLink"/>
              </w:rPr>
              <w:t>2.6 Register Summary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59_3190140819">
            <w:r>
              <w:rPr>
                <w:webHidden/>
                <w:rStyle w:val="IndexLink"/>
              </w:rPr>
              <w:t>2.7 Parameters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61_3190140819">
            <w:r>
              <w:rPr>
                <w:webHidden/>
                <w:rStyle w:val="IndexLink"/>
              </w:rPr>
              <w:t>3 APB RTC - Architecture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63_3190140819">
            <w:r>
              <w:rPr>
                <w:webHidden/>
                <w:rStyle w:val="IndexLink"/>
              </w:rPr>
              <w:t>3.1 High-Level Block Diagram</w:t>
              <w:tab/>
              <w:t>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65_3190140819">
            <w:r>
              <w:rPr>
                <w:webHidden/>
                <w:rStyle w:val="IndexLink"/>
              </w:rPr>
              <w:t>3.1.1 Figure 1.2: RTC Architecture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67_3190140819">
            <w:r>
              <w:rPr>
                <w:webHidden/>
                <w:rStyle w:val="IndexLink"/>
              </w:rPr>
              <w:t>3.2 Module Hierarchy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69_3190140819">
            <w:r>
              <w:rPr>
                <w:webHidden/>
                <w:rStyle w:val="IndexLink"/>
              </w:rPr>
              <w:t>3.3 Data Flow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71_3190140819">
            <w:r>
              <w:rPr>
                <w:webHidden/>
                <w:rStyle w:val="IndexLink"/>
              </w:rPr>
              <w:t>3.4 Clock Domains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73_3190140819">
            <w:r>
              <w:rPr>
                <w:webHidden/>
                <w:rStyle w:val="IndexLink"/>
              </w:rPr>
              <w:t>4 APB RTC - Register Map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75_3190140819">
            <w:r>
              <w:rPr>
                <w:webHidden/>
                <w:rStyle w:val="IndexLink"/>
              </w:rPr>
              <w:t>4.1 Register Summary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77_3190140819">
            <w:r>
              <w:rPr>
                <w:webHidden/>
                <w:rStyle w:val="IndexLink"/>
              </w:rPr>
              <w:t>4.2 RTC_CONTROL (0x30)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79_3190140819">
            <w:r>
              <w:rPr>
                <w:webHidden/>
                <w:rStyle w:val="IndexLink"/>
              </w:rPr>
              <w:t>4.3 RTC_STATUS (0x34)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81_3190140819">
            <w:r>
              <w:rPr>
                <w:webHidden/>
                <w:rStyle w:val="IndexLink"/>
              </w:rPr>
              <w:t>4.4 BCD Format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83_3190140819">
            <w:r>
              <w:rPr>
                <w:webHidden/>
                <w:rStyle w:val="IndexLink"/>
              </w:rPr>
              <w:t>5 Retro Legacy Blocks - Product Requirements Document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85_3190140819">
            <w:r>
              <w:rPr>
                <w:webHidden/>
                <w:rStyle w:val="IndexLink"/>
              </w:rPr>
              <w:t>5.1 1. Overview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87_3190140819">
            <w:r>
              <w:rPr>
                <w:webHidden/>
                <w:rStyle w:val="IndexLink"/>
              </w:rPr>
              <w:t>5.1.1 1.1 Purpose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89_3190140819">
            <w:r>
              <w:rPr>
                <w:webHidden/>
                <w:rStyle w:val="IndexLink"/>
              </w:rPr>
              <w:t>5.1.2 1.2 Design Philosophy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91_3190140819">
            <w:r>
              <w:rPr>
                <w:webHidden/>
                <w:rStyle w:val="IndexLink"/>
              </w:rPr>
              <w:t>5.1.3 1.3 Target Applications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93_3190140819">
            <w:r>
              <w:rPr>
                <w:webHidden/>
                <w:rStyle w:val="IndexLink"/>
              </w:rPr>
              <w:t>5.2 2. Implemented Blocks</w:t>
              <w:tab/>
              <w:t>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95_3190140819">
            <w:r>
              <w:rPr>
                <w:webHidden/>
                <w:rStyle w:val="IndexLink"/>
              </w:rPr>
              <w:t>5.2.1 2.1 HPET - High Precision Event Timer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97_3190140819">
            <w:r>
              <w:rPr>
                <w:webHidden/>
                <w:rStyle w:val="IndexLink"/>
              </w:rPr>
              <w:t>5.3 3. Planned Blocks</w:t>
              <w:tab/>
              <w:t>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99_3190140819">
            <w:r>
              <w:rPr>
                <w:webHidden/>
                <w:rStyle w:val="IndexLink"/>
              </w:rPr>
              <w:t>5.3.1 3.1 8259 - Programmable Interrupt Controller (PIC)</w:t>
              <w:tab/>
              <w:t>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01_3190140819">
            <w:r>
              <w:rPr>
                <w:webHidden/>
                <w:rStyle w:val="IndexLink"/>
              </w:rPr>
              <w:t>5.3.2 3.2 8254 - Programmable Interval Timer (PIT)</w:t>
              <w:tab/>
              <w:t>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03_3190140819">
            <w:r>
              <w:rPr>
                <w:webHidden/>
                <w:rStyle w:val="IndexLink"/>
              </w:rPr>
              <w:t>5.3.3 3.3 GPIO - General Purpose I/O</w:t>
              <w:tab/>
              <w:t>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05_3190140819">
            <w:r>
              <w:rPr>
                <w:webHidden/>
                <w:rStyle w:val="IndexLink"/>
              </w:rPr>
              <w:t>5.3.4 3.4 RTC - Real-Time Clock</w:t>
              <w:tab/>
              <w:t>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07_3190140819">
            <w:r>
              <w:rPr>
                <w:webHidden/>
                <w:rStyle w:val="IndexLink"/>
              </w:rPr>
              <w:t>5.3.5 3.5 SMBus Controller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09_3190140819">
            <w:r>
              <w:rPr>
                <w:webHidden/>
                <w:rStyle w:val="IndexLink"/>
              </w:rPr>
              <w:t>5.3.6 3.6 UART - Universal Asynchronous Receiver/Transmitter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11_3190140819">
            <w:r>
              <w:rPr>
                <w:webHidden/>
                <w:rStyle w:val="IndexLink"/>
              </w:rPr>
              <w:t>5.3.7 3.7 SPI Controller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13_3190140819">
            <w:r>
              <w:rPr>
                <w:webHidden/>
                <w:rStyle w:val="IndexLink"/>
              </w:rPr>
              <w:t>5.3.8 3.8 I2C Controller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15_3190140819">
            <w:r>
              <w:rPr>
                <w:webHidden/>
                <w:rStyle w:val="IndexLink"/>
              </w:rPr>
              <w:t>5.3.9 3.9 Watchdog Timer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17_3190140819">
            <w:r>
              <w:rPr>
                <w:webHidden/>
                <w:rStyle w:val="IndexLink"/>
              </w:rPr>
              <w:t>5.3.10 3.10 Power Management / ACPI Controller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19_3190140819">
            <w:r>
              <w:rPr>
                <w:webHidden/>
                <w:rStyle w:val="IndexLink"/>
              </w:rPr>
              <w:t>5.3.11 3.11 IOAPIC - I/O Advanced Programmable Interrupt Controller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21_3190140819">
            <w:r>
              <w:rPr>
                <w:webHidden/>
                <w:rStyle w:val="IndexLink"/>
              </w:rPr>
              <w:t>5.3.12 3.12 Interconnect ID / Version Registers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23_3190140819">
            <w:r>
              <w:rPr>
                <w:webHidden/>
                <w:rStyle w:val="IndexLink"/>
              </w:rPr>
              <w:t>5.4 4. Integration and Wrapper Goals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25_3190140819">
            <w:r>
              <w:rPr>
                <w:webHidden/>
                <w:rStyle w:val="IndexLink"/>
              </w:rPr>
              <w:t>5.4.1 4.1 Individual Block Integration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27_3190140819">
            <w:r>
              <w:rPr>
                <w:webHidden/>
                <w:rStyle w:val="IndexLink"/>
              </w:rPr>
              <w:t>5.4.2 4.2 RLB Wrapper Architecture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29_3190140819">
            <w:r>
              <w:rPr>
                <w:webHidden/>
                <w:rStyle w:val="IndexLink"/>
              </w:rPr>
              <w:t>5.5 5. Design Standards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31_3190140819">
            <w:r>
              <w:rPr>
                <w:webHidden/>
                <w:rStyle w:val="IndexLink"/>
              </w:rPr>
              <w:t>5.5.1 5.1 Reset Handling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33_3190140819">
            <w:r>
              <w:rPr>
                <w:webHidden/>
                <w:rStyle w:val="IndexLink"/>
              </w:rPr>
              <w:t>5.5.2 5.2 Register Generation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35_3190140819">
            <w:r>
              <w:rPr>
                <w:webHidden/>
                <w:rStyle w:val="IndexLink"/>
              </w:rPr>
              <w:t>5.5.3 5.3 Testbench Architecture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37_3190140819">
            <w:r>
              <w:rPr>
                <w:webHidden/>
                <w:rStyle w:val="IndexLink"/>
              </w:rPr>
              <w:t>5.5.4 5.4 FPGA Synthesis Attributes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39_3190140819">
            <w:r>
              <w:rPr>
                <w:webHidden/>
                <w:rStyle w:val="IndexLink"/>
              </w:rPr>
              <w:t>5.5.5 5.5 Documentation Requirements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41_3190140819">
            <w:r>
              <w:rPr>
                <w:webHidden/>
                <w:rStyle w:val="IndexLink"/>
              </w:rPr>
              <w:t>5.6 6. Quality Metrics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43_3190140819">
            <w:r>
              <w:rPr>
                <w:webHidden/>
                <w:rStyle w:val="IndexLink"/>
              </w:rPr>
              <w:t>5.6.1 6.1 Production Readiness Criteria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45_3190140819">
            <w:r>
              <w:rPr>
                <w:webHidden/>
                <w:rStyle w:val="IndexLink"/>
              </w:rPr>
              <w:t>5.6.2 6.2 Current Status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47_3190140819">
            <w:r>
              <w:rPr>
                <w:webHidden/>
                <w:rStyle w:val="IndexLink"/>
              </w:rPr>
              <w:t>5.7 7. Development Roadmap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49_3190140819">
            <w:r>
              <w:rPr>
                <w:webHidden/>
                <w:rStyle w:val="IndexLink"/>
              </w:rPr>
              <w:t>5.7.1 7.1 Phase 1: Foundation (Complete ✓)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51_3190140819">
            <w:r>
              <w:rPr>
                <w:webHidden/>
                <w:rStyle w:val="IndexLink"/>
              </w:rPr>
              <w:t>5.7.2 7.2 Phase 2: Core Peripherals (Next 6-9 Months)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53_3190140819">
            <w:r>
              <w:rPr>
                <w:webHidden/>
                <w:rStyle w:val="IndexLink"/>
              </w:rPr>
              <w:t>5.7.3 7.3 Phase 3: Advanced Peripherals (9-15 Months)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55_3190140819">
            <w:r>
              <w:rPr>
                <w:webHidden/>
                <w:rStyle w:val="IndexLink"/>
              </w:rPr>
              <w:t>5.7.4 7.4 Phase 4: System Integration (15+ Months)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57_3190140819">
            <w:r>
              <w:rPr>
                <w:webHidden/>
                <w:rStyle w:val="IndexLink"/>
              </w:rPr>
              <w:t>5.8 8. References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59_3190140819">
            <w:r>
              <w:rPr>
                <w:webHidden/>
                <w:rStyle w:val="IndexLink"/>
              </w:rPr>
              <w:t>5.8.1 8.1 External Standards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61_3190140819">
            <w:r>
              <w:rPr>
                <w:webHidden/>
                <w:rStyle w:val="IndexLink"/>
              </w:rPr>
              <w:t>5.8.2 8.2 Internal Documentation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63_3190140819">
            <w:r>
              <w:rPr>
                <w:webHidden/>
                <w:rStyle w:val="IndexLink"/>
              </w:rPr>
              <w:t>5.8.3 8.3 Block-Specific Documentation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65_3190140819">
            <w:r>
              <w:rPr>
                <w:webHidden/>
                <w:rStyle w:val="IndexLink"/>
              </w:rPr>
              <w:t>5.9 9. Success Criteria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67_3190140819">
            <w:r>
              <w:rPr>
                <w:webHidden/>
                <w:rStyle w:val="IndexLink"/>
              </w:rPr>
              <w:t>5.9.1 9.1 Individual Block Success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69_3190140819">
            <w:r>
              <w:rPr>
                <w:webHidden/>
                <w:rStyle w:val="IndexLink"/>
              </w:rPr>
              <w:t>5.9.2 9.2 Collection Success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71_3190140819">
            <w:r>
              <w:rPr>
                <w:webHidden/>
                <w:rStyle w:val="IndexLink"/>
              </w:rPr>
              <w:t>5.9.3 9.3 Long-Term Vision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rtc-mas-index"/>
      <w:bookmarkStart w:id="1" w:name="rtc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RTC_Block_Diagram">
        <w:r>
          <w:rPr>
            <w:rStyle w:val="ListLabel1"/>
            <w:color w:val="000000"/>
            <w:sz w:val="24"/>
          </w:rPr>
          <w:t>Figure 1.1: RTC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_Fig_1_RTC_Block_Diagram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RTC_Architecture">
        <w:r>
          <w:rPr>
            <w:rStyle w:val="ListLabel1"/>
            <w:color w:val="000000"/>
            <w:sz w:val="24"/>
          </w:rPr>
          <w:t>Figure 1.2: RTC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_Fig_2_RTC_Architecture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1_Time_Register_Read">
        <w:r>
          <w:rPr>
            <w:rStyle w:val="ListLabel1"/>
            <w:color w:val="000000"/>
            <w:sz w:val="24"/>
          </w:rPr>
          <w:t>Waveform 1.1: Time Register Read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_Wave_1_1_Time_Register_Read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2_Time_Increment_with_">
        <w:r>
          <w:rPr>
            <w:rStyle w:val="ListLabel1"/>
            <w:color w:val="000000"/>
            <w:sz w:val="24"/>
          </w:rPr>
          <w:t>Waveform 1.2: Time Increment with Rollover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_Wave_1_2_Time_Increment_with_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3_Alarm_Match">
        <w:r>
          <w:rPr>
            <w:rStyle w:val="ListLabel1"/>
            <w:color w:val="000000"/>
            <w:sz w:val="24"/>
          </w:rPr>
          <w:t>Waveform 1.3: Alarm Match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_Wave_1_3_Alarm_Match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4_Periodic_Interrupt">
        <w:r>
          <w:rPr>
            <w:rStyle w:val="ListLabel1"/>
            <w:color w:val="000000"/>
            <w:sz w:val="24"/>
          </w:rPr>
          <w:t>Waveform 1.4: Periodic Interrupt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_Wave_1_4_Periodic_Interrupt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5_Update_In_Progress__">
        <w:r>
          <w:rPr>
            <w:rStyle w:val="ListLabel1"/>
            <w:color w:val="000000"/>
            <w:sz w:val="24"/>
          </w:rPr>
          <w:t>Waveform 1.5: Update-In-Progress (UIP)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_Wave_1_5_Update_In_Progress__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4323_3190140819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Rtc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rtc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4325_3190140819"/>
      <w:bookmarkStart w:id="5" w:name="apb-rtc---overview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APB RTC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4327_3190140819"/>
      <w:bookmarkStart w:id="7" w:name="introduction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Introduction</w:t>
      </w:r>
    </w:p>
    <w:p>
      <w:pPr>
        <w:pStyle w:val="FirstParagraph"/>
        <w:rPr/>
      </w:pPr>
      <w:bookmarkStart w:id="8" w:name="introduction"/>
      <w:r>
        <w:rPr>
          <w:sz w:val="20"/>
        </w:rPr>
        <w:t>The APB RTC is a Real-Time Clock controller with an APB slave interface. It maintains time and date with battery backup support and provides alarm and periodic interrupt capabilities.</w: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4329_3190140819"/>
      <w:bookmarkStart w:id="10" w:name="key-features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Key Features</w:t>
      </w:r>
    </w:p>
    <w:p>
      <w:pPr>
        <w:pStyle w:val="Heading3"/>
        <w:spacing w:before="200" w:after="80"/>
        <w:rPr/>
      </w:pPr>
      <w:bookmarkStart w:id="11" w:name="__RefHeading___Toc4331_3190140819"/>
      <w:bookmarkStart w:id="12" w:name="time-keeping"/>
      <w:bookmarkEnd w:id="11"/>
      <w:r>
        <w:rPr>
          <w:rStyle w:val="SectionNumber"/>
          <w:b/>
          <w:color w:val="404040"/>
          <w:sz w:val="24"/>
        </w:rPr>
        <w:t>2.2.1</w:t>
      </w:r>
      <w:r>
        <w:rPr>
          <w:b/>
          <w:color w:val="404040"/>
          <w:sz w:val="24"/>
        </w:rPr>
        <w:tab/>
        <w:t>Time Keeping</w:t>
      </w:r>
    </w:p>
    <w:p>
      <w:pPr>
        <w:pStyle w:val="Compact"/>
        <w:numPr>
          <w:ilvl w:val="0"/>
          <w:numId w:val="1"/>
        </w:numPr>
        <w:rPr/>
      </w:pPr>
      <w:r>
        <w:rPr/>
        <w:t>Seconds, minutes, hours (12/24-hour mode)</w:t>
      </w:r>
    </w:p>
    <w:p>
      <w:pPr>
        <w:pStyle w:val="Compact"/>
        <w:numPr>
          <w:ilvl w:val="0"/>
          <w:numId w:val="1"/>
        </w:numPr>
        <w:rPr/>
      </w:pPr>
      <w:r>
        <w:rPr/>
        <w:t>Day of week, date, month, year</w:t>
      </w:r>
    </w:p>
    <w:p>
      <w:pPr>
        <w:pStyle w:val="Compact"/>
        <w:numPr>
          <w:ilvl w:val="0"/>
          <w:numId w:val="1"/>
        </w:numPr>
        <w:rPr/>
      </w:pPr>
      <w:r>
        <w:rPr/>
        <w:t>Century support (2000-2099)</w:t>
      </w:r>
    </w:p>
    <w:p>
      <w:pPr>
        <w:pStyle w:val="Compact"/>
        <w:numPr>
          <w:ilvl w:val="0"/>
          <w:numId w:val="1"/>
        </w:numPr>
        <w:rPr/>
      </w:pPr>
      <w:r>
        <w:rPr/>
        <w:t>Leap year calculation</w:t>
      </w:r>
    </w:p>
    <w:p>
      <w:pPr>
        <w:pStyle w:val="Compact"/>
        <w:numPr>
          <w:ilvl w:val="0"/>
          <w:numId w:val="1"/>
        </w:numPr>
        <w:rPr/>
      </w:pPr>
      <w:bookmarkStart w:id="13" w:name="time-keeping"/>
      <w:r>
        <w:rPr/>
        <w:t>BCD format storage</w:t>
      </w:r>
      <w:bookmarkEnd w:id="13"/>
    </w:p>
    <w:p>
      <w:pPr>
        <w:pStyle w:val="Heading3"/>
        <w:spacing w:before="200" w:after="80"/>
        <w:rPr/>
      </w:pPr>
      <w:bookmarkStart w:id="14" w:name="__RefHeading___Toc4333_3190140819"/>
      <w:bookmarkStart w:id="15" w:name="alarm-function"/>
      <w:bookmarkEnd w:id="14"/>
      <w:r>
        <w:rPr>
          <w:rStyle w:val="SectionNumber"/>
          <w:b/>
          <w:color w:val="404040"/>
          <w:sz w:val="24"/>
        </w:rPr>
        <w:t>2.2.2</w:t>
      </w:r>
      <w:r>
        <w:rPr>
          <w:b/>
          <w:color w:val="404040"/>
          <w:sz w:val="24"/>
        </w:rPr>
        <w:tab/>
        <w:t>Alarm Function</w:t>
      </w:r>
    </w:p>
    <w:p>
      <w:pPr>
        <w:pStyle w:val="Compact"/>
        <w:numPr>
          <w:ilvl w:val="0"/>
          <w:numId w:val="12"/>
        </w:numPr>
        <w:rPr/>
      </w:pPr>
      <w:r>
        <w:rPr/>
        <w:t>Configurable alarm time</w:t>
      </w:r>
    </w:p>
    <w:p>
      <w:pPr>
        <w:pStyle w:val="Compact"/>
        <w:numPr>
          <w:ilvl w:val="0"/>
          <w:numId w:val="13"/>
        </w:numPr>
        <w:rPr/>
      </w:pPr>
      <w:r>
        <w:rPr/>
        <w:t>Second, minute, hour, date match</w:t>
      </w:r>
    </w:p>
    <w:p>
      <w:pPr>
        <w:pStyle w:val="Compact"/>
        <w:numPr>
          <w:ilvl w:val="0"/>
          <w:numId w:val="14"/>
        </w:numPr>
        <w:rPr/>
      </w:pPr>
      <w:bookmarkStart w:id="16" w:name="alarm-function"/>
      <w:r>
        <w:rPr/>
        <w:t>Daily or specific date alarm</w:t>
      </w:r>
      <w:bookmarkEnd w:id="16"/>
    </w:p>
    <w:p>
      <w:pPr>
        <w:pStyle w:val="Heading3"/>
        <w:spacing w:before="200" w:after="80"/>
        <w:rPr/>
      </w:pPr>
      <w:bookmarkStart w:id="17" w:name="__RefHeading___Toc4335_3190140819"/>
      <w:bookmarkStart w:id="18" w:name="interrupt-support"/>
      <w:bookmarkEnd w:id="17"/>
      <w:r>
        <w:rPr>
          <w:rStyle w:val="SectionNumber"/>
          <w:b/>
          <w:color w:val="404040"/>
          <w:sz w:val="24"/>
        </w:rPr>
        <w:t>2.2.3</w:t>
      </w:r>
      <w:r>
        <w:rPr>
          <w:b/>
          <w:color w:val="404040"/>
          <w:sz w:val="24"/>
        </w:rPr>
        <w:tab/>
        <w:t>Interrupt Support</w:t>
      </w:r>
    </w:p>
    <w:p>
      <w:pPr>
        <w:pStyle w:val="Compact"/>
        <w:numPr>
          <w:ilvl w:val="0"/>
          <w:numId w:val="15"/>
        </w:numPr>
        <w:rPr/>
      </w:pPr>
      <w:r>
        <w:rPr/>
        <w:t>Alarm match interrupt</w:t>
      </w:r>
    </w:p>
    <w:p>
      <w:pPr>
        <w:pStyle w:val="Compact"/>
        <w:numPr>
          <w:ilvl w:val="0"/>
          <w:numId w:val="16"/>
        </w:numPr>
        <w:rPr/>
      </w:pPr>
      <w:r>
        <w:rPr/>
        <w:t>Periodic interrupt (1 Hz)</w:t>
      </w:r>
    </w:p>
    <w:p>
      <w:pPr>
        <w:pStyle w:val="Compact"/>
        <w:numPr>
          <w:ilvl w:val="0"/>
          <w:numId w:val="17"/>
        </w:numPr>
        <w:rPr/>
      </w:pPr>
      <w:bookmarkStart w:id="19" w:name="interrupt-support"/>
      <w:r>
        <w:rPr/>
        <w:t>Update-ended interrupt</w:t>
      </w:r>
      <w:bookmarkEnd w:id="19"/>
    </w:p>
    <w:p>
      <w:pPr>
        <w:pStyle w:val="Heading3"/>
        <w:spacing w:before="200" w:after="80"/>
        <w:rPr/>
      </w:pPr>
      <w:bookmarkStart w:id="20" w:name="__RefHeading___Toc4337_3190140819"/>
      <w:bookmarkStart w:id="21" w:name="power-management"/>
      <w:bookmarkEnd w:id="20"/>
      <w:r>
        <w:rPr>
          <w:rStyle w:val="SectionNumber"/>
          <w:b/>
          <w:color w:val="404040"/>
          <w:sz w:val="24"/>
        </w:rPr>
        <w:t>2.2.4</w:t>
      </w:r>
      <w:r>
        <w:rPr>
          <w:b/>
          <w:color w:val="404040"/>
          <w:sz w:val="24"/>
        </w:rPr>
        <w:tab/>
        <w:t>Power Management</w:t>
      </w:r>
    </w:p>
    <w:p>
      <w:pPr>
        <w:pStyle w:val="Compact"/>
        <w:numPr>
          <w:ilvl w:val="0"/>
          <w:numId w:val="18"/>
        </w:numPr>
        <w:rPr/>
      </w:pPr>
      <w:r>
        <w:rPr/>
        <w:t>Low-power 32.768 kHz oscillator</w:t>
      </w:r>
    </w:p>
    <w:p>
      <w:pPr>
        <w:pStyle w:val="Compact"/>
        <w:numPr>
          <w:ilvl w:val="0"/>
          <w:numId w:val="19"/>
        </w:numPr>
        <w:rPr/>
      </w:pPr>
      <w:r>
        <w:rPr/>
        <w:t>Battery backup domain support</w:t>
      </w:r>
    </w:p>
    <w:p>
      <w:pPr>
        <w:pStyle w:val="Compact"/>
        <w:numPr>
          <w:ilvl w:val="0"/>
          <w:numId w:val="20"/>
        </w:numPr>
        <w:rPr/>
      </w:pPr>
      <w:bookmarkStart w:id="22" w:name="key-features"/>
      <w:bookmarkStart w:id="23" w:name="power-management"/>
      <w:r>
        <w:rPr/>
        <w:t>RAM retention (optional)</w:t>
      </w:r>
      <w:bookmarkEnd w:id="22"/>
      <w:bookmarkEnd w:id="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" w:name="__RefHeading___Toc4339_3190140819"/>
      <w:bookmarkStart w:id="25" w:name="applications"/>
      <w:bookmarkEnd w:id="24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Applications</w:t>
      </w:r>
    </w:p>
    <w:p>
      <w:pPr>
        <w:pStyle w:val="Compact"/>
        <w:numPr>
          <w:ilvl w:val="0"/>
          <w:numId w:val="21"/>
        </w:numPr>
        <w:rPr/>
      </w:pPr>
      <w:r>
        <w:rPr/>
        <w:t>System timekeeping</w:t>
      </w:r>
    </w:p>
    <w:p>
      <w:pPr>
        <w:pStyle w:val="Compact"/>
        <w:numPr>
          <w:ilvl w:val="0"/>
          <w:numId w:val="22"/>
        </w:numPr>
        <w:rPr/>
      </w:pPr>
      <w:r>
        <w:rPr/>
        <w:t>Scheduled wake-up</w:t>
      </w:r>
    </w:p>
    <w:p>
      <w:pPr>
        <w:pStyle w:val="Compact"/>
        <w:numPr>
          <w:ilvl w:val="0"/>
          <w:numId w:val="23"/>
        </w:numPr>
        <w:rPr/>
      </w:pPr>
      <w:r>
        <w:rPr/>
        <w:t>Event timestamping</w:t>
      </w:r>
    </w:p>
    <w:p>
      <w:pPr>
        <w:pStyle w:val="Compact"/>
        <w:numPr>
          <w:ilvl w:val="0"/>
          <w:numId w:val="24"/>
        </w:numPr>
        <w:rPr/>
      </w:pPr>
      <w:r>
        <w:rPr/>
        <w:t>Calendar functions</w:t>
      </w:r>
    </w:p>
    <w:p>
      <w:pPr>
        <w:pStyle w:val="Compact"/>
        <w:numPr>
          <w:ilvl w:val="0"/>
          <w:numId w:val="25"/>
        </w:numPr>
        <w:rPr/>
      </w:pPr>
      <w:bookmarkStart w:id="26" w:name="applications"/>
      <w:r>
        <w:rPr/>
        <w:t>Alarm clock</w:t>
      </w:r>
      <w:bookmarkEnd w:id="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" w:name="__RefHeading___Toc4341_3190140819"/>
      <w:bookmarkStart w:id="28" w:name="block-diagram"/>
      <w:bookmarkEnd w:id="27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29" w:name="__RefHeading___Toc4343_3190140819"/>
      <w:bookmarkStart w:id="30" w:name="figure-1.1-rtc-block-diagram"/>
      <w:bookmarkStart w:id="31" w:name="_Fig_1_RTC_Block_Diagram"/>
      <w:bookmarkEnd w:id="29"/>
      <w:r>
        <w:rPr>
          <w:rStyle w:val="SectionNumber"/>
          <w:b/>
          <w:color w:val="404040"/>
          <w:sz w:val="24"/>
        </w:rPr>
        <w:t>2.4.1</w:t>
      </w:r>
      <w:r>
        <w:rPr>
          <w:b/>
          <w:color w:val="404040"/>
          <w:sz w:val="24"/>
        </w:rPr>
        <w:tab/>
        <w:t>Figure 1.1: RTC Block Diagram</w:t>
      </w:r>
      <w:bookmarkEnd w:id="31"/>
    </w:p>
    <w:p>
      <w:pPr>
        <w:pStyle w:val="CaptionedFigure"/>
        <w:rPr/>
      </w:pPr>
      <w:r>
        <w:rPr/>
        <w:drawing>
          <wp:inline distT="0" distB="0" distL="0" distR="0">
            <wp:extent cx="5334000" cy="1433830"/>
            <wp:effectExtent l="0" t="0" r="0" b="0"/>
            <wp:docPr id="4" name="Picture" descr="RTC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RTC Block Diagram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2" w:name="block-diagram"/>
      <w:bookmarkStart w:id="33" w:name="figure-1.1-rtc-block-diagram"/>
      <w:r>
        <w:rPr/>
        <w:t>RTC Block Diagram</w:t>
      </w:r>
      <w:bookmarkEnd w:id="32"/>
      <w:bookmarkEnd w:id="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" w:name="__RefHeading___Toc4345_3190140819"/>
      <w:bookmarkStart w:id="35" w:name="timing-diagrams"/>
      <w:bookmarkEnd w:id="34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Timing Diagrams</w:t>
      </w:r>
    </w:p>
    <w:p>
      <w:pPr>
        <w:pStyle w:val="Heading3"/>
        <w:spacing w:before="200" w:after="80"/>
        <w:rPr/>
      </w:pPr>
      <w:bookmarkStart w:id="36" w:name="__RefHeading___Toc4347_3190140819"/>
      <w:bookmarkStart w:id="37" w:name="waveform-1.1-time-register-read"/>
      <w:bookmarkStart w:id="38" w:name="_Wave_1_1_Time_Register_Read"/>
      <w:bookmarkEnd w:id="36"/>
      <w:r>
        <w:rPr>
          <w:rStyle w:val="SectionNumber"/>
          <w:b/>
          <w:color w:val="404040"/>
          <w:sz w:val="24"/>
        </w:rPr>
        <w:t>2.5.1</w:t>
      </w:r>
      <w:r>
        <w:rPr>
          <w:b/>
          <w:color w:val="404040"/>
          <w:sz w:val="24"/>
        </w:rPr>
        <w:tab/>
        <w:t>Waveform 1.1: Time Register Read</w:t>
      </w:r>
      <w:bookmarkEnd w:id="38"/>
    </w:p>
    <w:p>
      <w:pPr>
        <w:pStyle w:val="FirstParagraph"/>
        <w:rPr/>
      </w:pPr>
      <w:r>
        <w:rPr>
          <w:sz w:val="20"/>
        </w:rPr>
        <w:t>Reading the time registers returns the current time value.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52855"/>
            <wp:effectExtent l="0" t="0" r="0" b="0"/>
            <wp:docPr id="5" name="Image2" descr="RTC Time 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RTC Time Rea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9" w:name="waveform-1.1-time-register-read"/>
      <w:r>
        <w:rPr/>
        <w:t>RTC Time Read</w:t>
      </w:r>
      <w:bookmarkEnd w:id="39"/>
    </w:p>
    <w:p>
      <w:pPr>
        <w:pStyle w:val="Heading3"/>
        <w:spacing w:before="200" w:after="80"/>
        <w:rPr/>
      </w:pPr>
      <w:bookmarkStart w:id="40" w:name="__RefHeading___Toc4349_3190140819"/>
      <w:bookmarkStart w:id="41" w:name="Xd0034e5497f28fc8ff242f83f13875748c0196b"/>
      <w:bookmarkStart w:id="42" w:name="_Wave_1_2_Time_Increment_with_"/>
      <w:bookmarkEnd w:id="40"/>
      <w:r>
        <w:rPr>
          <w:rStyle w:val="SectionNumber"/>
          <w:b/>
          <w:color w:val="404040"/>
          <w:sz w:val="24"/>
        </w:rPr>
        <w:t>2.5.2</w:t>
      </w:r>
      <w:r>
        <w:rPr>
          <w:b/>
          <w:color w:val="404040"/>
          <w:sz w:val="24"/>
        </w:rPr>
        <w:tab/>
        <w:t>Waveform 1.2: Time Increment with Rollover</w:t>
      </w:r>
      <w:bookmarkEnd w:id="42"/>
    </w:p>
    <w:p>
      <w:pPr>
        <w:pStyle w:val="FirstParagraph"/>
        <w:rPr/>
      </w:pPr>
      <w:r>
        <w:rPr>
          <w:sz w:val="20"/>
        </w:rPr>
        <w:t>Shows the cascade of time registers as seconds overflow to minutes, minutes to hours, etc.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80490"/>
            <wp:effectExtent l="0" t="0" r="0" b="0"/>
            <wp:docPr id="6" name="Image3" descr="RTC Time Incr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RTC Time Incremen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RTC Time Increment</w:t>
      </w:r>
    </w:p>
    <w:p>
      <w:pPr>
        <w:pStyle w:val="BodyText"/>
        <w:rPr/>
      </w:pPr>
      <w:bookmarkStart w:id="43" w:name="Xd0034e5497f28fc8ff242f83f13875748c0196b"/>
      <w:r>
        <w:rPr>
          <w:sz w:val="20"/>
        </w:rPr>
        <w:t>The 1Hz tick from the 32.768kHz prescaler triggers the seconds counter. Each overflow cascades to the next register, demonstrating the 23:59:59 to 00:00:00 rollover.</w:t>
      </w:r>
      <w:bookmarkEnd w:id="43"/>
    </w:p>
    <w:p>
      <w:pPr>
        <w:pStyle w:val="Heading3"/>
        <w:spacing w:before="200" w:after="80"/>
        <w:rPr/>
      </w:pPr>
      <w:bookmarkStart w:id="44" w:name="__RefHeading___Toc4351_3190140819"/>
      <w:bookmarkStart w:id="45" w:name="waveform-1.3-alarm-match"/>
      <w:bookmarkStart w:id="46" w:name="_Wave_1_3_Alarm_Match"/>
      <w:bookmarkEnd w:id="44"/>
      <w:r>
        <w:rPr>
          <w:rStyle w:val="SectionNumber"/>
          <w:b/>
          <w:color w:val="404040"/>
          <w:sz w:val="24"/>
        </w:rPr>
        <w:t>2.5.3</w:t>
      </w:r>
      <w:r>
        <w:rPr>
          <w:b/>
          <w:color w:val="404040"/>
          <w:sz w:val="24"/>
        </w:rPr>
        <w:tab/>
        <w:t>Waveform 1.3: Alarm Match</w:t>
      </w:r>
      <w:bookmarkEnd w:id="46"/>
    </w:p>
    <w:p>
      <w:pPr>
        <w:pStyle w:val="FirstParagraph"/>
        <w:rPr/>
      </w:pPr>
      <w:r>
        <w:rPr>
          <w:sz w:val="20"/>
        </w:rPr>
        <w:t>When the current time matches the alarm setting, an interrupt is generated.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83055"/>
            <wp:effectExtent l="0" t="0" r="0" b="0"/>
            <wp:docPr id="7" name="Image4" descr="RTC Alarm Mat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RTC Alarm Match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RTC Alarm Match</w:t>
      </w:r>
    </w:p>
    <w:p>
      <w:pPr>
        <w:pStyle w:val="BodyText"/>
        <w:rPr/>
      </w:pPr>
      <w:bookmarkStart w:id="47" w:name="waveform-1.3-alarm-match"/>
      <w:r>
        <w:rPr>
          <w:sz w:val="20"/>
        </w:rPr>
        <w:t>All configured alarm fields (seconds, minutes, hours) must match simultaneously for the alarm to trigger.</w:t>
      </w:r>
      <w:bookmarkEnd w:id="47"/>
    </w:p>
    <w:p>
      <w:pPr>
        <w:pStyle w:val="Heading3"/>
        <w:spacing w:before="200" w:after="80"/>
        <w:rPr/>
      </w:pPr>
      <w:bookmarkStart w:id="48" w:name="__RefHeading___Toc4353_3190140819"/>
      <w:bookmarkStart w:id="49" w:name="waveform-1.4-periodic-interrupt"/>
      <w:bookmarkStart w:id="50" w:name="_Wave_1_4_Periodic_Interrupt"/>
      <w:bookmarkEnd w:id="48"/>
      <w:r>
        <w:rPr>
          <w:rStyle w:val="SectionNumber"/>
          <w:b/>
          <w:color w:val="404040"/>
          <w:sz w:val="24"/>
        </w:rPr>
        <w:t>2.5.4</w:t>
      </w:r>
      <w:r>
        <w:rPr>
          <w:b/>
          <w:color w:val="404040"/>
          <w:sz w:val="24"/>
        </w:rPr>
        <w:tab/>
        <w:t>Waveform 1.4: Periodic Interrupt</w:t>
      </w:r>
      <w:bookmarkEnd w:id="50"/>
    </w:p>
    <w:p>
      <w:pPr>
        <w:pStyle w:val="FirstParagraph"/>
        <w:rPr/>
      </w:pPr>
      <w:r>
        <w:rPr>
          <w:sz w:val="20"/>
        </w:rPr>
        <w:t>The RTC can generate periodic interrupts at a configurable rate.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62990"/>
            <wp:effectExtent l="0" t="0" r="0" b="0"/>
            <wp:docPr id="8" name="Image5" descr="RTC Periodic Interru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RTC Periodic Interrupt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RTC Periodic Interrupt</w:t>
      </w:r>
    </w:p>
    <w:p>
      <w:pPr>
        <w:pStyle w:val="BodyText"/>
        <w:rPr/>
      </w:pPr>
      <w:bookmarkStart w:id="51" w:name="waveform-1.4-periodic-interrupt"/>
      <w:r>
        <w:rPr>
          <w:sz w:val="20"/>
        </w:rPr>
        <w:t>The rate selector determines the interrupt frequency from the 32.768kHz oscillator.</w:t>
      </w:r>
      <w:bookmarkEnd w:id="51"/>
    </w:p>
    <w:p>
      <w:pPr>
        <w:pStyle w:val="Heading3"/>
        <w:spacing w:before="200" w:after="80"/>
        <w:rPr/>
      </w:pPr>
      <w:bookmarkStart w:id="52" w:name="__RefHeading___Toc4355_3190140819"/>
      <w:bookmarkStart w:id="53" w:name="waveform-1.5-update-in-progress-uip"/>
      <w:bookmarkStart w:id="54" w:name="_Wave_1_5_Update_In_Progress__"/>
      <w:bookmarkEnd w:id="52"/>
      <w:r>
        <w:rPr>
          <w:rStyle w:val="SectionNumber"/>
          <w:b/>
          <w:color w:val="404040"/>
          <w:sz w:val="24"/>
        </w:rPr>
        <w:t>2.5.5</w:t>
      </w:r>
      <w:r>
        <w:rPr>
          <w:b/>
          <w:color w:val="404040"/>
          <w:sz w:val="24"/>
        </w:rPr>
        <w:tab/>
        <w:t>Waveform 1.5: Update-In-Progress (UIP)</w:t>
      </w:r>
      <w:bookmarkEnd w:id="54"/>
    </w:p>
    <w:p>
      <w:pPr>
        <w:pStyle w:val="FirstParagraph"/>
        <w:rPr/>
      </w:pPr>
      <w:r>
        <w:rPr>
          <w:sz w:val="20"/>
        </w:rPr>
        <w:t>Software should check UIP before reading time to avoid inconsistent values.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52855"/>
            <wp:effectExtent l="0" t="0" r="0" b="0"/>
            <wp:docPr id="9" name="Image6" descr="RTC Update In Progr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 descr="RTC Update In Progres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RTC Update In Progress</w:t>
      </w:r>
    </w:p>
    <w:p>
      <w:pPr>
        <w:pStyle w:val="BodyText"/>
        <w:rPr/>
      </w:pPr>
      <w:bookmarkStart w:id="55" w:name="timing-diagrams"/>
      <w:bookmarkStart w:id="56" w:name="waveform-1.5-update-in-progress-uip"/>
      <w:r>
        <w:rPr>
          <w:sz w:val="20"/>
        </w:rPr>
        <w:t>The UIP flag asserts before the time update cycle begins. Software polls until UIP clears, then reads time registers for consistent values.</w:t>
      </w:r>
      <w:bookmarkEnd w:id="55"/>
      <w:bookmarkEnd w:id="5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" w:name="__RefHeading___Toc4357_3190140819"/>
      <w:bookmarkEnd w:id="57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RTC_SECONDS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Seconds (0-59)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RTC_MINUTES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Minutes (0-59)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RTC_HOURS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Hours (0-23 or 1-12)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RTC_DAY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Day of week (1-7)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RTC_DATE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Day of month (1-31)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RTC_MONTH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Month (1-12)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RTC_YEAR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Year (0-99)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RTC_CENTURY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Century (20-29)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RTC_ALARM_SEC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seconds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RTC_ALARM_MIN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minutes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RTC_ALARM_HOUR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hours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RTC_ALARM_DATE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date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RTC_CONTROL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 register</w:t>
            </w:r>
            <w:bookmarkStart w:id="58" w:name="register-summary"/>
            <w:bookmarkEnd w:id="5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" w:name="__RefHeading___Toc4359_3190140819"/>
      <w:bookmarkEnd w:id="59"/>
      <w:r>
        <w:rPr>
          <w:rStyle w:val="SectionNumber"/>
          <w:b/>
          <w:color w:val="228B22"/>
          <w:sz w:val="28"/>
        </w:rPr>
        <w:t>2.7</w:t>
      </w:r>
      <w:r>
        <w:rPr>
          <w:b/>
          <w:color w:val="228B22"/>
          <w:sz w:val="28"/>
        </w:rPr>
        <w:tab/>
        <w:t>Parameters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CDC_ENABLE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5">
        <w:r>
          <w:rPr>
            <w:rStyle w:val="Hyperlink"/>
          </w:rPr>
          <w:t>02_architecture.md</w:t>
        </w:r>
      </w:hyperlink>
      <w:r>
        <w:rPr>
          <w:sz w:val="20"/>
        </w:rPr>
        <w:t xml:space="preserve"> - Architecture details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0" w:name="apb-rtc--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0"/>
    </w:p>
    <w:p>
      <w:pPr>
        <w:pStyle w:val="Heading1"/>
        <w:shd w:val="clear" w:color="auto" w:fill="404040"/>
        <w:spacing w:before="360" w:after="120"/>
        <w:rPr/>
      </w:pPr>
      <w:bookmarkStart w:id="61" w:name="__RefHeading___Toc4361_3190140819"/>
      <w:bookmarkStart w:id="62" w:name="apb-rtc---architecture"/>
      <w:bookmarkEnd w:id="61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APB RTC - Architecture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" w:name="__RefHeading___Toc4363_3190140819"/>
      <w:bookmarkStart w:id="64" w:name="high-level-block-diagram"/>
      <w:bookmarkEnd w:id="63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High-Level Block Diagram</w:t>
      </w:r>
    </w:p>
    <w:p>
      <w:pPr>
        <w:pStyle w:val="Heading3"/>
        <w:spacing w:before="200" w:after="80"/>
        <w:rPr/>
      </w:pPr>
      <w:bookmarkStart w:id="65" w:name="__RefHeading___Toc4365_3190140819"/>
      <w:bookmarkStart w:id="66" w:name="figure-1.2-rtc-architecture"/>
      <w:bookmarkStart w:id="67" w:name="_Fig_2_RTC_Architecture"/>
      <w:bookmarkEnd w:id="65"/>
      <w:r>
        <w:rPr>
          <w:rStyle w:val="SectionNumber"/>
          <w:b/>
          <w:color w:val="404040"/>
          <w:sz w:val="24"/>
        </w:rPr>
        <w:t>3.1.1</w:t>
      </w:r>
      <w:r>
        <w:rPr>
          <w:b/>
          <w:color w:val="404040"/>
          <w:sz w:val="24"/>
        </w:rPr>
        <w:tab/>
        <w:t>Figure 1.2: RTC Architecture</w:t>
      </w:r>
      <w:bookmarkEnd w:id="67"/>
    </w:p>
    <w:p>
      <w:pPr>
        <w:pStyle w:val="CaptionedFigure"/>
        <w:rPr/>
      </w:pPr>
      <w:r>
        <w:rPr/>
        <w:drawing>
          <wp:inline distT="0" distB="0" distL="0" distR="0">
            <wp:extent cx="5334000" cy="1433830"/>
            <wp:effectExtent l="0" t="0" r="0" b="0"/>
            <wp:docPr id="14" name="Image7" descr="RTC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" descr="RTC Architectur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8" w:name="high-level-block-diagram"/>
      <w:bookmarkStart w:id="69" w:name="figure-1.2-rtc-architecture"/>
      <w:r>
        <w:rPr/>
        <w:t>RTC Architecture</w:t>
      </w:r>
      <w:bookmarkEnd w:id="68"/>
      <w:bookmarkEnd w:id="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" w:name="__RefHeading___Toc4367_3190140819"/>
      <w:bookmarkStart w:id="71" w:name="module-hierarchy"/>
      <w:bookmarkEnd w:id="70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Module Hierarchy</w:t>
      </w:r>
    </w:p>
    <w:p>
      <w:pPr>
        <w:pStyle w:val="SourceCode"/>
        <w:rPr/>
      </w:pPr>
      <w:r>
        <w:rPr>
          <w:rStyle w:val="VerbatimChar"/>
        </w:rPr>
        <w:t>apb_rtc (Top Level)</w:t>
      </w:r>
      <w:r>
        <w:rPr/>
        <w:br/>
      </w:r>
      <w:r>
        <w:rPr>
          <w:rStyle w:val="VerbatimChar"/>
        </w:rPr>
        <w:t>+-- apb_slave</w:t>
      </w:r>
      <w:r>
        <w:rPr/>
        <w:br/>
      </w:r>
      <w:r>
        <w:rPr>
          <w:rStyle w:val="VerbatimChar"/>
        </w:rPr>
        <w:t>+-- rtc_config_regs (Register Wrapper)</w:t>
      </w:r>
      <w:r>
        <w:rPr/>
        <w:br/>
      </w:r>
      <w:r>
        <w:rPr>
          <w:rStyle w:val="VerbatimChar"/>
        </w:rPr>
        <w:t>|   +-- rtc_regs (PeakRDL Generated)</w:t>
      </w:r>
      <w:r>
        <w:rPr/>
        <w:br/>
      </w:r>
      <w:r>
        <w:rPr>
          <w:rStyle w:val="VerbatimChar"/>
        </w:rPr>
        <w:t>|</w:t>
      </w:r>
      <w:r>
        <w:rPr/>
        <w:br/>
      </w:r>
      <w:r>
        <w:rPr>
          <w:rStyle w:val="VerbatimChar"/>
        </w:rPr>
        <w:t>+-- rtc_core</w:t>
      </w:r>
      <w:r>
        <w:rPr/>
        <w:br/>
      </w:r>
      <w:r>
        <w:rPr>
          <w:rStyle w:val="VerbatimChar"/>
        </w:rPr>
        <w:t xml:space="preserve">    +-- Time Counter (seconds to century)</w:t>
      </w:r>
      <w:r>
        <w:rPr/>
        <w:br/>
      </w:r>
      <w:r>
        <w:rPr>
          <w:rStyle w:val="VerbatimChar"/>
        </w:rPr>
        <w:t xml:space="preserve">    +-- Alarm Comparator</w:t>
      </w:r>
      <w:r>
        <w:rPr/>
        <w:br/>
      </w:r>
      <w:r>
        <w:rPr>
          <w:rStyle w:val="VerbatimChar"/>
        </w:rPr>
        <w:t xml:space="preserve">    +-- Interrupt Generator</w:t>
      </w:r>
      <w:r>
        <w:rPr/>
        <w:br/>
      </w:r>
      <w:r>
        <w:rPr>
          <w:rStyle w:val="VerbatimChar"/>
        </w:rPr>
        <w:t xml:space="preserve">    +-- BCD Logic</w:t>
      </w:r>
      <w:bookmarkEnd w:id="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" w:name="__RefHeading___Toc4369_3190140819"/>
      <w:bookmarkStart w:id="73" w:name="data-flow"/>
      <w:bookmarkEnd w:id="72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Data Flow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064875"/>
            <wp:effectExtent l="0" t="0" r="0" b="0"/>
            <wp:docPr id="15" name="Image8" descr="Time Update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8" descr="Time Update Flow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6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Time Update Flow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70305"/>
            <wp:effectExtent l="0" t="0" r="0" b="0"/>
            <wp:docPr id="16" name="Image9" descr="Alarm Matc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9" descr="Alarm Match Flow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4" w:name="data-flow"/>
      <w:r>
        <w:rPr/>
        <w:t>Alarm Match Flow</w:t>
      </w:r>
      <w:bookmarkEnd w:id="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" w:name="__RefHeading___Toc4371_3190140819"/>
      <w:bookmarkStart w:id="76" w:name="clock-domains"/>
      <w:bookmarkEnd w:id="75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Clock Domains</w:t>
      </w:r>
    </w:p>
    <w:p>
      <w:pPr>
        <w:pStyle w:val="Compact"/>
        <w:numPr>
          <w:ilvl w:val="0"/>
          <w:numId w:val="26"/>
        </w:numPr>
        <w:rPr/>
      </w:pPr>
      <w:r>
        <w:rPr/>
        <w:t>APB domain (pclk): Register access</w:t>
      </w:r>
    </w:p>
    <w:p>
      <w:pPr>
        <w:pStyle w:val="Compact"/>
        <w:numPr>
          <w:ilvl w:val="0"/>
          <w:numId w:val="27"/>
        </w:numPr>
        <w:rPr/>
      </w:pPr>
      <w:r>
        <w:rPr/>
        <w:t>RTC domain (32.768 kHz): Time counting</w:t>
      </w:r>
    </w:p>
    <w:p>
      <w:pPr>
        <w:pStyle w:val="Compact"/>
        <w:numPr>
          <w:ilvl w:val="0"/>
          <w:numId w:val="28"/>
        </w:numPr>
        <w:rPr/>
      </w:pPr>
      <w:r>
        <w:rPr/>
        <w:t>CDC when clocks are asynchronous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0">
        <w:r>
          <w:rPr>
            <w:rStyle w:val="Hyperlink"/>
          </w:rPr>
          <w:t>03_clocks_and_reset.md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7" w:name="apb-rtc---architecture"/>
      <w:bookmarkStart w:id="78" w:name="clock-domai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"/>
      <w:bookmarkEnd w:id="78"/>
    </w:p>
    <w:p>
      <w:pPr>
        <w:pStyle w:val="Heading1"/>
        <w:shd w:val="clear" w:color="auto" w:fill="404040"/>
        <w:spacing w:before="360" w:after="120"/>
        <w:rPr/>
      </w:pPr>
      <w:bookmarkStart w:id="79" w:name="__RefHeading___Toc4373_3190140819"/>
      <w:bookmarkStart w:id="80" w:name="apb-rtc---register-map"/>
      <w:bookmarkEnd w:id="79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APB RTC - Register Map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" w:name="__RefHeading___Toc4375_3190140819"/>
      <w:bookmarkStart w:id="82" w:name="register-summary-1"/>
      <w:bookmarkEnd w:id="81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RTC_SECONDS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Seconds (BCD 0-59)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RTC_MINUTES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Minutes (BCD 0-59)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RTC_HOURS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Hours (BCD 0-23/1-12)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RTC_DAY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Day of week (1-7)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RTC_DATE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Day of month (BCD 1-31)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RTC_MONTH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Month (BCD 1-12)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RTC_YEAR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Year (BCD 0-99)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RTC_CENTURY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Century (BCD 20-29)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RTC_ALM_SEC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seconds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RTC_ALM_MIN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minutes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RTC_ALM_HOUR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hours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RTC_ALM_DATE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date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RTC_CONTROL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RTC_STATUS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</w:tr>
    </w:tbl>
    <w:p>
      <w:pPr>
        <w:pStyle w:val="Normal"/>
        <w:rPr/>
      </w:pPr>
      <w:bookmarkStart w:id="83" w:name="register-summary-1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" w:name="__RefHeading___Toc4377_3190140819"/>
      <w:bookmarkStart w:id="85" w:name="rtc_control-0x30"/>
      <w:bookmarkEnd w:id="84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RTC_CONTROL (0x30)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ALM_EN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Periodic interrupt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AIE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interrupt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UIE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Update interrupt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HR24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24-hour mode (0=12hr, 1=24hr)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86" w:name="rtc_control-0x3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" w:name="__RefHeading___Toc4379_3190140819"/>
      <w:bookmarkStart w:id="88" w:name="rtc_status-0x34"/>
      <w:bookmarkEnd w:id="87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RTC_STATUS (0x34)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UIP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Update in progress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PF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Periodic flag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AF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flag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UF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Update flag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IRQF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 flag (PF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89" w:name="rtc_status-0x3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" w:name="__RefHeading___Toc4381_3190140819"/>
      <w:bookmarkStart w:id="91" w:name="bcd-format"/>
      <w:bookmarkEnd w:id="90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BCD Format</w:t>
      </w:r>
    </w:p>
    <w:p>
      <w:pPr>
        <w:pStyle w:val="FirstParagraph"/>
        <w:rPr/>
      </w:pPr>
      <w:r>
        <w:rPr>
          <w:sz w:val="20"/>
        </w:rPr>
        <w:t>Time/date values stored in BCD: - Seconds: 0x00-0x59 - Minutes: 0x00-0x59 - Hours (24hr): 0x00-0x23 - Hours (12hr): 0x01-0x12 + bit 7 for PM - Date: 0x01-0x31 - Month: 0x01-0x12 - Year: 0x00-0x99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21">
        <w:r>
          <w:rPr>
            <w:rStyle w:val="Hyperlink"/>
          </w:rPr>
          <w:t>RTC Specification Index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92" w:name="apb-rtc---register-map"/>
      <w:bookmarkStart w:id="93" w:name="bcd-forma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2"/>
      <w:bookmarkEnd w:id="93"/>
    </w:p>
    <w:p>
      <w:pPr>
        <w:pStyle w:val="Heading1"/>
        <w:shd w:val="clear" w:color="auto" w:fill="404040"/>
        <w:spacing w:before="360" w:after="120"/>
        <w:rPr/>
      </w:pPr>
      <w:bookmarkStart w:id="94" w:name="__RefHeading___Toc4383_3190140819"/>
      <w:bookmarkStart w:id="95" w:name="X5b8d03c0672fd5572c5426e159b41da1557dd49"/>
      <w:bookmarkEnd w:id="94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Retro Legacy Blocks - Product Requirements Document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Retro Legacy Blocks (RLB) - Production-Quality Legacy Peripherals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🟢 Active Development - HPET Production Ready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2025-10-29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" w:name="__RefHeading___Toc4385_3190140819"/>
      <w:bookmarkStart w:id="97" w:name="overview"/>
      <w:bookmarkEnd w:id="96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1. Overview</w:t>
      </w:r>
    </w:p>
    <w:p>
      <w:pPr>
        <w:pStyle w:val="Heading3"/>
        <w:spacing w:before="200" w:after="80"/>
        <w:rPr/>
      </w:pPr>
      <w:bookmarkStart w:id="98" w:name="__RefHeading___Toc4387_3190140819"/>
      <w:bookmarkStart w:id="99" w:name="purpose"/>
      <w:bookmarkEnd w:id="98"/>
      <w:r>
        <w:rPr>
          <w:rStyle w:val="SectionNumber"/>
          <w:b/>
          <w:color w:val="404040"/>
          <w:sz w:val="24"/>
        </w:rPr>
        <w:t>5.1.1</w:t>
      </w:r>
      <w:r>
        <w:rPr>
          <w:b/>
          <w:color w:val="404040"/>
          <w:sz w:val="24"/>
        </w:rPr>
        <w:tab/>
        <w:t>1.1 Purpose</w:t>
      </w:r>
    </w:p>
    <w:p>
      <w:pPr>
        <w:pStyle w:val="FirstParagraph"/>
        <w:rPr/>
      </w:pPr>
      <w:bookmarkStart w:id="100" w:name="purpose"/>
      <w:r>
        <w:rPr>
          <w:sz w:val="20"/>
        </w:rPr>
        <w:t>The Retro Legacy Blocks (RLB) component provides production-quality implementations of legacy peripheral blocks based on proven peripheral designs. These blocks are designed to be reusable, well-tested, and suitable for both FPGA and ASIC implementation.</w:t>
      </w:r>
      <w:bookmarkEnd w:id="100"/>
    </w:p>
    <w:p>
      <w:pPr>
        <w:pStyle w:val="Heading3"/>
        <w:spacing w:before="200" w:after="80"/>
        <w:rPr/>
      </w:pPr>
      <w:bookmarkStart w:id="101" w:name="__RefHeading___Toc4389_3190140819"/>
      <w:bookmarkStart w:id="102" w:name="design-philosophy"/>
      <w:bookmarkEnd w:id="101"/>
      <w:r>
        <w:rPr>
          <w:rStyle w:val="SectionNumber"/>
          <w:b/>
          <w:color w:val="404040"/>
          <w:sz w:val="24"/>
        </w:rPr>
        <w:t>5.1.2</w:t>
      </w:r>
      <w:r>
        <w:rPr>
          <w:b/>
          <w:color w:val="404040"/>
          <w:sz w:val="24"/>
        </w:rPr>
        <w:tab/>
        <w:t>1.2 Design Philosophy</w:t>
      </w:r>
    </w:p>
    <w:p>
      <w:pPr>
        <w:pStyle w:val="FirstParagraph"/>
        <w:rPr/>
      </w:pPr>
      <w:r>
        <w:rPr>
          <w:b/>
          <w:bCs/>
          <w:sz w:val="20"/>
        </w:rPr>
        <w:t>“</w:t>
      </w:r>
      <w:r>
        <w:rPr>
          <w:b/>
          <w:bCs/>
          <w:sz w:val="20"/>
        </w:rPr>
        <w:t>Retro” - Proven Architectures:</w:t>
      </w:r>
      <w:r>
        <w:rPr>
          <w:sz w:val="20"/>
        </w:rPr>
        <w:t xml:space="preserve"> - Implements time-tested peripheral designs from successful platforms - Focuses on simplicity, reliability, and well-understood behavior - Prioritizes production-readiness over experimental features</w:t>
      </w:r>
    </w:p>
    <w:p>
      <w:pPr>
        <w:pStyle w:val="BodyText"/>
        <w:rPr/>
      </w:pPr>
      <w:r>
        <w:rPr>
          <w:b/>
          <w:bCs/>
          <w:sz w:val="20"/>
        </w:rPr>
        <w:t>“</w:t>
      </w:r>
      <w:r>
        <w:rPr>
          <w:b/>
          <w:bCs/>
          <w:sz w:val="20"/>
        </w:rPr>
        <w:t>Legacy” - Time-Tested Interfaces:</w:t>
      </w:r>
      <w:r>
        <w:rPr>
          <w:sz w:val="20"/>
        </w:rPr>
        <w:t xml:space="preserve"> - Based on proven peripheral interface specifications - Suitable for systems requiring retro-compatible peripheral compatibility - APB-based interface for easy integration</w:t>
      </w:r>
    </w:p>
    <w:p>
      <w:pPr>
        <w:pStyle w:val="BodyText"/>
        <w:rPr/>
      </w:pPr>
      <w:r>
        <w:rPr>
          <w:b/>
          <w:bCs/>
          <w:sz w:val="20"/>
        </w:rPr>
        <w:t>“</w:t>
      </w:r>
      <w:r>
        <w:rPr>
          <w:b/>
          <w:bCs/>
          <w:sz w:val="20"/>
        </w:rPr>
        <w:t>Blocks” - Modular Collection:</w:t>
      </w:r>
      <w:r>
        <w:rPr>
          <w:sz w:val="20"/>
        </w:rPr>
        <w:t xml:space="preserve"> - Each peripheral is independent and self-contained - Clear separation between different blocks (rtl/hpet/, rtl/gpio/, etc.) - Can be used individually or wrapped into integrated subsystem</w:t>
      </w:r>
      <w:bookmarkEnd w:id="102"/>
    </w:p>
    <w:p>
      <w:pPr>
        <w:pStyle w:val="Heading3"/>
        <w:spacing w:before="200" w:after="80"/>
        <w:rPr/>
      </w:pPr>
      <w:bookmarkStart w:id="103" w:name="__RefHeading___Toc4391_3190140819"/>
      <w:bookmarkStart w:id="104" w:name="target-applications"/>
      <w:bookmarkEnd w:id="103"/>
      <w:r>
        <w:rPr>
          <w:rStyle w:val="SectionNumber"/>
          <w:b/>
          <w:color w:val="404040"/>
          <w:sz w:val="24"/>
        </w:rPr>
        <w:t>5.1.3</w:t>
      </w:r>
      <w:r>
        <w:rPr>
          <w:b/>
          <w:color w:val="404040"/>
          <w:sz w:val="24"/>
        </w:rPr>
        <w:tab/>
        <w:t>1.3 Target Applications</w:t>
      </w:r>
    </w:p>
    <w:p>
      <w:pPr>
        <w:pStyle w:val="Compact"/>
        <w:numPr>
          <w:ilvl w:val="0"/>
          <w:numId w:val="29"/>
        </w:numPr>
        <w:rPr/>
      </w:pPr>
      <w:r>
        <w:rPr/>
        <w:t>Retro-compatible platform compatibility layers</w:t>
      </w:r>
    </w:p>
    <w:p>
      <w:pPr>
        <w:pStyle w:val="Compact"/>
        <w:numPr>
          <w:ilvl w:val="0"/>
          <w:numId w:val="30"/>
        </w:numPr>
        <w:rPr/>
      </w:pPr>
      <w:r>
        <w:rPr/>
        <w:t>Embedded systems requiring legacy peripheral interfaces</w:t>
      </w:r>
    </w:p>
    <w:p>
      <w:pPr>
        <w:pStyle w:val="Compact"/>
        <w:numPr>
          <w:ilvl w:val="0"/>
          <w:numId w:val="31"/>
        </w:numPr>
        <w:rPr/>
      </w:pPr>
      <w:r>
        <w:rPr/>
        <w:t>FPGA-based system emulation</w:t>
      </w:r>
    </w:p>
    <w:p>
      <w:pPr>
        <w:pStyle w:val="Compact"/>
        <w:numPr>
          <w:ilvl w:val="0"/>
          <w:numId w:val="32"/>
        </w:numPr>
        <w:rPr/>
      </w:pPr>
      <w:r>
        <w:rPr/>
        <w:t>Educational platforms demonstrating classic peripheral designs</w:t>
      </w:r>
    </w:p>
    <w:p>
      <w:pPr>
        <w:pStyle w:val="Compact"/>
        <w:numPr>
          <w:ilvl w:val="0"/>
          <w:numId w:val="33"/>
        </w:numPr>
        <w:rPr/>
      </w:pPr>
      <w:r>
        <w:rPr/>
        <w:t>Mixed-vintage SoC integration (modern + legacy interfaces)</w:t>
      </w:r>
    </w:p>
    <w:p>
      <w:pPr>
        <w:pStyle w:val="Normal"/>
        <w:rPr/>
      </w:pPr>
      <w:bookmarkStart w:id="105" w:name="overview"/>
      <w:bookmarkStart w:id="106" w:name="target-applic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5"/>
      <w:bookmarkEnd w:id="1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7" w:name="__RefHeading___Toc4393_3190140819"/>
      <w:bookmarkStart w:id="108" w:name="implemented-blocks"/>
      <w:bookmarkEnd w:id="107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2. Implemented Blocks</w:t>
      </w:r>
    </w:p>
    <w:p>
      <w:pPr>
        <w:pStyle w:val="Heading3"/>
        <w:spacing w:before="200" w:after="80"/>
        <w:rPr/>
      </w:pPr>
      <w:bookmarkStart w:id="109" w:name="__RefHeading___Toc4395_3190140819"/>
      <w:bookmarkStart w:id="110" w:name="hpet---high-precision-event-timer"/>
      <w:bookmarkEnd w:id="109"/>
      <w:r>
        <w:rPr>
          <w:rStyle w:val="SectionNumber"/>
          <w:b/>
          <w:color w:val="404040"/>
          <w:sz w:val="24"/>
        </w:rPr>
        <w:t>5.2.1</w:t>
      </w:r>
      <w:r>
        <w:rPr>
          <w:b/>
          <w:color w:val="404040"/>
          <w:sz w:val="24"/>
        </w:rPr>
        <w:tab/>
        <w:t>2.1 HPET - High Precision Event Timer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✓ Production Ready (5/6 configurations 100% passing) </w:t>
      </w:r>
      <w:r>
        <w:rPr>
          <w:b/>
          <w:bCs/>
          <w:sz w:val="20"/>
        </w:rPr>
        <w:t>RTL 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rtl/hpet/</w:t>
      </w:r>
      <w:r>
        <w:rPr>
          <w:sz w:val="20"/>
        </w:rPr>
        <w:t xml:space="preserve"> </w:t>
      </w:r>
      <w:r>
        <w:rPr>
          <w:b/>
          <w:bCs/>
          <w:sz w:val="20"/>
        </w:rPr>
        <w:t>Documentation: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docs/hpet_spec/</w:t>
      </w:r>
    </w:p>
    <w:p>
      <w:pPr>
        <w:pStyle w:val="BodyText"/>
        <w:rPr/>
      </w:pPr>
      <w:r>
        <w:rPr>
          <w:b/>
          <w:bCs/>
          <w:sz w:val="20"/>
        </w:rPr>
        <w:t>Key Features:</w:t>
      </w:r>
      <w:r>
        <w:rPr>
          <w:sz w:val="20"/>
        </w:rPr>
        <w:t xml:space="preserve"> - Configurable timer count: 2, 3, or 8 independent timers - 64-bit main counter for high-resolution timestamps - 64-bit comparators per timer - Operating modes: One-shot and periodic - Clock domain crossing: Optional CDC for timer/APB clock independence - APB4 interface: Standard AMBA APB protocol - PeakRDL integration: Register map generated from SystemRDL specification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tick generation - Real-time OS scheduling - Precise event timing - Performance profiling - Watchdog timers - Multi-rate timing domains</w:t>
      </w:r>
    </w:p>
    <w:p>
      <w:pPr>
        <w:pStyle w:val="BodyText"/>
        <w:rPr/>
      </w:pPr>
      <w:r>
        <w:rPr>
          <w:b/>
          <w:bCs/>
          <w:sz w:val="20"/>
        </w:rPr>
        <w:t>Test Coverage:</w:t>
      </w:r>
      <w:r>
        <w:rPr>
          <w:sz w:val="20"/>
        </w:rPr>
        <w:t xml:space="preserve"> - 6 configurations tested (2/3/8 timers, CDC on/off) - 5/6 configurations at 100% pass rate - 1 configuration at 92% (minor stress test timeout) - 12 test cases per configuration (basic/medium/full)</w:t>
      </w:r>
    </w:p>
    <w:p>
      <w:pPr>
        <w:pStyle w:val="BodyText"/>
        <w:rPr/>
      </w:pPr>
      <w:r>
        <w:rPr>
          <w:b/>
          <w:bCs/>
          <w:sz w:val="20"/>
        </w:rPr>
        <w:t>Architecture:</w:t>
      </w:r>
    </w:p>
    <w:p>
      <w:pPr>
        <w:pStyle w:val="SourceCode"/>
        <w:rPr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                       APB HPET                              │</w:t>
      </w:r>
      <w:r>
        <w:rPr/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├─────────────────────────────────────────────────────────────┤</w:t>
      </w:r>
      <w:r>
        <w:rPr/>
        <w:br/>
      </w:r>
      <w:r>
        <w:rPr>
          <w:rStyle w:val="VerbatimChar"/>
        </w:rPr>
        <w:t>│                                                               │</w:t>
      </w:r>
      <w:r>
        <w:rPr/>
        <w:br/>
      </w:r>
      <w:r>
        <w:rPr>
          <w:rStyle w:val="VerbatimChar"/>
        </w:rPr>
        <w:t>│  ┌──────────────┐     ┌──────────────┐    ┌──────────────┐ │</w:t>
      </w:r>
      <w:r>
        <w:rPr/>
        <w:br/>
      </w:r>
      <w:r>
        <w:rPr>
          <w:rStyle w:val="VerbatimChar"/>
        </w:rPr>
        <w:t>│  │  APB Slave   │────▶│ Config Regs  │───▶│  HPET Core   │ │</w:t>
      </w:r>
      <w:r>
        <w:rPr/>
        <w:br/>
      </w:r>
      <w:r>
        <w:rPr>
          <w:rStyle w:val="VerbatimChar"/>
        </w:rPr>
        <w:t>│  │  (Optional   │     │ (PeakRDL)    │    │              │ │</w:t>
      </w:r>
      <w:r>
        <w:rPr/>
        <w:br/>
      </w:r>
      <w:r>
        <w:rPr>
          <w:rStyle w:val="VerbatimChar"/>
        </w:rPr>
        <w:t>│  │   CDC)       │     │              │    │ - Counter    │ │</w:t>
      </w:r>
      <w:r>
        <w:rPr/>
        <w:br/>
      </w:r>
      <w:r>
        <w:rPr>
          <w:rStyle w:val="VerbatimChar"/>
        </w:rPr>
        <w:t>│  └──────────────┘     └──────────────┘    │ - Timers[N]  │ │</w:t>
      </w:r>
      <w:r>
        <w:rPr/>
        <w:br/>
      </w:r>
      <w:r>
        <w:rPr>
          <w:rStyle w:val="VerbatimChar"/>
        </w:rPr>
        <w:t>│                                            │ - Comparators│ │</w:t>
      </w:r>
      <w:r>
        <w:rPr/>
        <w:br/>
      </w:r>
      <w:r>
        <w:rPr>
          <w:rStyle w:val="VerbatimChar"/>
        </w:rPr>
        <w:t>│                                            └──────────────┘ │</w:t>
      </w:r>
      <w:r>
        <w:rPr/>
        <w:br/>
      </w:r>
      <w:r>
        <w:rPr>
          <w:rStyle w:val="VerbatimChar"/>
        </w:rPr>
        <w:t>│                                                    │         │</w:t>
      </w:r>
      <w:r>
        <w:rPr/>
        <w:br/>
      </w:r>
      <w:r>
        <w:rPr>
          <w:rStyle w:val="VerbatimChar"/>
        </w:rPr>
        <w:t>│                                            Timer IRQs [N:0]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rPr/>
      </w:pPr>
      <w:r>
        <w:rPr>
          <w:b/>
          <w:bCs/>
          <w:sz w:val="20"/>
        </w:rPr>
        <w:t>Design Highlights:</w:t>
      </w:r>
      <w:r>
        <w:rPr>
          <w:sz w:val="20"/>
        </w:rPr>
        <w:t xml:space="preserve"> - Reset macro standardization (FPGA-friendly) - Per-timer data buses prevent corruption - Edge-triggered register write strobes (not level) - W1C status register for interrupt clearing - Optional asynchronous clock domains with handshake CDC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docs/hpet_spec/hpet_index.md</w:t>
      </w:r>
      <w:r>
        <w:rPr>
          <w:sz w:val="20"/>
        </w:rPr>
        <w:t xml:space="preserve"> for complete HPET specification</w:t>
      </w:r>
    </w:p>
    <w:p>
      <w:pPr>
        <w:pStyle w:val="Normal"/>
        <w:rPr/>
      </w:pPr>
      <w:bookmarkStart w:id="111" w:name="implemented-blocks"/>
      <w:bookmarkStart w:id="112" w:name="hpet---high-precision-event-tim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1"/>
      <w:bookmarkEnd w:id="1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3" w:name="__RefHeading___Toc4397_3190140819"/>
      <w:bookmarkStart w:id="114" w:name="planned-blocks"/>
      <w:bookmarkEnd w:id="113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3. Planned Blocks</w:t>
      </w:r>
    </w:p>
    <w:p>
      <w:pPr>
        <w:pStyle w:val="Heading3"/>
        <w:spacing w:before="200" w:after="80"/>
        <w:rPr/>
      </w:pPr>
      <w:bookmarkStart w:id="115" w:name="__RefHeading___Toc4399_3190140819"/>
      <w:bookmarkStart w:id="116" w:name="programmable-interrupt-controller-pic"/>
      <w:bookmarkEnd w:id="115"/>
      <w:r>
        <w:rPr>
          <w:rStyle w:val="SectionNumber"/>
          <w:b/>
          <w:color w:val="404040"/>
          <w:sz w:val="24"/>
        </w:rPr>
        <w:t>5.3.1</w:t>
      </w:r>
      <w:r>
        <w:rPr>
          <w:b/>
          <w:color w:val="404040"/>
          <w:sz w:val="24"/>
        </w:rPr>
        <w:tab/>
        <w:t>3.1 8259 - Programmable Interrupt Controller (PIC)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High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6-8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0x4000_1000 - 0x4000_1FFF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Intel 8259A-compatible register interface - 8 interrupt request (IRQ) inputs - Cascadable (master/slave configuration) - Priority resolver (fixed and rotating priority) - Edge and level triggered modes - Interrupt mask register - End-of-Interrupt (EOI) handling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Legacy interrupt management - PC-compatible systems - Hardware interrupt aggregation - Priority-based interrupt handling - Cascaded multi-level interrupt systems</w:t>
      </w:r>
      <w:bookmarkEnd w:id="116"/>
    </w:p>
    <w:p>
      <w:pPr>
        <w:pStyle w:val="Heading3"/>
        <w:spacing w:before="200" w:after="80"/>
        <w:rPr/>
      </w:pPr>
      <w:bookmarkStart w:id="117" w:name="__RefHeading___Toc4401_3190140819"/>
      <w:bookmarkStart w:id="118" w:name="programmable-interval-timer-pit"/>
      <w:bookmarkEnd w:id="117"/>
      <w:r>
        <w:rPr>
          <w:rStyle w:val="SectionNumber"/>
          <w:b/>
          <w:color w:val="404040"/>
          <w:sz w:val="24"/>
        </w:rPr>
        <w:t>5.3.2</w:t>
      </w:r>
      <w:r>
        <w:rPr>
          <w:b/>
          <w:color w:val="404040"/>
          <w:sz w:val="24"/>
        </w:rPr>
        <w:tab/>
        <w:t>3.2 8254 - Programmable Interval Timer (PIT)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High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4-5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0x4000_2000 - 0x4000_2FFF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Intel 8254-compatible register interface - 3 independent 16-bit counters - 6 programmable counter modes - Binary and BCD counting - Read-back command - Configurable clock input - Interrupt/output generation per counter - APB register interface</w:t>
      </w:r>
    </w:p>
    <w:p>
      <w:pPr>
        <w:pStyle w:val="BodyText"/>
        <w:rPr/>
      </w:pPr>
      <w:r>
        <w:rPr>
          <w:b/>
          <w:bCs/>
          <w:sz w:val="20"/>
        </w:rPr>
        <w:t>Counter Modes:</w:t>
      </w:r>
      <w:r>
        <w:rPr>
          <w:sz w:val="20"/>
        </w:rPr>
        <w:t xml:space="preserve"> - Mode 0: Interrupt on terminal count - Mode 1: Hardware retriggerable one-shot - Mode 2: Rate generator - Mode 3: Square wave mode - Mode 4: Software triggered strobe - Mode 5: Hardware triggered strobe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tick generation - Periodic timer interrupts - Square wave generation - Event counting - Legacy PC timer compatibility</w:t>
      </w:r>
      <w:bookmarkEnd w:id="118"/>
    </w:p>
    <w:p>
      <w:pPr>
        <w:pStyle w:val="Heading3"/>
        <w:spacing w:before="200" w:after="80"/>
        <w:rPr/>
      </w:pPr>
      <w:bookmarkStart w:id="119" w:name="__RefHeading___Toc4403_3190140819"/>
      <w:bookmarkStart w:id="120" w:name="gpio---general-purpose-io"/>
      <w:bookmarkEnd w:id="119"/>
      <w:r>
        <w:rPr>
          <w:rStyle w:val="SectionNumber"/>
          <w:b/>
          <w:color w:val="404040"/>
          <w:sz w:val="24"/>
        </w:rPr>
        <w:t>5.3.3</w:t>
      </w:r>
      <w:r>
        <w:rPr>
          <w:b/>
          <w:color w:val="404040"/>
          <w:sz w:val="24"/>
        </w:rPr>
        <w:tab/>
        <w:t>3.3 GPIO - General Purpose I/O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4-6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Configurable pin count (8, 16, 32 pins) - Per-pin direction control (input/output/bidirectional) - Input debouncing logic - Interrupt generation (rising/falling/both edges, level) - Output drive strength configuration - Pull-up/pull-down control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LED control - Button inputs - Hardware control signals - Chip-select generation - Status monitoring</w:t>
      </w:r>
      <w:bookmarkEnd w:id="120"/>
    </w:p>
    <w:p>
      <w:pPr>
        <w:pStyle w:val="Heading3"/>
        <w:spacing w:before="200" w:after="80"/>
        <w:rPr/>
      </w:pPr>
      <w:bookmarkStart w:id="121" w:name="__RefHeading___Toc4405_3190140819"/>
      <w:bookmarkStart w:id="122" w:name="rtc---real-time-clock"/>
      <w:bookmarkEnd w:id="121"/>
      <w:r>
        <w:rPr>
          <w:rStyle w:val="SectionNumber"/>
          <w:b/>
          <w:color w:val="404040"/>
          <w:sz w:val="24"/>
        </w:rPr>
        <w:t>5.3.4</w:t>
      </w:r>
      <w:r>
        <w:rPr>
          <w:b/>
          <w:color w:val="404040"/>
          <w:sz w:val="24"/>
        </w:rPr>
        <w:tab/>
        <w:t>3.4 RTC - Real-Time Clock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3-4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0x4000_3000 - 0x4000_3FFF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- 32.768 kHz clock input (typical RTC crystal frequency) - Seconds, minutes, hours, day, month, year tracking - Alarm functionality - Battery backup support (power domain considerations) - 24-hour or 12-hour (AM/PM) mode - Leap year handling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time-of-day tracking - Wake-on-alarm functionality - Timestamp generation - Power-aware applications</w:t>
      </w:r>
      <w:bookmarkEnd w:id="122"/>
    </w:p>
    <w:p>
      <w:pPr>
        <w:pStyle w:val="Heading3"/>
        <w:spacing w:before="200" w:after="80"/>
        <w:rPr/>
      </w:pPr>
      <w:bookmarkStart w:id="123" w:name="__RefHeading___Toc4407_3190140819"/>
      <w:bookmarkStart w:id="124" w:name="smbus-controller"/>
      <w:bookmarkEnd w:id="123"/>
      <w:r>
        <w:rPr>
          <w:rStyle w:val="SectionNumber"/>
          <w:b/>
          <w:color w:val="404040"/>
          <w:sz w:val="24"/>
        </w:rPr>
        <w:t>5.3.5</w:t>
      </w:r>
      <w:r>
        <w:rPr>
          <w:b/>
          <w:color w:val="404040"/>
          <w:sz w:val="24"/>
        </w:rPr>
        <w:tab/>
        <w:t>3.5 SMBus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6-8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0x4000_4000 - 0x4000_4FFF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SMBus 2.0 compliance - Master and slave modes - Clock stretching support - Packet Error Checking (PEC) - Alert response address - Configurable clock speed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management bus communication - Sensor interfaces (temperature, voltage) - EEPROM access - Battery management - Fan control</w:t>
      </w:r>
      <w:bookmarkEnd w:id="124"/>
    </w:p>
    <w:p>
      <w:pPr>
        <w:pStyle w:val="Heading3"/>
        <w:spacing w:before="200" w:after="80"/>
        <w:rPr/>
      </w:pPr>
      <w:bookmarkStart w:id="125" w:name="__RefHeading___Toc4409_3190140819"/>
      <w:bookmarkStart w:id="126" w:name="X9fd98a4672e4e599141acb22cb2ccda435e7aa9"/>
      <w:bookmarkEnd w:id="125"/>
      <w:r>
        <w:rPr>
          <w:rStyle w:val="SectionNumber"/>
          <w:b/>
          <w:color w:val="404040"/>
          <w:sz w:val="24"/>
        </w:rPr>
        <w:t>5.3.6</w:t>
      </w:r>
      <w:r>
        <w:rPr>
          <w:b/>
          <w:color w:val="404040"/>
          <w:sz w:val="24"/>
        </w:rPr>
        <w:tab/>
        <w:t>3.6 UART - Universal Asynchronous Receiver/Transmitter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4-5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- 16550-compatible register interface - Configurable baud rate generation - 5/6/7/8 data bits - Parity: none, even, odd, mark, space - Stop bits: 1, 1.5, 2 - Hardware flow control (RTS/CTS) - FIFO buffers (16-byte TX/RX) - Interrupt generation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Debug console - Serial communication - Modem interfaces - Legacy peripheral communication</w:t>
      </w:r>
      <w:bookmarkEnd w:id="126"/>
    </w:p>
    <w:p>
      <w:pPr>
        <w:pStyle w:val="Heading3"/>
        <w:spacing w:before="200" w:after="80"/>
        <w:rPr/>
      </w:pPr>
      <w:bookmarkStart w:id="127" w:name="__RefHeading___Toc4411_3190140819"/>
      <w:bookmarkStart w:id="128" w:name="spi-controller"/>
      <w:bookmarkEnd w:id="127"/>
      <w:r>
        <w:rPr>
          <w:rStyle w:val="SectionNumber"/>
          <w:b/>
          <w:color w:val="404040"/>
          <w:sz w:val="24"/>
        </w:rPr>
        <w:t>5.3.7</w:t>
      </w:r>
      <w:r>
        <w:rPr>
          <w:b/>
          <w:color w:val="404040"/>
          <w:sz w:val="24"/>
        </w:rPr>
        <w:tab/>
        <w:t>3.7 SPI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Low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5-6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Master mode (initially; slave mode future) - Configurable clock polarity and phase (CPOL/CPHA) - Multiple chip selects - Configurable word size (8/16/32 bits) - TX/RX FIFOs - DMA support (future)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Flash memory access - ADC/DAC interfaces - Display controllers - SD card communication</w:t>
      </w:r>
      <w:bookmarkEnd w:id="128"/>
    </w:p>
    <w:p>
      <w:pPr>
        <w:pStyle w:val="Heading3"/>
        <w:spacing w:before="200" w:after="80"/>
        <w:rPr/>
      </w:pPr>
      <w:bookmarkStart w:id="129" w:name="__RefHeading___Toc4413_3190140819"/>
      <w:bookmarkStart w:id="130" w:name="i2c-controller"/>
      <w:bookmarkEnd w:id="129"/>
      <w:r>
        <w:rPr>
          <w:rStyle w:val="SectionNumber"/>
          <w:b/>
          <w:color w:val="404040"/>
          <w:sz w:val="24"/>
        </w:rPr>
        <w:t>5.3.8</w:t>
      </w:r>
      <w:r>
        <w:rPr>
          <w:b/>
          <w:color w:val="404040"/>
          <w:sz w:val="24"/>
        </w:rPr>
        <w:tab/>
        <w:t>3.8 I2C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Low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5-7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I2C standard (100 kHz), fast (400 kHz), fast-plus (1 MHz) modes - Multi-master arbitration - 7-bit and 10-bit addressing - Clock stretching - General call support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Sensor interfaces - EEPROM access - Multi-chip communication - System configuration</w:t>
      </w:r>
      <w:bookmarkEnd w:id="130"/>
    </w:p>
    <w:p>
      <w:pPr>
        <w:pStyle w:val="Heading3"/>
        <w:spacing w:before="200" w:after="80"/>
        <w:rPr/>
      </w:pPr>
      <w:bookmarkStart w:id="131" w:name="__RefHeading___Toc4415_3190140819"/>
      <w:bookmarkStart w:id="132" w:name="watchdog-timer"/>
      <w:bookmarkEnd w:id="131"/>
      <w:r>
        <w:rPr>
          <w:rStyle w:val="SectionNumber"/>
          <w:b/>
          <w:color w:val="404040"/>
          <w:sz w:val="24"/>
        </w:rPr>
        <w:t>5.3.9</w:t>
      </w:r>
      <w:r>
        <w:rPr>
          <w:b/>
          <w:color w:val="404040"/>
          <w:sz w:val="24"/>
        </w:rPr>
        <w:tab/>
        <w:t>3.9 Watchdog Timer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Low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2-3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Configurable timeout period - Countdown counter with reload - Reset generation on timeout - Lock mechanism to prevent accidental disable - Interrupt before reset (optional warning)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fault recovery - Software hang detection - Periodic system reset - Safety-critical applications</w:t>
      </w:r>
      <w:bookmarkEnd w:id="132"/>
    </w:p>
    <w:p>
      <w:pPr>
        <w:pStyle w:val="Heading3"/>
        <w:spacing w:before="200" w:after="80"/>
        <w:rPr/>
      </w:pPr>
      <w:bookmarkStart w:id="133" w:name="__RefHeading___Toc4417_3190140819"/>
      <w:bookmarkStart w:id="134" w:name="power-management-acpi-controller"/>
      <w:bookmarkEnd w:id="133"/>
      <w:r>
        <w:rPr>
          <w:rStyle w:val="SectionNumber"/>
          <w:b/>
          <w:color w:val="404040"/>
          <w:sz w:val="24"/>
        </w:rPr>
        <w:t>5.3.10</w:t>
      </w:r>
      <w:r>
        <w:rPr>
          <w:b/>
          <w:color w:val="404040"/>
          <w:sz w:val="24"/>
        </w:rPr>
        <w:tab/>
        <w:t>3.10 Power Management / ACPI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8-10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0x4000_5000 - 0x4000_5FFF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Clock gating control per block - Power domain sequencing - Reset generation and distribution - Wake event handling - Sleep/idle mode control - ACPI-compatible registers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Low-power system design - Battery-powered devices - Dynamic power management - Thermal management - OS power management interface</w:t>
      </w:r>
      <w:bookmarkEnd w:id="134"/>
    </w:p>
    <w:p>
      <w:pPr>
        <w:pStyle w:val="Heading3"/>
        <w:spacing w:before="200" w:after="80"/>
        <w:rPr/>
      </w:pPr>
      <w:bookmarkStart w:id="135" w:name="__RefHeading___Toc4419_3190140819"/>
      <w:bookmarkStart w:id="136" w:name="X2882fde29156ed52ff6a0f476830204f8d0c868"/>
      <w:bookmarkEnd w:id="135"/>
      <w:r>
        <w:rPr>
          <w:rStyle w:val="SectionNumber"/>
          <w:b/>
          <w:color w:val="404040"/>
          <w:sz w:val="24"/>
        </w:rPr>
        <w:t>5.3.11</w:t>
      </w:r>
      <w:r>
        <w:rPr>
          <w:b/>
          <w:color w:val="404040"/>
          <w:sz w:val="24"/>
        </w:rPr>
        <w:tab/>
        <w:t>3.11 IOAPIC - I/O Advanced Programmable Interrupt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6-8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0x4000_6000 - 0x4000_6FFF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I/O APIC CSR model (register-based interface) - Multiple interrupt inputs (24+) - Programmable interrupt routing - Edge and level triggered modes - Priority-based arbitration - Interrupt masking per input - APB register interface for configuration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Advanced interrupt routing - Multi-processor interrupt distribution - Flexible interrupt mapping - Legacy IRQ redirection - PC-compatible systems</w:t>
      </w:r>
      <w:bookmarkEnd w:id="136"/>
    </w:p>
    <w:p>
      <w:pPr>
        <w:pStyle w:val="Heading3"/>
        <w:spacing w:before="200" w:after="80"/>
        <w:rPr/>
      </w:pPr>
      <w:bookmarkStart w:id="137" w:name="__RefHeading___Toc4421_3190140819"/>
      <w:bookmarkStart w:id="138" w:name="interconnect-id-version-registers"/>
      <w:bookmarkEnd w:id="137"/>
      <w:r>
        <w:rPr>
          <w:rStyle w:val="SectionNumber"/>
          <w:b/>
          <w:color w:val="404040"/>
          <w:sz w:val="24"/>
        </w:rPr>
        <w:t>5.3.12</w:t>
      </w:r>
      <w:r>
        <w:rPr>
          <w:b/>
          <w:color w:val="404040"/>
          <w:sz w:val="24"/>
        </w:rPr>
        <w:tab/>
        <w:t>3.12 Interconnect ID / Version Registers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Low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1-2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0x4000_F000 - 0x4000_FFFF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Vendor ID register - Device ID register - Revision ID register - Block presence/capability bits - Configuration status registers - Debug/diagnostic registers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Software block discovery - Version checking - Feature detection - Debug and diagnostics - Platform identification</w:t>
      </w:r>
    </w:p>
    <w:p>
      <w:pPr>
        <w:pStyle w:val="Normal"/>
        <w:rPr/>
      </w:pPr>
      <w:bookmarkStart w:id="139" w:name="planned-blocks"/>
      <w:bookmarkStart w:id="140" w:name="interconnect-id-version-regis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9"/>
      <w:bookmarkEnd w:id="14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1" w:name="__RefHeading___Toc4423_3190140819"/>
      <w:bookmarkStart w:id="142" w:name="integration-and-wrapper-goals"/>
      <w:bookmarkEnd w:id="141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4. Integration and Wrapper Goals</w:t>
      </w:r>
    </w:p>
    <w:p>
      <w:pPr>
        <w:pStyle w:val="Heading3"/>
        <w:spacing w:before="200" w:after="80"/>
        <w:rPr/>
      </w:pPr>
      <w:bookmarkStart w:id="143" w:name="__RefHeading___Toc4425_3190140819"/>
      <w:bookmarkStart w:id="144" w:name="individual-block-integration"/>
      <w:bookmarkEnd w:id="143"/>
      <w:r>
        <w:rPr>
          <w:rStyle w:val="SectionNumber"/>
          <w:b/>
          <w:color w:val="404040"/>
          <w:sz w:val="24"/>
        </w:rPr>
        <w:t>5.4.1</w:t>
      </w:r>
      <w:r>
        <w:rPr>
          <w:b/>
          <w:color w:val="404040"/>
          <w:sz w:val="24"/>
        </w:rPr>
        <w:tab/>
        <w:t>4.1 Individual Block Integration</w:t>
      </w:r>
    </w:p>
    <w:p>
      <w:pPr>
        <w:pStyle w:val="FirstParagraph"/>
        <w:rPr/>
      </w:pPr>
      <w:r>
        <w:rPr>
          <w:sz w:val="20"/>
        </w:rPr>
        <w:t>Each block is designed to be used standalone:</w:t>
      </w:r>
    </w:p>
    <w:p>
      <w:pPr>
        <w:pStyle w:val="BodyText"/>
        <w:rPr/>
      </w:pPr>
      <w:r>
        <w:rPr>
          <w:b/>
          <w:bCs/>
          <w:sz w:val="20"/>
        </w:rPr>
        <w:t>Example - HPET Integration:</w:t>
      </w:r>
    </w:p>
    <w:p>
      <w:pPr>
        <w:pStyle w:val="SourceCode"/>
        <w:rPr/>
      </w:pPr>
      <w:r>
        <w:rPr>
          <w:rStyle w:val="NormalTok"/>
        </w:rPr>
        <w:t>apb_hpet #(</w:t>
      </w:r>
      <w:r>
        <w:rPr/>
        <w:br/>
      </w:r>
      <w:r>
        <w:rPr>
          <w:rStyle w:val="NormalTok"/>
        </w:rPr>
        <w:t xml:space="preserve">    .NUM_TIMERS(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.VENDOR_ID(</w:t>
      </w:r>
      <w:r>
        <w:rPr>
          <w:rStyle w:val="BaseNTok"/>
        </w:rPr>
        <w:t>16'h8086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.REVISION_ID(</w:t>
      </w:r>
      <w:r>
        <w:rPr>
          <w:rStyle w:val="BaseNTok"/>
        </w:rPr>
        <w:t>16'h0001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.CDC_ENABLE(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u_hpet (</w:t>
      </w:r>
      <w:r>
        <w:rPr/>
        <w:br/>
      </w:r>
      <w:r>
        <w:rPr>
          <w:rStyle w:val="NormalTok"/>
        </w:rPr>
        <w:t xml:space="preserve">    .pclk         (apb_clk),</w:t>
      </w:r>
      <w:r>
        <w:rPr/>
        <w:br/>
      </w:r>
      <w:r>
        <w:rPr>
          <w:rStyle w:val="NormalTok"/>
        </w:rPr>
        <w:t xml:space="preserve">    .presetn      (apb_rst_n),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 interface</w:t>
      </w:r>
      <w:r>
        <w:rPr/>
        <w:br/>
      </w:r>
      <w:r>
        <w:rPr>
          <w:rStyle w:val="NormalTok"/>
        </w:rPr>
        <w:t xml:space="preserve">    .paddr        (paddr),</w:t>
      </w:r>
      <w:r>
        <w:rPr/>
        <w:br/>
      </w:r>
      <w:r>
        <w:rPr>
          <w:rStyle w:val="NormalTok"/>
        </w:rPr>
        <w:t xml:space="preserve">    .psel         (psel_hpet),</w:t>
      </w:r>
      <w:r>
        <w:rPr/>
        <w:br/>
      </w:r>
      <w:r>
        <w:rPr>
          <w:rStyle w:val="NormalTok"/>
        </w:rPr>
        <w:t xml:space="preserve">    .penable      (penable),</w:t>
      </w:r>
      <w:r>
        <w:rPr/>
        <w:br/>
      </w:r>
      <w:r>
        <w:rPr>
          <w:rStyle w:val="NormalTok"/>
        </w:rPr>
        <w:t xml:space="preserve">    .pwrite       (pwrite),</w:t>
      </w:r>
      <w:r>
        <w:rPr/>
        <w:br/>
      </w:r>
      <w:r>
        <w:rPr>
          <w:rStyle w:val="NormalTok"/>
        </w:rPr>
        <w:t xml:space="preserve">    .pwdata       (pwdata),</w:t>
      </w:r>
      <w:r>
        <w:rPr/>
        <w:br/>
      </w:r>
      <w:r>
        <w:rPr>
          <w:rStyle w:val="NormalTok"/>
        </w:rPr>
        <w:t xml:space="preserve">    .prdata       (prdata_hpet),</w:t>
      </w:r>
      <w:r>
        <w:rPr/>
        <w:br/>
      </w:r>
      <w:r>
        <w:rPr>
          <w:rStyle w:val="NormalTok"/>
        </w:rPr>
        <w:t xml:space="preserve">    .pready       (pready_hpet),</w:t>
      </w:r>
      <w:r>
        <w:rPr/>
        <w:br/>
      </w:r>
      <w:r>
        <w:rPr>
          <w:rStyle w:val="NormalTok"/>
        </w:rPr>
        <w:t xml:space="preserve">    .pslverr      (pslverr_hpet),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HPET-specific</w:t>
      </w:r>
      <w:r>
        <w:rPr/>
        <w:br/>
      </w:r>
      <w:r>
        <w:rPr>
          <w:rStyle w:val="NormalTok"/>
        </w:rPr>
        <w:t xml:space="preserve">    .hpet_clk     (timer_clk),</w:t>
      </w:r>
      <w:r>
        <w:rPr/>
        <w:br/>
      </w:r>
      <w:r>
        <w:rPr>
          <w:rStyle w:val="NormalTok"/>
        </w:rPr>
        <w:t xml:space="preserve">    .hpet_rst_n   (timer_rst_n),</w:t>
      </w:r>
      <w:r>
        <w:rPr/>
        <w:br/>
      </w:r>
      <w:r>
        <w:rPr>
          <w:rStyle w:val="NormalTok"/>
        </w:rPr>
        <w:t xml:space="preserve">    .timer_irq    (timer_irq[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])</w:t>
      </w:r>
      <w:r>
        <w:rPr/>
        <w:br/>
      </w:r>
      <w:r>
        <w:rPr>
          <w:rStyle w:val="NormalTok"/>
        </w:rPr>
        <w:t>);</w:t>
      </w:r>
      <w:bookmarkEnd w:id="144"/>
    </w:p>
    <w:p>
      <w:pPr>
        <w:pStyle w:val="Heading3"/>
        <w:spacing w:before="200" w:after="80"/>
        <w:rPr/>
      </w:pPr>
      <w:bookmarkStart w:id="145" w:name="__RefHeading___Toc4427_3190140819"/>
      <w:bookmarkStart w:id="146" w:name="rlb-wrapper-architecture"/>
      <w:bookmarkEnd w:id="145"/>
      <w:r>
        <w:rPr>
          <w:rStyle w:val="SectionNumber"/>
          <w:b/>
          <w:color w:val="404040"/>
          <w:sz w:val="24"/>
        </w:rPr>
        <w:t>5.4.2</w:t>
      </w:r>
      <w:r>
        <w:rPr>
          <w:b/>
          <w:color w:val="404040"/>
          <w:sz w:val="24"/>
        </w:rPr>
        <w:tab/>
        <w:t>4.2 RLB Wrapper Architecture</w:t>
      </w:r>
    </w:p>
    <w:p>
      <w:pPr>
        <w:pStyle w:val="FirstParagraph"/>
        <w:rPr/>
      </w:pPr>
      <w:r>
        <w:rPr>
          <w:b/>
          <w:bCs/>
          <w:sz w:val="20"/>
        </w:rPr>
        <w:t>Goal:</w:t>
      </w:r>
      <w:r>
        <w:rPr>
          <w:sz w:val="20"/>
        </w:rPr>
        <w:t xml:space="preserve"> Create top-level wrapper combining multiple legacy blocks into unified retro-compatible subsystem.</w:t>
      </w:r>
    </w:p>
    <w:p>
      <w:pPr>
        <w:pStyle w:val="BodyText"/>
        <w:rPr/>
      </w:pPr>
      <w:r>
        <w:rPr>
          <w:b/>
          <w:bCs/>
          <w:sz w:val="20"/>
        </w:rPr>
        <w:t>System Architecture:</w:t>
      </w:r>
    </w:p>
    <w:p>
      <w:pPr>
        <w:pStyle w:val="SourceCode"/>
        <w:rPr/>
      </w:pPr>
      <w:r>
        <w:rPr>
          <w:rStyle w:val="VerbatimChar"/>
        </w:rPr>
        <w:t xml:space="preserve">                    ┌─────────────────────────────────────────┐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            │         RLB Wrapper                      │</w:t>
      </w:r>
      <w:r>
        <w:rPr/>
        <w:br/>
      </w:r>
      <w:r>
        <w:rPr>
          <w:rStyle w:val="VerbatimChar"/>
        </w:rPr>
        <w:t xml:space="preserve">                    │  (Single APB Slave Entry Point)         │</w:t>
      </w:r>
      <w:r>
        <w:rPr/>
        <w:br/>
      </w:r>
      <w:r>
        <w:rPr>
          <w:rStyle w:val="VerbatimChar"/>
        </w:rPr>
        <w:t xml:space="preserve">                    └──────────────┬──────────────────────────┘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                      │</w:t>
      </w:r>
      <w:r>
        <w:rPr/>
        <w:br/>
      </w:r>
      <w:r>
        <w:rPr>
          <w:rStyle w:val="VerbatimChar"/>
        </w:rPr>
        <w:t xml:space="preserve">                    ┌──────────────▼──────────────────┐</w:t>
      </w:r>
      <w:r>
        <w:rPr/>
        <w:br/>
      </w:r>
      <w:r>
        <w:rPr>
          <w:rStyle w:val="VerbatimChar"/>
        </w:rPr>
        <w:t xml:space="preserve">                    │     APB Decoder/Bridge           │</w:t>
      </w:r>
      <w:r>
        <w:rPr/>
        <w:br/>
      </w:r>
      <w:r>
        <w:rPr>
          <w:rStyle w:val="VerbatimChar"/>
        </w:rPr>
        <w:t xml:space="preserve">                    │  (Address decode + routing)      │</w:t>
      </w:r>
      <w:r>
        <w:rPr/>
        <w:br/>
      </w:r>
      <w:r>
        <w:rPr>
          <w:rStyle w:val="VerbatimChar"/>
        </w:rPr>
        <w:t xml:space="preserve">                    └──────────────┬──────────────────┘</w:t>
      </w:r>
      <w:r>
        <w:rPr/>
        <w:br/>
      </w:r>
      <w:r>
        <w:rPr>
          <w:rStyle w:val="VerbatimChar"/>
        </w:rPr>
        <w:t xml:space="preserve">                                   │</w:t>
      </w:r>
      <w:r>
        <w:rPr/>
        <w:br/>
      </w:r>
      <w:r>
        <w:rPr>
          <w:rStyle w:val="VerbatimChar"/>
        </w:rPr>
        <w:t xml:space="preserve">        ┌──────────────────────────┴──────────────────────────┐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│                                                       │</w:t>
      </w:r>
      <w:r>
        <w:rPr/>
        <w:br/>
      </w:r>
      <w:r>
        <w:rPr>
          <w:rStyle w:val="VerbatimChar"/>
        </w:rPr>
        <w:t xml:space="preserve">        ▼                 ▼              ▼              ▼      ▼</w:t>
      </w:r>
      <w:r>
        <w:rPr/>
        <w:br/>
      </w:r>
      <w:r>
        <w:rPr>
          <w:rStyle w:val="VerbatimChar"/>
        </w:rPr>
        <w:t xml:space="preserve">    ┌──────┐         ┌──────┐       ┌──────┐      ┌──────┐  ┌──────┐</w:t>
      </w:r>
      <w:r>
        <w:rPr/>
        <w:br/>
      </w:r>
      <w:r>
        <w:rPr>
          <w:rStyle w:val="VerbatimChar"/>
        </w:rPr>
        <w:t xml:space="preserve">    │ HPET │         │ 8259 │       │ 8254 │      │ RTC  │  │ ...  │</w:t>
      </w:r>
      <w:r>
        <w:rPr/>
        <w:br/>
      </w:r>
      <w:r>
        <w:rPr>
          <w:rStyle w:val="VerbatimChar"/>
        </w:rPr>
        <w:t xml:space="preserve">    │ 4KB  │         │ 4KB  │       │ 4KB  │      │ 4KB  │  │      │</w:t>
      </w:r>
      <w:r>
        <w:rPr/>
        <w:br/>
      </w:r>
      <w:r>
        <w:rPr>
          <w:rStyle w:val="VerbatimChar"/>
        </w:rPr>
        <w:t xml:space="preserve">    └──────┘         └──────┘       └──────┘      └──────┘  └──────┘</w:t>
      </w:r>
    </w:p>
    <w:p>
      <w:pPr>
        <w:pStyle w:val="FirstParagraph"/>
        <w:rPr/>
      </w:pPr>
      <w:r>
        <w:rPr>
          <w:b/>
          <w:bCs/>
          <w:sz w:val="20"/>
        </w:rPr>
        <w:t>Address Map:</w:t>
      </w:r>
    </w:p>
    <w:p>
      <w:pPr>
        <w:pStyle w:val="BodyText"/>
        <w:rPr/>
      </w:pPr>
      <w:r>
        <w:rPr>
          <w:sz w:val="20"/>
        </w:rPr>
        <w:t xml:space="preserve">Base address: </w:t>
      </w:r>
      <w:r>
        <w:rPr>
          <w:rStyle w:val="VerbatimChar"/>
          <w:sz w:val="20"/>
        </w:rPr>
        <w:t>0x4000_0000</w:t>
      </w:r>
      <w:r>
        <w:rPr>
          <w:sz w:val="20"/>
        </w:rPr>
        <w:t xml:space="preserve"> (1GB region in typical 32-bit system) Window size: 4KB per block (clean power-of-2 decode)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695"/>
        <w:gridCol w:w="1723"/>
        <w:gridCol w:w="1478"/>
        <w:gridCol w:w="2463"/>
      </w:tblGrid>
      <w:tr>
        <w:trPr>
          <w:tblHeader w:val="true"/>
        </w:trPr>
        <w:tc>
          <w:tcPr>
            <w:tcW w:w="36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 Range</w:t>
            </w:r>
          </w:p>
        </w:tc>
        <w:tc>
          <w:tcPr>
            <w:tcW w:w="172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147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  <w:tc>
          <w:tcPr>
            <w:tcW w:w="246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0x4000_0000 - 0x4000_0FFF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HPET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Precision Event Timer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0x4000_1000 - 0x4000_1FFF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8259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Programmable Interrupt Controller (PIC)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0x4000_2000 - 0x4000_2FFF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8254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Programmable Interval Timer (PIT)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0x4000_3000 - 0x4000_3FFF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Real-Time Clock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0x4000_4000 - 0x4000_4FFF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 Host Controller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0x4000_5000 - 0x4000_5FFF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PM/ACPI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Management / ACPI Registers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0x4000_6000 - 0x4000_6FFF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IOAPIC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I/O Advanced PIC (CSR model)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0x4000_7000 - 0x4000_EFFF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Future expansion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0x4000_F000 - 0x4000_FFFF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Interconnect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ID/Version/Control registers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other addresses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Slave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Returns DECERR/SLVERR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Decoder Implementation:</w:t>
      </w:r>
    </w:p>
    <w:p>
      <w:pPr>
        <w:pStyle w:val="SourceCode"/>
        <w:rPr/>
      </w:pPr>
      <w:r>
        <w:rPr>
          <w:rStyle w:val="CommentTok"/>
        </w:rPr>
        <w:t>// Address decode logic (simplified)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BASE_ADDR = </w:t>
      </w:r>
      <w:r>
        <w:rPr>
          <w:rStyle w:val="BaseNTok"/>
        </w:rPr>
        <w:t>32'h4000_0000</w:t>
      </w:r>
      <w:r>
        <w:rPr>
          <w:rStyle w:val="NormalTok"/>
        </w:rPr>
        <w:t>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BLOCK_SIZE = </w:t>
      </w:r>
      <w:r>
        <w:rPr>
          <w:rStyle w:val="DecValTok"/>
        </w:rPr>
        <w:t>12</w:t>
      </w:r>
      <w:r>
        <w:rPr>
          <w:rStyle w:val="NormalTok"/>
        </w:rPr>
        <w:t xml:space="preserve">;  </w:t>
      </w:r>
      <w:r>
        <w:rPr>
          <w:rStyle w:val="CommentTok"/>
        </w:rPr>
        <w:t>// 4KB = 2^12</w:t>
      </w:r>
      <w:r>
        <w:rPr/>
        <w:b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block_sel;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block_sel = paddr[</w:t>
      </w:r>
      <w:r>
        <w:rPr>
          <w:rStyle w:val="DecValTok"/>
        </w:rPr>
        <w:t>15</w:t>
      </w:r>
      <w:r>
        <w:rPr>
          <w:rStyle w:val="NormalTok"/>
        </w:rPr>
        <w:t>:</w:t>
      </w:r>
      <w:r>
        <w:rPr>
          <w:rStyle w:val="DecValTok"/>
        </w:rPr>
        <w:t>12</w:t>
      </w:r>
      <w:r>
        <w:rPr>
          <w:rStyle w:val="NormalTok"/>
        </w:rPr>
        <w:t xml:space="preserve">];  </w:t>
      </w:r>
      <w:r>
        <w:rPr>
          <w:rStyle w:val="CommentTok"/>
        </w:rPr>
        <w:t>// Extract window number</w:t>
      </w:r>
      <w:r>
        <w:rPr/>
        <w:b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psel_hpet      = (block_sel == </w:t>
      </w:r>
      <w:r>
        <w:rPr>
          <w:rStyle w:val="BaseNTok"/>
        </w:rPr>
        <w:t>4'h0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0x4000_0xxx</w:t>
      </w:r>
      <w:r>
        <w:rPr/>
        <w:br/>
      </w:r>
      <w:r>
        <w:rPr>
          <w:rStyle w:val="NormalTok"/>
        </w:rPr>
        <w:t xml:space="preserve">    psel_pic8259   = (block_sel == </w:t>
      </w:r>
      <w:r>
        <w:rPr>
          <w:rStyle w:val="BaseNTok"/>
        </w:rPr>
        <w:t>4'h1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0x4000_1xxx</w:t>
      </w:r>
      <w:r>
        <w:rPr/>
        <w:br/>
      </w:r>
      <w:r>
        <w:rPr>
          <w:rStyle w:val="NormalTok"/>
        </w:rPr>
        <w:t xml:space="preserve">    psel_pit8254   = (block_sel == </w:t>
      </w:r>
      <w:r>
        <w:rPr>
          <w:rStyle w:val="BaseNTok"/>
        </w:rPr>
        <w:t>4'h2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0x4000_2xxx</w:t>
      </w:r>
      <w:r>
        <w:rPr/>
        <w:br/>
      </w:r>
      <w:r>
        <w:rPr>
          <w:rStyle w:val="NormalTok"/>
        </w:rPr>
        <w:t xml:space="preserve">    psel_rtc       = (block_sel == </w:t>
      </w:r>
      <w:r>
        <w:rPr>
          <w:rStyle w:val="BaseNTok"/>
        </w:rPr>
        <w:t>4'h3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0x4000_3xxx</w:t>
      </w:r>
      <w:r>
        <w:rPr/>
        <w:br/>
      </w:r>
      <w:r>
        <w:rPr>
          <w:rStyle w:val="NormalTok"/>
        </w:rPr>
        <w:t xml:space="preserve">    psel_smbus     = (block_sel == </w:t>
      </w:r>
      <w:r>
        <w:rPr>
          <w:rStyle w:val="BaseNTok"/>
        </w:rPr>
        <w:t>4'h4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0x4000_4xxx</w:t>
      </w:r>
      <w:r>
        <w:rPr/>
        <w:br/>
      </w:r>
      <w:r>
        <w:rPr>
          <w:rStyle w:val="NormalTok"/>
        </w:rPr>
        <w:t xml:space="preserve">    psel_pm        = (block_sel == </w:t>
      </w:r>
      <w:r>
        <w:rPr>
          <w:rStyle w:val="BaseNTok"/>
        </w:rPr>
        <w:t>4'h5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0x4000_5xxx</w:t>
      </w:r>
      <w:r>
        <w:rPr/>
        <w:br/>
      </w:r>
      <w:r>
        <w:rPr>
          <w:rStyle w:val="NormalTok"/>
        </w:rPr>
        <w:t xml:space="preserve">    psel_ioapic    = (block_sel == </w:t>
      </w:r>
      <w:r>
        <w:rPr>
          <w:rStyle w:val="BaseNTok"/>
        </w:rPr>
        <w:t>4'h6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0x4000_6xxx</w:t>
      </w:r>
      <w:r>
        <w:rPr/>
        <w:br/>
      </w:r>
      <w:r>
        <w:rPr>
          <w:rStyle w:val="NormalTok"/>
        </w:rPr>
        <w:t xml:space="preserve">    psel_id        = (block_sel == </w:t>
      </w:r>
      <w:r>
        <w:rPr>
          <w:rStyle w:val="BaseNTok"/>
        </w:rPr>
        <w:t>4'hF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0x4000_Fxxx</w:t>
      </w:r>
      <w:r>
        <w:rPr/>
        <w:br/>
      </w:r>
      <w:r>
        <w:rPr>
          <w:rStyle w:val="NormalTok"/>
        </w:rPr>
        <w:t xml:space="preserve">    psel_error     = !(|{psel_hpet, psel_pic8259, psel_pit8254,</w:t>
      </w:r>
      <w:r>
        <w:rPr/>
        <w:br/>
      </w:r>
      <w:r>
        <w:rPr>
          <w:rStyle w:val="NormalTok"/>
        </w:rPr>
        <w:t xml:space="preserve">                         psel_rtc, psel_smbus, psel_pm,</w:t>
      </w:r>
      <w:r>
        <w:rPr/>
        <w:br/>
      </w:r>
      <w:r>
        <w:rPr>
          <w:rStyle w:val="NormalTok"/>
        </w:rPr>
        <w:t xml:space="preserve">                         psel_ioapic, psel_id}) &amp; psel;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b/>
          <w:bCs/>
          <w:sz w:val="20"/>
        </w:rPr>
        <w:t>Interface:</w:t>
      </w:r>
      <w:r>
        <w:rPr>
          <w:sz w:val="20"/>
        </w:rPr>
        <w:t xml:space="preserve"> - </w:t>
      </w:r>
      <w:r>
        <w:rPr>
          <w:b/>
          <w:bCs/>
          <w:sz w:val="20"/>
        </w:rPr>
        <w:t>Single APB slave port</w:t>
      </w:r>
      <w:r>
        <w:rPr>
          <w:sz w:val="20"/>
        </w:rPr>
        <w:t xml:space="preserve"> at base address 0x4000_0000 - </w:t>
      </w:r>
      <w:r>
        <w:rPr>
          <w:b/>
          <w:bCs/>
          <w:sz w:val="20"/>
        </w:rPr>
        <w:t>Aggregated interrupt output</w:t>
      </w:r>
      <w:r>
        <w:rPr>
          <w:sz w:val="20"/>
        </w:rPr>
        <w:t xml:space="preserve"> combining all block IRQs - </w:t>
      </w:r>
      <w:r>
        <w:rPr>
          <w:b/>
          <w:bCs/>
          <w:sz w:val="20"/>
        </w:rPr>
        <w:t>Per-block clock/reset control</w:t>
      </w:r>
      <w:r>
        <w:rPr>
          <w:sz w:val="20"/>
        </w:rPr>
        <w:t xml:space="preserve"> for power management - </w:t>
      </w:r>
      <w:r>
        <w:rPr>
          <w:b/>
          <w:bCs/>
          <w:sz w:val="20"/>
        </w:rPr>
        <w:t>External I/O signals</w:t>
      </w:r>
      <w:r>
        <w:rPr>
          <w:sz w:val="20"/>
        </w:rPr>
        <w:t xml:space="preserve"> (GPIO, UART, I2C/SMBus, etc.) - </w:t>
      </w:r>
      <w:r>
        <w:rPr>
          <w:b/>
          <w:bCs/>
          <w:sz w:val="20"/>
        </w:rPr>
        <w:t>Error slave</w:t>
      </w:r>
      <w:r>
        <w:rPr>
          <w:sz w:val="20"/>
        </w:rPr>
        <w:t xml:space="preserve"> returns SLVERR for unmapped addresses</w:t>
      </w:r>
    </w:p>
    <w:p>
      <w:pPr>
        <w:pStyle w:val="BodyText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Simplified system integration (single APB slave) - Consistent 4KB window addressing - Clean power-of-2 address decode - Easy expansion (32KB reserved space) - Single verification target - Drop-in retro-compatible peripheral subsystem</w:t>
      </w:r>
    </w:p>
    <w:p>
      <w:pPr>
        <w:pStyle w:val="Normal"/>
        <w:rPr/>
      </w:pPr>
      <w:bookmarkStart w:id="147" w:name="integration-and-wrapper-goals"/>
      <w:bookmarkStart w:id="148" w:name="rlb-wrapper-architectur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7"/>
      <w:bookmarkEnd w:id="14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9" w:name="__RefHeading___Toc4429_3190140819"/>
      <w:bookmarkStart w:id="150" w:name="design-standards"/>
      <w:bookmarkEnd w:id="149"/>
      <w:r>
        <w:rPr>
          <w:rStyle w:val="SectionNumber"/>
          <w:b/>
          <w:color w:val="228B22"/>
          <w:sz w:val="28"/>
        </w:rPr>
        <w:t>5.5</w:t>
      </w:r>
      <w:r>
        <w:rPr>
          <w:b/>
          <w:color w:val="228B22"/>
          <w:sz w:val="28"/>
        </w:rPr>
        <w:tab/>
        <w:t>5. Design Standards</w:t>
      </w:r>
    </w:p>
    <w:p>
      <w:pPr>
        <w:pStyle w:val="Heading3"/>
        <w:spacing w:before="200" w:after="80"/>
        <w:rPr/>
      </w:pPr>
      <w:bookmarkStart w:id="151" w:name="__RefHeading___Toc4431_3190140819"/>
      <w:bookmarkStart w:id="152" w:name="reset-handling"/>
      <w:bookmarkEnd w:id="151"/>
      <w:r>
        <w:rPr>
          <w:rStyle w:val="SectionNumber"/>
          <w:b/>
          <w:color w:val="404040"/>
          <w:sz w:val="24"/>
        </w:rPr>
        <w:t>5.5.1</w:t>
      </w:r>
      <w:r>
        <w:rPr>
          <w:b/>
          <w:color w:val="404040"/>
          <w:sz w:val="24"/>
        </w:rPr>
        <w:tab/>
        <w:t>5.1 Reset Handling</w:t>
      </w:r>
    </w:p>
    <w:p>
      <w:pPr>
        <w:pStyle w:val="FirstParagraph"/>
        <w:rPr/>
      </w:pPr>
      <w:r>
        <w:rPr>
          <w:b/>
          <w:bCs/>
          <w:sz w:val="20"/>
        </w:rPr>
        <w:t>MANDATORY:</w:t>
      </w:r>
      <w:r>
        <w:rPr>
          <w:sz w:val="20"/>
        </w:rPr>
        <w:t xml:space="preserve"> All blocks must use standardized reset macros from </w:t>
      </w:r>
      <w:r>
        <w:rPr>
          <w:rStyle w:val="VerbatimChar"/>
          <w:sz w:val="20"/>
        </w:rPr>
        <w:t>rtl/amba/includes/reset_defs.svh</w:t>
      </w:r>
    </w:p>
    <w:p>
      <w:pPr>
        <w:pStyle w:val="BodyText"/>
        <w:rPr/>
      </w:pPr>
      <w:r>
        <w:rPr>
          <w:b/>
          <w:bCs/>
          <w:sz w:val="20"/>
        </w:rPr>
        <w:t>Pattern:</w:t>
      </w:r>
    </w:p>
    <w:p>
      <w:pPr>
        <w:pStyle w:val="SourceCode"/>
        <w:rPr/>
      </w:pPr>
      <w:r>
        <w:rPr>
          <w:rStyle w:val="OtherTok"/>
        </w:rPr>
        <w:t>`include</w:t>
      </w:r>
      <w:r>
        <w:rPr>
          <w:rStyle w:val="NormalTok"/>
        </w:rPr>
        <w:t xml:space="preserve"> </w:t>
      </w:r>
      <w:r>
        <w:rPr>
          <w:rStyle w:val="StringTok"/>
        </w:rPr>
        <w:t>"reset_defs.svh"</w:t>
      </w:r>
      <w:r>
        <w:rPr/>
        <w:br/>
        <w:br/>
      </w:r>
      <w:r>
        <w:rPr>
          <w:rStyle w:val="OtherTok"/>
        </w:rPr>
        <w:t>`ALWAYS_FF_RST(clk, rst_n,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</w:t>
      </w:r>
      <w:r>
        <w:rPr>
          <w:rStyle w:val="OtherTok"/>
        </w:rPr>
        <w:t>`RST_ASSERTED</w:t>
      </w:r>
      <w:r>
        <w:rPr>
          <w:rStyle w:val="NormalTok"/>
        </w:rPr>
        <w:t xml:space="preserve">(rst_n))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r_counter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w_next_state;</w:t>
      </w:r>
      <w:r>
        <w:rPr/>
        <w:br/>
      </w:r>
      <w:r>
        <w:rPr>
          <w:rStyle w:val="NormalTok"/>
        </w:rPr>
        <w:t xml:space="preserve">        r_counter &lt;= r_counter +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Why:</w:t>
      </w:r>
      <w:r>
        <w:rPr>
          <w:sz w:val="20"/>
        </w:rPr>
        <w:t xml:space="preserve"> - FPGA-friendly reset inference - Consistent synthesis behavior - Single-point reset polarity control - Better timing closure</w:t>
      </w:r>
      <w:bookmarkEnd w:id="152"/>
    </w:p>
    <w:p>
      <w:pPr>
        <w:pStyle w:val="Heading3"/>
        <w:spacing w:before="200" w:after="80"/>
        <w:rPr/>
      </w:pPr>
      <w:bookmarkStart w:id="153" w:name="__RefHeading___Toc4433_3190140819"/>
      <w:bookmarkStart w:id="154" w:name="register-generation"/>
      <w:bookmarkEnd w:id="153"/>
      <w:r>
        <w:rPr>
          <w:rStyle w:val="SectionNumber"/>
          <w:b/>
          <w:color w:val="404040"/>
          <w:sz w:val="24"/>
        </w:rPr>
        <w:t>5.5.2</w:t>
      </w:r>
      <w:r>
        <w:rPr>
          <w:b/>
          <w:color w:val="404040"/>
          <w:sz w:val="24"/>
        </w:rPr>
        <w:tab/>
        <w:t>5.2 Register Generation</w:t>
      </w:r>
    </w:p>
    <w:p>
      <w:pPr>
        <w:pStyle w:val="FirstParagraph"/>
        <w:rPr/>
      </w:pPr>
      <w:r>
        <w:rPr>
          <w:b/>
          <w:bCs/>
          <w:sz w:val="20"/>
        </w:rPr>
        <w:t>Preferred:</w:t>
      </w:r>
      <w:r>
        <w:rPr>
          <w:sz w:val="20"/>
        </w:rPr>
        <w:t xml:space="preserve"> Use PeakRDL for register map generation</w:t>
      </w:r>
    </w:p>
    <w:p>
      <w:pPr>
        <w:pStyle w:val="BodyText"/>
        <w:rPr/>
      </w:pPr>
      <w:r>
        <w:rPr>
          <w:b/>
          <w:bCs/>
          <w:sz w:val="20"/>
        </w:rPr>
        <w:t>Process:</w:t>
      </w:r>
      <w:r>
        <w:rPr>
          <w:sz w:val="20"/>
        </w:rPr>
        <w:t xml:space="preserve"> 1. Define registers in SystemRDL (</w:t>
      </w:r>
      <w:r>
        <w:rPr>
          <w:rStyle w:val="VerbatimChar"/>
          <w:sz w:val="20"/>
        </w:rPr>
        <w:t>.rdl</w:t>
      </w:r>
      <w:r>
        <w:rPr>
          <w:sz w:val="20"/>
        </w:rPr>
        <w:t xml:space="preserve"> file) 2. Generate RTL using PeakRDL regblock 3. Create wrapper module connecting registers to core logic 4. Use edge detection for write strobes (not level)</w:t>
      </w:r>
    </w:p>
    <w:p>
      <w:pPr>
        <w:pStyle w:val="BodyText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Consistent register interface - Auto-generated documentation - Reduced manual RTL errors - Easy register map changes</w:t>
      </w:r>
      <w:bookmarkEnd w:id="154"/>
    </w:p>
    <w:p>
      <w:pPr>
        <w:pStyle w:val="Heading3"/>
        <w:spacing w:before="200" w:after="80"/>
        <w:rPr/>
      </w:pPr>
      <w:bookmarkStart w:id="155" w:name="__RefHeading___Toc4435_3190140819"/>
      <w:bookmarkStart w:id="156" w:name="testbench-architecture"/>
      <w:bookmarkEnd w:id="155"/>
      <w:r>
        <w:rPr>
          <w:rStyle w:val="SectionNumber"/>
          <w:b/>
          <w:color w:val="404040"/>
          <w:sz w:val="24"/>
        </w:rPr>
        <w:t>5.5.3</w:t>
      </w:r>
      <w:r>
        <w:rPr>
          <w:b/>
          <w:color w:val="404040"/>
          <w:sz w:val="24"/>
        </w:rPr>
        <w:tab/>
        <w:t>5.3 Testbench Architecture</w:t>
      </w:r>
    </w:p>
    <w:p>
      <w:pPr>
        <w:pStyle w:val="FirstParagraph"/>
        <w:rPr/>
      </w:pPr>
      <w:r>
        <w:rPr>
          <w:b/>
          <w:bCs/>
          <w:sz w:val="20"/>
        </w:rPr>
        <w:t>MANDATORY:</w:t>
      </w:r>
      <w:r>
        <w:rPr>
          <w:sz w:val="20"/>
        </w:rPr>
        <w:t xml:space="preserve"> Follow project testbench organization pattern</w:t>
      </w:r>
    </w:p>
    <w:p>
      <w:pPr>
        <w:pStyle w:val="BodyText"/>
        <w:rPr/>
      </w:pPr>
      <w:r>
        <w:rPr>
          <w:b/>
          <w:bCs/>
          <w:sz w:val="20"/>
        </w:rPr>
        <w:t>Structure:</w:t>
      </w:r>
    </w:p>
    <w:p>
      <w:pPr>
        <w:pStyle w:val="SourceCode"/>
        <w:rPr/>
      </w:pPr>
      <w:r>
        <w:rPr>
          <w:rStyle w:val="VerbatimChar"/>
        </w:rPr>
        <w:t>dv/</w:t>
      </w:r>
      <w:r>
        <w:rPr/>
        <w:br/>
      </w:r>
      <w:r>
        <w:rPr>
          <w:rStyle w:val="VerbatimChar"/>
        </w:rPr>
        <w:t>├── tbclasses/{block}/          # Block-specific TB classes</w:t>
      </w:r>
      <w:r>
        <w:rPr/>
        <w:br/>
      </w:r>
      <w:r>
        <w:rPr>
          <w:rStyle w:val="VerbatimChar"/>
        </w:rPr>
        <w:t>│   ├── {block}_tb.py          # Main testbench</w:t>
      </w:r>
      <w:r>
        <w:rPr/>
        <w:br/>
      </w:r>
      <w:r>
        <w:rPr>
          <w:rStyle w:val="VerbatimChar"/>
        </w:rPr>
        <w:t>│   ├── {block}_tests_basic.py # Basic test suite</w:t>
      </w:r>
      <w:r>
        <w:rPr/>
        <w:br/>
      </w:r>
      <w:r>
        <w:rPr>
          <w:rStyle w:val="VerbatimChar"/>
        </w:rPr>
        <w:t>│   ├── {block}_tests_medium.py # Medium test suite</w:t>
      </w:r>
      <w:r>
        <w:rPr/>
        <w:br/>
      </w:r>
      <w:r>
        <w:rPr>
          <w:rStyle w:val="VerbatimChar"/>
        </w:rPr>
        <w:t>│   └── {block}_tests_full.py  # Full test suite</w:t>
      </w:r>
      <w:r>
        <w:rPr/>
        <w:br/>
      </w:r>
      <w:r>
        <w:rPr>
          <w:rStyle w:val="VerbatimChar"/>
        </w:rPr>
        <w:t>└── tests/{block}/             # Test runners</w:t>
      </w:r>
      <w:r>
        <w:rPr/>
        <w:br/>
      </w:r>
      <w:r>
        <w:rPr>
          <w:rStyle w:val="VerbatimChar"/>
        </w:rPr>
        <w:t xml:space="preserve">    ├── test_apb_{block}.py    # Pytest wrapper</w:t>
      </w:r>
      <w:r>
        <w:rPr/>
        <w:br/>
      </w:r>
      <w:r>
        <w:rPr>
          <w:rStyle w:val="VerbatimChar"/>
        </w:rPr>
        <w:t xml:space="preserve">    └── conftest.py            # Pytest configuration</w:t>
      </w:r>
    </w:p>
    <w:p>
      <w:pPr>
        <w:pStyle w:val="FirstParagraph"/>
        <w:rPr/>
      </w:pPr>
      <w:r>
        <w:rPr>
          <w:b/>
          <w:bCs/>
          <w:sz w:val="20"/>
        </w:rPr>
        <w:t>Import Pattern:</w:t>
      </w:r>
    </w:p>
    <w:p>
      <w:pPr>
        <w:pStyle w:val="SourceCode"/>
        <w:rPr/>
      </w:pPr>
      <w:r>
        <w:rPr>
          <w:rStyle w:val="CommentTok"/>
        </w:rPr>
        <w:t># Always import from PROJECT AREA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projects.components.retro_legacy_blocks.dv.tbclasses.{block}.{block}_tb </w:t>
      </w:r>
      <w:r>
        <w:rPr>
          <w:rStyle w:val="ImportTok"/>
        </w:rPr>
        <w:t>import</w:t>
      </w:r>
      <w:r>
        <w:rPr>
          <w:rStyle w:val="NormalTok"/>
        </w:rPr>
        <w:t xml:space="preserve"> {Block}TB</w:t>
      </w:r>
    </w:p>
    <w:p>
      <w:pPr>
        <w:pStyle w:val="FirstParagraph"/>
        <w:rPr/>
      </w:pPr>
      <w:r>
        <w:rPr>
          <w:b/>
          <w:bCs/>
          <w:sz w:val="20"/>
        </w:rPr>
        <w:t>Test Levels:</w:t>
      </w:r>
      <w:r>
        <w:rPr>
          <w:sz w:val="20"/>
        </w:rPr>
        <w:t xml:space="preserve"> - </w:t>
      </w:r>
      <w:r>
        <w:rPr>
          <w:b/>
          <w:bCs/>
          <w:sz w:val="20"/>
        </w:rPr>
        <w:t>Basic:</w:t>
      </w:r>
      <w:r>
        <w:rPr>
          <w:sz w:val="20"/>
        </w:rPr>
        <w:t xml:space="preserve"> Core functionality (register access, basic operation) - </w:t>
      </w:r>
      <w:r>
        <w:rPr>
          <w:b/>
          <w:bCs/>
          <w:sz w:val="20"/>
        </w:rPr>
        <w:t>Medium:</w:t>
      </w:r>
      <w:r>
        <w:rPr>
          <w:sz w:val="20"/>
        </w:rPr>
        <w:t xml:space="preserve"> Extended features (modes, configurations, edge cases) - </w:t>
      </w:r>
      <w:r>
        <w:rPr>
          <w:b/>
          <w:bCs/>
          <w:sz w:val="20"/>
        </w:rPr>
        <w:t>Full:</w:t>
      </w:r>
      <w:r>
        <w:rPr>
          <w:sz w:val="20"/>
        </w:rPr>
        <w:t xml:space="preserve"> Stress testing, CDC variants, corner cases</w:t>
      </w:r>
    </w:p>
    <w:p>
      <w:pPr>
        <w:pStyle w:val="BodyText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100% pass rate at all levels</w:t>
      </w:r>
      <w:bookmarkEnd w:id="156"/>
    </w:p>
    <w:p>
      <w:pPr>
        <w:pStyle w:val="Heading3"/>
        <w:spacing w:before="200" w:after="80"/>
        <w:rPr/>
      </w:pPr>
      <w:bookmarkStart w:id="157" w:name="__RefHeading___Toc4437_3190140819"/>
      <w:bookmarkStart w:id="158" w:name="fpga-synthesis-attributes"/>
      <w:bookmarkEnd w:id="157"/>
      <w:r>
        <w:rPr>
          <w:rStyle w:val="SectionNumber"/>
          <w:b/>
          <w:color w:val="404040"/>
          <w:sz w:val="24"/>
        </w:rPr>
        <w:t>5.5.4</w:t>
      </w:r>
      <w:r>
        <w:rPr>
          <w:b/>
          <w:color w:val="404040"/>
          <w:sz w:val="24"/>
        </w:rPr>
        <w:tab/>
        <w:t>5.4 FPGA Synthesis Attributes</w:t>
      </w:r>
    </w:p>
    <w:p>
      <w:pPr>
        <w:pStyle w:val="FirstParagraph"/>
        <w:rPr/>
      </w:pPr>
      <w:r>
        <w:rPr>
          <w:b/>
          <w:bCs/>
          <w:sz w:val="20"/>
        </w:rPr>
        <w:t>MANDATORY:</w:t>
      </w:r>
      <w:r>
        <w:rPr>
          <w:sz w:val="20"/>
        </w:rPr>
        <w:t xml:space="preserve"> Add FPGA synthesis hints for memory arrays</w:t>
      </w:r>
    </w:p>
    <w:p>
      <w:pPr>
        <w:pStyle w:val="SourceCode"/>
        <w:rPr/>
      </w:pPr>
      <w:r>
        <w:rPr>
          <w:rStyle w:val="OtherTok"/>
        </w:rPr>
        <w:t>`ifdef</w:t>
      </w:r>
      <w:r>
        <w:rPr>
          <w:rStyle w:val="NormalTok"/>
        </w:rPr>
        <w:t xml:space="preserve"> XILINX</w:t>
      </w:r>
      <w:r>
        <w:rPr/>
        <w:br/>
      </w:r>
      <w:r>
        <w:rPr>
          <w:rStyle w:val="NormalTok"/>
        </w:rPr>
        <w:t xml:space="preserve">    (* ram_style = </w:t>
      </w:r>
      <w:r>
        <w:rPr>
          <w:rStyle w:val="StringTok"/>
        </w:rPr>
        <w:t>"auto"</w:t>
      </w:r>
      <w:r>
        <w:rPr>
          <w:rStyle w:val="NormalTok"/>
        </w:rPr>
        <w:t xml:space="preserve"> *)</w:t>
      </w:r>
      <w:r>
        <w:rPr/>
        <w:br/>
      </w:r>
      <w:r>
        <w:rPr>
          <w:rStyle w:val="OtherTok"/>
        </w:rPr>
        <w:t>`elsif</w:t>
      </w:r>
      <w:r>
        <w:rPr>
          <w:rStyle w:val="NormalTok"/>
        </w:rPr>
        <w:t xml:space="preserve"> INTEL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/* synthesis ramstyle = "AUTO" */</w:t>
      </w:r>
      <w:r>
        <w:rPr/>
        <w:br/>
      </w:r>
      <w:r>
        <w:rPr>
          <w:rStyle w:val="OtherTok"/>
        </w:rPr>
        <w:t>`endif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mem [DEPTH];</w:t>
      </w:r>
      <w:bookmarkEnd w:id="158"/>
    </w:p>
    <w:p>
      <w:pPr>
        <w:pStyle w:val="Heading3"/>
        <w:spacing w:before="200" w:after="80"/>
        <w:rPr/>
      </w:pPr>
      <w:bookmarkStart w:id="159" w:name="__RefHeading___Toc4439_3190140819"/>
      <w:bookmarkStart w:id="160" w:name="documentation-requirements"/>
      <w:bookmarkEnd w:id="159"/>
      <w:r>
        <w:rPr>
          <w:rStyle w:val="SectionNumber"/>
          <w:b/>
          <w:color w:val="404040"/>
          <w:sz w:val="24"/>
        </w:rPr>
        <w:t>5.5.5</w:t>
      </w:r>
      <w:r>
        <w:rPr>
          <w:b/>
          <w:color w:val="404040"/>
          <w:sz w:val="24"/>
        </w:rPr>
        <w:tab/>
        <w:t>5.5 Documentation Requirements</w:t>
      </w:r>
    </w:p>
    <w:p>
      <w:pPr>
        <w:pStyle w:val="FirstParagraph"/>
        <w:rPr/>
      </w:pPr>
      <w:r>
        <w:rPr>
          <w:sz w:val="20"/>
        </w:rPr>
        <w:t xml:space="preserve">Each block must have: - RTL comments (inline) - Register map specification - Block-level specification in </w:t>
      </w:r>
      <w:r>
        <w:rPr>
          <w:rStyle w:val="VerbatimChar"/>
          <w:sz w:val="20"/>
        </w:rPr>
        <w:t>docs/{block}_spec/</w:t>
      </w:r>
      <w:r>
        <w:rPr>
          <w:sz w:val="20"/>
        </w:rPr>
        <w:t xml:space="preserve"> - Integration guide - Test plan and results</w:t>
      </w:r>
    </w:p>
    <w:p>
      <w:pPr>
        <w:pStyle w:val="Normal"/>
        <w:rPr/>
      </w:pPr>
      <w:bookmarkStart w:id="161" w:name="design-standards"/>
      <w:bookmarkStart w:id="162" w:name="documentation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1"/>
      <w:bookmarkEnd w:id="16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3" w:name="__RefHeading___Toc4441_3190140819"/>
      <w:bookmarkStart w:id="164" w:name="quality-metrics"/>
      <w:bookmarkEnd w:id="163"/>
      <w:r>
        <w:rPr>
          <w:rStyle w:val="SectionNumber"/>
          <w:b/>
          <w:color w:val="228B22"/>
          <w:sz w:val="28"/>
        </w:rPr>
        <w:t>5.6</w:t>
      </w:r>
      <w:r>
        <w:rPr>
          <w:b/>
          <w:color w:val="228B22"/>
          <w:sz w:val="28"/>
        </w:rPr>
        <w:tab/>
        <w:t>6. Quality Metrics</w:t>
      </w:r>
    </w:p>
    <w:p>
      <w:pPr>
        <w:pStyle w:val="Heading3"/>
        <w:spacing w:before="200" w:after="80"/>
        <w:rPr/>
      </w:pPr>
      <w:bookmarkStart w:id="165" w:name="__RefHeading___Toc4443_3190140819"/>
      <w:bookmarkStart w:id="166" w:name="production-readiness-criteria"/>
      <w:bookmarkEnd w:id="165"/>
      <w:r>
        <w:rPr>
          <w:rStyle w:val="SectionNumber"/>
          <w:b/>
          <w:color w:val="404040"/>
          <w:sz w:val="24"/>
        </w:rPr>
        <w:t>5.6.1</w:t>
      </w:r>
      <w:r>
        <w:rPr>
          <w:b/>
          <w:color w:val="404040"/>
          <w:sz w:val="24"/>
        </w:rPr>
        <w:tab/>
        <w:t>6.1 Production Readiness Criteria</w:t>
      </w:r>
    </w:p>
    <w:p>
      <w:pPr>
        <w:pStyle w:val="FirstParagraph"/>
        <w:rPr/>
      </w:pPr>
      <w:r>
        <w:rPr>
          <w:sz w:val="20"/>
        </w:rPr>
        <w:t>A block is considered “Production Ready” when:</w:t>
      </w:r>
    </w:p>
    <w:p>
      <w:pPr>
        <w:pStyle w:val="Compact"/>
        <w:numPr>
          <w:ilvl w:val="0"/>
          <w:numId w:val="34"/>
        </w:numPr>
        <w:rPr/>
      </w:pPr>
      <w:r>
        <w:rPr/>
        <w:t xml:space="preserve">✓ </w:t>
      </w:r>
      <w:r>
        <w:rPr/>
        <w:t>All basic tests pass 100%</w:t>
      </w:r>
    </w:p>
    <w:p>
      <w:pPr>
        <w:pStyle w:val="Compact"/>
        <w:numPr>
          <w:ilvl w:val="0"/>
          <w:numId w:val="35"/>
        </w:numPr>
        <w:rPr/>
      </w:pPr>
      <w:r>
        <w:rPr/>
        <w:t xml:space="preserve">✓ </w:t>
      </w:r>
      <w:r>
        <w:rPr/>
        <w:t>All medium tests pass 100%</w:t>
      </w:r>
    </w:p>
    <w:p>
      <w:pPr>
        <w:pStyle w:val="Compact"/>
        <w:numPr>
          <w:ilvl w:val="0"/>
          <w:numId w:val="36"/>
        </w:numPr>
        <w:rPr/>
      </w:pPr>
      <w:r>
        <w:rPr/>
        <w:t xml:space="preserve">✓ </w:t>
      </w:r>
      <w:r>
        <w:rPr/>
        <w:t>All full tests pass ≥95%</w:t>
      </w:r>
    </w:p>
    <w:p>
      <w:pPr>
        <w:pStyle w:val="Compact"/>
        <w:numPr>
          <w:ilvl w:val="0"/>
          <w:numId w:val="37"/>
        </w:numPr>
        <w:rPr/>
      </w:pPr>
      <w:r>
        <w:rPr/>
        <w:t xml:space="preserve">✓ </w:t>
      </w:r>
      <w:r>
        <w:rPr/>
        <w:t>Complete register map specification</w:t>
      </w:r>
    </w:p>
    <w:p>
      <w:pPr>
        <w:pStyle w:val="Compact"/>
        <w:numPr>
          <w:ilvl w:val="0"/>
          <w:numId w:val="38"/>
        </w:numPr>
        <w:rPr/>
      </w:pPr>
      <w:r>
        <w:rPr/>
        <w:t xml:space="preserve">✓ </w:t>
      </w:r>
      <w:r>
        <w:rPr/>
        <w:t>RTL lint clean (Verilator)</w:t>
      </w:r>
    </w:p>
    <w:p>
      <w:pPr>
        <w:pStyle w:val="Compact"/>
        <w:numPr>
          <w:ilvl w:val="0"/>
          <w:numId w:val="39"/>
        </w:numPr>
        <w:rPr/>
      </w:pPr>
      <w:r>
        <w:rPr/>
        <w:t xml:space="preserve">✓ </w:t>
      </w:r>
      <w:r>
        <w:rPr/>
        <w:t>Reset macros used throughout</w:t>
      </w:r>
    </w:p>
    <w:p>
      <w:pPr>
        <w:pStyle w:val="Compact"/>
        <w:numPr>
          <w:ilvl w:val="0"/>
          <w:numId w:val="40"/>
        </w:numPr>
        <w:rPr/>
      </w:pPr>
      <w:r>
        <w:rPr/>
        <w:t xml:space="preserve">✓ </w:t>
      </w:r>
      <w:r>
        <w:rPr/>
        <w:t>FPGA synthesis attributes applied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✓ </w:t>
      </w:r>
      <w:r>
        <w:rPr/>
        <w:t>Integration guide written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✓ </w:t>
      </w:r>
      <w:r>
        <w:rPr/>
        <w:t>Known issues documented</w:t>
      </w:r>
      <w:bookmarkEnd w:id="166"/>
    </w:p>
    <w:p>
      <w:pPr>
        <w:pStyle w:val="Heading3"/>
        <w:spacing w:before="200" w:after="80"/>
        <w:rPr/>
      </w:pPr>
      <w:bookmarkStart w:id="167" w:name="__RefHeading___Toc4445_3190140819"/>
      <w:bookmarkStart w:id="168" w:name="current-status"/>
      <w:bookmarkEnd w:id="167"/>
      <w:r>
        <w:rPr>
          <w:rStyle w:val="SectionNumber"/>
          <w:b/>
          <w:color w:val="404040"/>
          <w:sz w:val="24"/>
        </w:rPr>
        <w:t>5.6.2</w:t>
      </w:r>
      <w:r>
        <w:rPr>
          <w:b/>
          <w:color w:val="404040"/>
          <w:sz w:val="24"/>
        </w:rPr>
        <w:tab/>
        <w:t>6.2 Current Status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885"/>
        <w:gridCol w:w="1264"/>
        <w:gridCol w:w="1012"/>
        <w:gridCol w:w="2025"/>
        <w:gridCol w:w="1897"/>
        <w:gridCol w:w="2276"/>
      </w:tblGrid>
      <w:tr>
        <w:trPr>
          <w:tblHeader w:val="true"/>
        </w:trPr>
        <w:tc>
          <w:tcPr>
            <w:tcW w:w="88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12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Priority</w:t>
            </w:r>
          </w:p>
        </w:tc>
        <w:tc>
          <w:tcPr>
            <w:tcW w:w="10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20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Pass Rate</w:t>
            </w:r>
          </w:p>
        </w:tc>
        <w:tc>
          <w:tcPr>
            <w:tcW w:w="189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Documentation</w:t>
            </w:r>
          </w:p>
        </w:tc>
        <w:tc>
          <w:tcPr>
            <w:tcW w:w="22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Production Ready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HPET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5/6 at 100%, 1/6 at 92%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8259 PIC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8254 PIT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PM/ACPI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IOAPIC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SPI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I2C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Watchdog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Interconnect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</w:tbl>
    <w:p>
      <w:pPr>
        <w:pStyle w:val="Normal"/>
        <w:rPr/>
      </w:pPr>
      <w:bookmarkStart w:id="169" w:name="quality-metrics"/>
      <w:bookmarkStart w:id="170" w:name="current-statu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9"/>
      <w:bookmarkEnd w:id="17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1" w:name="__RefHeading___Toc4447_3190140819"/>
      <w:bookmarkStart w:id="172" w:name="development-roadmap"/>
      <w:bookmarkEnd w:id="171"/>
      <w:r>
        <w:rPr>
          <w:rStyle w:val="SectionNumber"/>
          <w:b/>
          <w:color w:val="228B22"/>
          <w:sz w:val="28"/>
        </w:rPr>
        <w:t>5.7</w:t>
      </w:r>
      <w:r>
        <w:rPr>
          <w:b/>
          <w:color w:val="228B22"/>
          <w:sz w:val="28"/>
        </w:rPr>
        <w:tab/>
        <w:t>7. Development Roadmap</w:t>
      </w:r>
    </w:p>
    <w:p>
      <w:pPr>
        <w:pStyle w:val="Heading3"/>
        <w:spacing w:before="200" w:after="80"/>
        <w:rPr/>
      </w:pPr>
      <w:bookmarkStart w:id="173" w:name="__RefHeading___Toc4449_3190140819"/>
      <w:bookmarkStart w:id="174" w:name="phase-1-foundation-complete"/>
      <w:bookmarkEnd w:id="173"/>
      <w:r>
        <w:rPr>
          <w:rStyle w:val="SectionNumber"/>
          <w:b/>
          <w:color w:val="404040"/>
          <w:sz w:val="24"/>
        </w:rPr>
        <w:t>5.7.1</w:t>
      </w:r>
      <w:r>
        <w:rPr>
          <w:b/>
          <w:color w:val="404040"/>
          <w:sz w:val="24"/>
        </w:rPr>
        <w:tab/>
        <w:t>7.1 Phase 1: Foundation (Complete ✓)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✓ </w:t>
      </w:r>
      <w:r>
        <w:rPr/>
        <w:t>HPET implementation</w:t>
      </w:r>
    </w:p>
    <w:p>
      <w:pPr>
        <w:pStyle w:val="Compact"/>
        <w:numPr>
          <w:ilvl w:val="0"/>
          <w:numId w:val="44"/>
        </w:numPr>
        <w:rPr/>
      </w:pPr>
      <w:r>
        <w:rPr/>
        <w:t xml:space="preserve">✓ </w:t>
      </w:r>
      <w:r>
        <w:rPr/>
        <w:t>Directory structure for multiple blocks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✓ </w:t>
      </w:r>
      <w:r>
        <w:rPr/>
        <w:t>Testbench architecture established</w:t>
      </w:r>
    </w:p>
    <w:p>
      <w:pPr>
        <w:pStyle w:val="Compact"/>
        <w:numPr>
          <w:ilvl w:val="0"/>
          <w:numId w:val="46"/>
        </w:numPr>
        <w:rPr/>
      </w:pPr>
      <w:r>
        <w:rPr/>
        <w:t xml:space="preserve">✓ </w:t>
      </w:r>
      <w:r>
        <w:rPr/>
        <w:t>Documentation templates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✓ </w:t>
      </w:r>
      <w:r>
        <w:rPr/>
        <w:t>Build and test infrastructure</w:t>
      </w:r>
      <w:bookmarkEnd w:id="174"/>
    </w:p>
    <w:p>
      <w:pPr>
        <w:pStyle w:val="Heading3"/>
        <w:spacing w:before="200" w:after="80"/>
        <w:rPr/>
      </w:pPr>
      <w:bookmarkStart w:id="175" w:name="__RefHeading___Toc4451_3190140819"/>
      <w:bookmarkStart w:id="176" w:name="phase-2-core-peripherals-next-6-9-months"/>
      <w:bookmarkEnd w:id="175"/>
      <w:r>
        <w:rPr>
          <w:rStyle w:val="SectionNumber"/>
          <w:b/>
          <w:color w:val="404040"/>
          <w:sz w:val="24"/>
        </w:rPr>
        <w:t>5.7.2</w:t>
      </w:r>
      <w:r>
        <w:rPr>
          <w:b/>
          <w:color w:val="404040"/>
          <w:sz w:val="24"/>
        </w:rPr>
        <w:tab/>
        <w:t>7.2 Phase 2: Core Peripherals (Next 6-9 Months)</w:t>
      </w:r>
    </w:p>
    <w:p>
      <w:pPr>
        <w:pStyle w:val="FirstParagraph"/>
        <w:rPr/>
      </w:pPr>
      <w:r>
        <w:rPr>
          <w:b/>
          <w:bCs/>
          <w:sz w:val="20"/>
        </w:rPr>
        <w:t>Q1 2026 (High Priority):</w:t>
      </w:r>
      <w:r>
        <w:rPr>
          <w:sz w:val="20"/>
        </w:rPr>
        <w:t xml:space="preserve"> - 8259 PIC (6-8 weeks) - Interrupt controller - 8254 PIT (4-5 weeks) - Interval timer - RTC (3-4 weeks) - Real-time clock</w:t>
      </w:r>
    </w:p>
    <w:p>
      <w:pPr>
        <w:pStyle w:val="BodyText"/>
        <w:rPr/>
      </w:pPr>
      <w:r>
        <w:rPr>
          <w:b/>
          <w:bCs/>
          <w:sz w:val="20"/>
        </w:rPr>
        <w:t>Q2 2026 (Medium Priority):</w:t>
      </w:r>
      <w:r>
        <w:rPr>
          <w:sz w:val="20"/>
        </w:rPr>
        <w:t xml:space="preserve"> - GPIO Controller (4-6 weeks) - SMBus Controller (6-8 weeks) - PM/ACPI Controller (8-10 weeks)</w:t>
      </w:r>
    </w:p>
    <w:p>
      <w:pPr>
        <w:pStyle w:val="BodyText"/>
        <w:rPr/>
      </w:pPr>
      <w:r>
        <w:rPr>
          <w:b/>
          <w:bCs/>
          <w:sz w:val="20"/>
        </w:rPr>
        <w:t>Q3 2026:</w:t>
      </w:r>
      <w:r>
        <w:rPr>
          <w:sz w:val="20"/>
        </w:rPr>
        <w:t xml:space="preserve"> - UART (4-5 weeks) - IOAPIC (6-8 weeks)</w:t>
      </w:r>
      <w:bookmarkEnd w:id="176"/>
    </w:p>
    <w:p>
      <w:pPr>
        <w:pStyle w:val="Heading3"/>
        <w:spacing w:before="200" w:after="80"/>
        <w:rPr/>
      </w:pPr>
      <w:bookmarkStart w:id="177" w:name="__RefHeading___Toc4453_3190140819"/>
      <w:bookmarkStart w:id="178" w:name="phase-3-advanced-peripherals-9-15-months"/>
      <w:bookmarkEnd w:id="177"/>
      <w:r>
        <w:rPr>
          <w:rStyle w:val="SectionNumber"/>
          <w:b/>
          <w:color w:val="404040"/>
          <w:sz w:val="24"/>
        </w:rPr>
        <w:t>5.7.3</w:t>
      </w:r>
      <w:r>
        <w:rPr>
          <w:b/>
          <w:color w:val="404040"/>
          <w:sz w:val="24"/>
        </w:rPr>
        <w:tab/>
        <w:t>7.3 Phase 3: Advanced Peripherals (9-15 Months)</w:t>
      </w:r>
    </w:p>
    <w:p>
      <w:pPr>
        <w:pStyle w:val="FirstParagraph"/>
        <w:rPr/>
      </w:pPr>
      <w:r>
        <w:rPr>
          <w:b/>
          <w:bCs/>
          <w:sz w:val="20"/>
        </w:rPr>
        <w:t>Q4 2026:</w:t>
      </w:r>
      <w:r>
        <w:rPr>
          <w:sz w:val="20"/>
        </w:rPr>
        <w:t xml:space="preserve"> - SPI Controller (5-6 weeks) - I2C Controller (5-7 weeks) - Watchdog Timer (2-3 weeks)</w:t>
      </w:r>
    </w:p>
    <w:p>
      <w:pPr>
        <w:pStyle w:val="BodyText"/>
        <w:rPr/>
      </w:pPr>
      <w:r>
        <w:rPr>
          <w:b/>
          <w:bCs/>
          <w:sz w:val="20"/>
        </w:rPr>
        <w:t>Q1 2027:</w:t>
      </w:r>
      <w:r>
        <w:rPr>
          <w:sz w:val="20"/>
        </w:rPr>
        <w:t xml:space="preserve"> - Interconnect ID/Version Registers (1-2 weeks) - ILB Wrapper integration starts</w:t>
      </w:r>
      <w:bookmarkEnd w:id="178"/>
    </w:p>
    <w:p>
      <w:pPr>
        <w:pStyle w:val="Heading3"/>
        <w:spacing w:before="200" w:after="80"/>
        <w:rPr/>
      </w:pPr>
      <w:bookmarkStart w:id="179" w:name="__RefHeading___Toc4455_3190140819"/>
      <w:bookmarkStart w:id="180" w:name="phase-4-system-integration-15-months"/>
      <w:bookmarkEnd w:id="179"/>
      <w:r>
        <w:rPr>
          <w:rStyle w:val="SectionNumber"/>
          <w:b/>
          <w:color w:val="404040"/>
          <w:sz w:val="24"/>
        </w:rPr>
        <w:t>5.7.4</w:t>
      </w:r>
      <w:r>
        <w:rPr>
          <w:b/>
          <w:color w:val="404040"/>
          <w:sz w:val="24"/>
        </w:rPr>
        <w:tab/>
        <w:t>7.4 Phase 4: System Integration (15+ Months)</w:t>
      </w:r>
    </w:p>
    <w:p>
      <w:pPr>
        <w:pStyle w:val="FirstParagraph"/>
        <w:rPr/>
      </w:pPr>
      <w:r>
        <w:rPr>
          <w:b/>
          <w:bCs/>
          <w:sz w:val="20"/>
        </w:rPr>
        <w:t>Q2-Q4 2027:</w:t>
      </w:r>
      <w:r>
        <w:rPr>
          <w:sz w:val="20"/>
        </w:rPr>
        <w:t xml:space="preserve"> - Complete ILB wrapper with all blocks - System-level integration examples - Performance characterization - FPGA reference designs - Application notes - Software driver examples</w:t>
      </w:r>
    </w:p>
    <w:p>
      <w:pPr>
        <w:pStyle w:val="Normal"/>
        <w:rPr/>
      </w:pPr>
      <w:bookmarkStart w:id="181" w:name="development-roadmap"/>
      <w:bookmarkStart w:id="182" w:name="phase-4-system-integration-15-month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1"/>
      <w:bookmarkEnd w:id="18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3" w:name="__RefHeading___Toc4457_3190140819"/>
      <w:bookmarkStart w:id="184" w:name="references"/>
      <w:bookmarkEnd w:id="183"/>
      <w:r>
        <w:rPr>
          <w:rStyle w:val="SectionNumber"/>
          <w:b/>
          <w:color w:val="228B22"/>
          <w:sz w:val="28"/>
        </w:rPr>
        <w:t>5.8</w:t>
      </w:r>
      <w:r>
        <w:rPr>
          <w:b/>
          <w:color w:val="228B22"/>
          <w:sz w:val="28"/>
        </w:rPr>
        <w:tab/>
        <w:t>8. References</w:t>
      </w:r>
    </w:p>
    <w:p>
      <w:pPr>
        <w:pStyle w:val="Heading3"/>
        <w:spacing w:before="200" w:after="80"/>
        <w:rPr/>
      </w:pPr>
      <w:bookmarkStart w:id="185" w:name="__RefHeading___Toc4459_3190140819"/>
      <w:bookmarkStart w:id="186" w:name="external-standards"/>
      <w:bookmarkEnd w:id="185"/>
      <w:r>
        <w:rPr>
          <w:rStyle w:val="SectionNumber"/>
          <w:b/>
          <w:color w:val="404040"/>
          <w:sz w:val="24"/>
        </w:rPr>
        <w:t>5.8.1</w:t>
      </w:r>
      <w:r>
        <w:rPr>
          <w:b/>
          <w:color w:val="404040"/>
          <w:sz w:val="24"/>
        </w:rPr>
        <w:tab/>
        <w:t>8.1 External Standards</w:t>
      </w:r>
    </w:p>
    <w:p>
      <w:pPr>
        <w:pStyle w:val="FirstParagraph"/>
        <w:rPr/>
      </w:pPr>
      <w:r>
        <w:rPr>
          <w:b/>
          <w:bCs/>
          <w:sz w:val="20"/>
        </w:rPr>
        <w:t>Peripheral Specifications:</w:t>
      </w:r>
      <w:r>
        <w:rPr>
          <w:sz w:val="20"/>
        </w:rPr>
        <w:t xml:space="preserve"> - ACPI HPET Specification 1.0a - SMBus Specification Version 2.0 - 16550 UART Datasheet - I2C Specification (NXP) - SPI Protocol Specification</w:t>
      </w:r>
    </w:p>
    <w:p>
      <w:pPr>
        <w:pStyle w:val="BodyText"/>
        <w:rPr/>
      </w:pPr>
      <w:r>
        <w:rPr>
          <w:b/>
          <w:bCs/>
          <w:sz w:val="20"/>
        </w:rPr>
        <w:t>Bus Protocols:</w:t>
      </w:r>
      <w:r>
        <w:rPr>
          <w:sz w:val="20"/>
        </w:rPr>
        <w:t xml:space="preserve"> - AMBA APB Protocol Specification (ARM) - AMBA 3 APB Protocol v1.0</w:t>
      </w:r>
      <w:bookmarkEnd w:id="186"/>
    </w:p>
    <w:p>
      <w:pPr>
        <w:pStyle w:val="Heading3"/>
        <w:spacing w:before="200" w:after="80"/>
        <w:rPr/>
      </w:pPr>
      <w:bookmarkStart w:id="187" w:name="__RefHeading___Toc4461_3190140819"/>
      <w:bookmarkStart w:id="188" w:name="internal-documentation"/>
      <w:bookmarkEnd w:id="187"/>
      <w:r>
        <w:rPr>
          <w:rStyle w:val="SectionNumber"/>
          <w:b/>
          <w:color w:val="404040"/>
          <w:sz w:val="24"/>
        </w:rPr>
        <w:t>5.8.2</w:t>
      </w:r>
      <w:r>
        <w:rPr>
          <w:b/>
          <w:color w:val="404040"/>
          <w:sz w:val="24"/>
        </w:rPr>
        <w:tab/>
        <w:t>8.2 Internal Documentation</w:t>
      </w:r>
    </w:p>
    <w:p>
      <w:pPr>
        <w:pStyle w:val="Compact"/>
        <w:numPr>
          <w:ilvl w:val="0"/>
          <w:numId w:val="48"/>
        </w:numPr>
        <w:rPr/>
      </w:pPr>
      <w:r>
        <w:rPr>
          <w:rStyle w:val="VerbatimChar"/>
        </w:rPr>
        <w:t>/CLAUDE.md</w:t>
      </w:r>
      <w:r>
        <w:rPr/>
        <w:t xml:space="preserve"> - Repository AI guide</w:t>
      </w:r>
    </w:p>
    <w:p>
      <w:pPr>
        <w:pStyle w:val="Compact"/>
        <w:numPr>
          <w:ilvl w:val="0"/>
          <w:numId w:val="49"/>
        </w:numPr>
        <w:rPr/>
      </w:pPr>
      <w:r>
        <w:rPr>
          <w:rStyle w:val="VerbatimChar"/>
        </w:rPr>
        <w:t>/PRD.md</w:t>
      </w:r>
      <w:r>
        <w:rPr/>
        <w:t xml:space="preserve"> - Master repository requirements</w:t>
      </w:r>
    </w:p>
    <w:p>
      <w:pPr>
        <w:pStyle w:val="Compact"/>
        <w:numPr>
          <w:ilvl w:val="0"/>
          <w:numId w:val="50"/>
        </w:numPr>
        <w:rPr/>
      </w:pPr>
      <w:r>
        <w:rPr>
          <w:rStyle w:val="VerbatimChar"/>
        </w:rPr>
        <w:t>projects/components/retro_legacy_blocks/CLAUDE.md</w:t>
      </w:r>
      <w:r>
        <w:rPr/>
        <w:t xml:space="preserve"> - Component AI guide</w:t>
      </w:r>
    </w:p>
    <w:p>
      <w:pPr>
        <w:pStyle w:val="Compact"/>
        <w:numPr>
          <w:ilvl w:val="0"/>
          <w:numId w:val="51"/>
        </w:numPr>
        <w:rPr/>
      </w:pPr>
      <w:r>
        <w:rPr>
          <w:rStyle w:val="VerbatimChar"/>
        </w:rPr>
        <w:t>projects/components/retro_legacy_blocks/README.md</w:t>
      </w:r>
      <w:r>
        <w:rPr/>
        <w:t xml:space="preserve"> - Component overview</w:t>
      </w:r>
    </w:p>
    <w:p>
      <w:pPr>
        <w:pStyle w:val="Compact"/>
        <w:numPr>
          <w:ilvl w:val="0"/>
          <w:numId w:val="52"/>
        </w:numPr>
        <w:rPr/>
      </w:pPr>
      <w:r>
        <w:rPr>
          <w:rStyle w:val="VerbatimChar"/>
        </w:rPr>
        <w:t>projects/components/retro_legacy_blocks/TASKS.md</w:t>
      </w:r>
      <w:r>
        <w:rPr/>
        <w:t xml:space="preserve"> - Task tracking</w:t>
      </w:r>
      <w:bookmarkEnd w:id="188"/>
    </w:p>
    <w:p>
      <w:pPr>
        <w:pStyle w:val="Heading3"/>
        <w:spacing w:before="200" w:after="80"/>
        <w:rPr/>
      </w:pPr>
      <w:bookmarkStart w:id="189" w:name="__RefHeading___Toc4463_3190140819"/>
      <w:bookmarkStart w:id="190" w:name="block-specific-documentation"/>
      <w:bookmarkEnd w:id="189"/>
      <w:r>
        <w:rPr>
          <w:rStyle w:val="SectionNumber"/>
          <w:b/>
          <w:color w:val="404040"/>
          <w:sz w:val="24"/>
        </w:rPr>
        <w:t>5.8.3</w:t>
      </w:r>
      <w:r>
        <w:rPr>
          <w:b/>
          <w:color w:val="404040"/>
          <w:sz w:val="24"/>
        </w:rPr>
        <w:tab/>
        <w:t>8.3 Block-Specific Documentation</w:t>
      </w:r>
    </w:p>
    <w:p>
      <w:pPr>
        <w:pStyle w:val="FirstParagraph"/>
        <w:rPr/>
      </w:pPr>
      <w:r>
        <w:rPr>
          <w:b/>
          <w:bCs/>
          <w:sz w:val="20"/>
        </w:rPr>
        <w:t>HPET: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docs/hpet_spec/hpet_index.md</w:t>
      </w:r>
      <w:r>
        <w:rPr>
          <w:sz w:val="20"/>
        </w:rPr>
        <w:t xml:space="preserve"> - HPET specification - </w:t>
      </w:r>
      <w:r>
        <w:rPr>
          <w:rStyle w:val="VerbatimChar"/>
          <w:sz w:val="20"/>
        </w:rPr>
        <w:t>docs/IMPLEMENTATION_STATUS.md</w:t>
      </w:r>
      <w:r>
        <w:rPr>
          <w:sz w:val="20"/>
        </w:rPr>
        <w:t xml:space="preserve"> - HPET test results - </w:t>
      </w:r>
      <w:r>
        <w:rPr>
          <w:rStyle w:val="VerbatimChar"/>
          <w:sz w:val="20"/>
        </w:rPr>
        <w:t>known_issues/</w:t>
      </w:r>
      <w:r>
        <w:rPr>
          <w:sz w:val="20"/>
        </w:rPr>
        <w:t xml:space="preserve"> - HPET issue tracking</w:t>
      </w:r>
    </w:p>
    <w:p>
      <w:pPr>
        <w:pStyle w:val="Normal"/>
        <w:rPr/>
      </w:pPr>
      <w:bookmarkStart w:id="191" w:name="references"/>
      <w:bookmarkStart w:id="192" w:name="block-specific-document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1"/>
      <w:bookmarkEnd w:id="1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3" w:name="__RefHeading___Toc4465_3190140819"/>
      <w:bookmarkStart w:id="194" w:name="success-criteria"/>
      <w:bookmarkEnd w:id="193"/>
      <w:r>
        <w:rPr>
          <w:rStyle w:val="SectionNumber"/>
          <w:b/>
          <w:color w:val="228B22"/>
          <w:sz w:val="28"/>
        </w:rPr>
        <w:t>5.9</w:t>
      </w:r>
      <w:r>
        <w:rPr>
          <w:b/>
          <w:color w:val="228B22"/>
          <w:sz w:val="28"/>
        </w:rPr>
        <w:tab/>
        <w:t>9. Success Criteria</w:t>
      </w:r>
    </w:p>
    <w:p>
      <w:pPr>
        <w:pStyle w:val="Heading3"/>
        <w:spacing w:before="200" w:after="80"/>
        <w:rPr/>
      </w:pPr>
      <w:bookmarkStart w:id="195" w:name="__RefHeading___Toc4467_3190140819"/>
      <w:bookmarkStart w:id="196" w:name="individual-block-success"/>
      <w:bookmarkEnd w:id="195"/>
      <w:r>
        <w:rPr>
          <w:rStyle w:val="SectionNumber"/>
          <w:b/>
          <w:color w:val="404040"/>
          <w:sz w:val="24"/>
        </w:rPr>
        <w:t>5.9.1</w:t>
      </w:r>
      <w:r>
        <w:rPr>
          <w:b/>
          <w:color w:val="404040"/>
          <w:sz w:val="24"/>
        </w:rPr>
        <w:tab/>
        <w:t>9.1 Individual Block Success</w:t>
      </w:r>
    </w:p>
    <w:p>
      <w:pPr>
        <w:pStyle w:val="FirstParagraph"/>
        <w:rPr/>
      </w:pPr>
      <w:bookmarkStart w:id="197" w:name="individual-block-success"/>
      <w:r>
        <w:rPr>
          <w:sz w:val="20"/>
        </w:rPr>
        <w:t>Each block must: - Pass all basic/medium tests at 100% - Pass full tests at ≥95% - Have complete register map specification - Include integration guide with examples - Be lint-clean (Verilator) - Use reset macros throughout - Include FPGA synthesis attributes</w:t>
      </w:r>
      <w:bookmarkEnd w:id="197"/>
    </w:p>
    <w:p>
      <w:pPr>
        <w:pStyle w:val="Heading3"/>
        <w:spacing w:before="200" w:after="80"/>
        <w:rPr/>
      </w:pPr>
      <w:bookmarkStart w:id="198" w:name="__RefHeading___Toc4469_3190140819"/>
      <w:bookmarkStart w:id="199" w:name="collection-success"/>
      <w:bookmarkEnd w:id="198"/>
      <w:r>
        <w:rPr>
          <w:rStyle w:val="SectionNumber"/>
          <w:b/>
          <w:color w:val="404040"/>
          <w:sz w:val="24"/>
        </w:rPr>
        <w:t>5.9.2</w:t>
      </w:r>
      <w:r>
        <w:rPr>
          <w:b/>
          <w:color w:val="404040"/>
          <w:sz w:val="24"/>
        </w:rPr>
        <w:tab/>
        <w:t>9.2 Collection Success</w:t>
      </w:r>
    </w:p>
    <w:p>
      <w:pPr>
        <w:pStyle w:val="FirstParagraph"/>
        <w:rPr/>
      </w:pPr>
      <w:bookmarkStart w:id="200" w:name="collection-success"/>
      <w:r>
        <w:rPr>
          <w:sz w:val="20"/>
        </w:rPr>
        <w:t>The retro_legacy_blocks component is successful when: - At least 6 blocks production-ready (HPET + 5 high/medium priority blocks) - All blocks follow consistent architecture (reset macros, PeakRDL, APB interface) - RLB wrapper integrates all blocks seamlessly with clean 4KB addressing - System-level integration example provided - Complete documentation for all blocks - FPGA reference design available - Address map covers all essential retro-compatible peripherals</w:t>
      </w:r>
      <w:bookmarkEnd w:id="200"/>
    </w:p>
    <w:p>
      <w:pPr>
        <w:pStyle w:val="Heading3"/>
        <w:spacing w:before="200" w:after="80"/>
        <w:rPr/>
      </w:pPr>
      <w:bookmarkStart w:id="201" w:name="__RefHeading___Toc4471_3190140819"/>
      <w:bookmarkStart w:id="202" w:name="long-term-vision"/>
      <w:bookmarkEnd w:id="201"/>
      <w:r>
        <w:rPr>
          <w:rStyle w:val="SectionNumber"/>
          <w:b/>
          <w:color w:val="404040"/>
          <w:sz w:val="24"/>
        </w:rPr>
        <w:t>5.9.3</w:t>
      </w:r>
      <w:r>
        <w:rPr>
          <w:b/>
          <w:color w:val="404040"/>
          <w:sz w:val="24"/>
        </w:rPr>
        <w:tab/>
        <w:t>9.3 Long-Term Vision</w:t>
      </w:r>
    </w:p>
    <w:p>
      <w:pPr>
        <w:pStyle w:val="FirstParagraph"/>
        <w:rPr/>
      </w:pPr>
      <w:r>
        <w:rPr>
          <w:sz w:val="20"/>
        </w:rPr>
        <w:t>Ultimate goal: - Production-quality retro-compatible peripheral subsystem - Complete peripheral coverage for legacy platform requirements - Used in production FPGA designs - Educational resource for classic peripheral design - Foundation for mixed-vintage SoC designs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Review:</w:t>
      </w:r>
      <w:r>
        <w:rPr>
          <w:sz w:val="20"/>
        </w:rPr>
        <w:t xml:space="preserve"> 2025-10-29 </w:t>
      </w:r>
      <w:r>
        <w:rPr>
          <w:b/>
          <w:bCs/>
          <w:sz w:val="20"/>
        </w:rPr>
        <w:t>Next Review:</w:t>
      </w:r>
      <w:r>
        <w:rPr>
          <w:sz w:val="20"/>
        </w:rPr>
        <w:t xml:space="preserve"> After each new block completion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95"/>
      <w:bookmarkEnd w:id="194"/>
      <w:bookmarkEnd w:id="202"/>
    </w:p>
    <w:sectPr>
      <w:footerReference w:type="even" r:id="rId22"/>
      <w:footerReference w:type="default" r:id="rId23"/>
      <w:footerReference w:type="first" r:id="rId2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RTC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32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32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RTC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32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32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svg"/><Relationship Id="rId7" Type="http://schemas.openxmlformats.org/officeDocument/2006/relationships/image" Target="media/image6.png"/><Relationship Id="rId8" Type="http://schemas.openxmlformats.org/officeDocument/2006/relationships/image" Target="media/image7.svg"/><Relationship Id="rId9" Type="http://schemas.openxmlformats.org/officeDocument/2006/relationships/image" Target="media/image8.png"/><Relationship Id="rId10" Type="http://schemas.openxmlformats.org/officeDocument/2006/relationships/image" Target="media/image9.svg"/><Relationship Id="rId11" Type="http://schemas.openxmlformats.org/officeDocument/2006/relationships/image" Target="media/image10.png"/><Relationship Id="rId12" Type="http://schemas.openxmlformats.org/officeDocument/2006/relationships/image" Target="media/image11.svg"/><Relationship Id="rId13" Type="http://schemas.openxmlformats.org/officeDocument/2006/relationships/image" Target="media/image12.png"/><Relationship Id="rId14" Type="http://schemas.openxmlformats.org/officeDocument/2006/relationships/image" Target="media/image13.svg"/><Relationship Id="rId15" Type="http://schemas.openxmlformats.org/officeDocument/2006/relationships/hyperlink" Target="02_architecture.md" TargetMode="External"/><Relationship Id="rId16" Type="http://schemas.openxmlformats.org/officeDocument/2006/relationships/image" Target="media/image2.png"/><Relationship Id="rId17" Type="http://schemas.openxmlformats.org/officeDocument/2006/relationships/image" Target="media/image3.sv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hyperlink" Target="03_clocks_and_reset.md" TargetMode="External"/><Relationship Id="rId21" Type="http://schemas.openxmlformats.org/officeDocument/2006/relationships/hyperlink" Target="../rtc_index.md" TargetMode="External"/><Relationship Id="rId22" Type="http://schemas.openxmlformats.org/officeDocument/2006/relationships/footer" Target="footer1.xml"/><Relationship Id="rId23" Type="http://schemas.openxmlformats.org/officeDocument/2006/relationships/footer" Target="footer2.xml"/><Relationship Id="rId24" Type="http://schemas.openxmlformats.org/officeDocument/2006/relationships/footer" Target="footer3.xm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2026-01-05T04:55:06Z</dcterms:created>
  <dc:creator/>
  <dc:description/>
  <dc:language>en-US</dc:language>
  <cp:lastModifiedBy/>
  <dcterms:modified xsi:type="dcterms:W3CDTF">2026-01-04T20:55:10Z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