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AMBA Monitor System Whitepaper 0.90</w:t>
      </w:r>
    </w:p>
    <w:p>
      <w:pPr>
        <w:pStyle w:val="Normal"/>
        <w:keepNext w:val="true"/>
        <w:spacing w:before="400" w:after="200"/>
        <w:jc w:val="center"/>
        <w:rPr/>
      </w:pPr>
      <w:r>
        <w:rPr>
          <w:rFonts w:ascii="Calibri" w:hAnsi="Calibri"/>
          <w:b/>
          <w:color w:val="000000"/>
          <w:sz w:val="20"/>
        </w:rPr>
        <w:t>May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733_3147716858">
            <w:r>
              <w:rPr>
                <w:webHidden/>
                <w:rStyle w:val="IndexLink"/>
              </w:rPr>
              <w:t>1 Monitor System Whitepaper</w:t>
              <w:tab/>
              <w:t>5</w:t>
            </w:r>
          </w:hyperlink>
        </w:p>
        <w:p>
          <w:pPr>
            <w:pStyle w:val="TOC1"/>
            <w:tabs>
              <w:tab w:val="clear" w:pos="9360"/>
              <w:tab w:val="right" w:pos="9359" w:leader="dot"/>
            </w:tabs>
            <w:rPr/>
          </w:pPr>
          <w:hyperlink w:anchor="__RefHeading___Toc1735_3147716858">
            <w:r>
              <w:rPr>
                <w:webHidden/>
                <w:rStyle w:val="IndexLink"/>
              </w:rPr>
              <w:t>2 Monitor System Whitepaper</w:t>
              <w:tab/>
              <w:t>5</w:t>
            </w:r>
          </w:hyperlink>
        </w:p>
        <w:p>
          <w:pPr>
            <w:pStyle w:val="TOC2"/>
            <w:tabs>
              <w:tab w:val="clear" w:pos="9077"/>
              <w:tab w:val="right" w:pos="9359" w:leader="dot"/>
            </w:tabs>
            <w:rPr/>
          </w:pPr>
          <w:hyperlink w:anchor="__RefHeading___Toc1737_3147716858">
            <w:r>
              <w:rPr>
                <w:webHidden/>
                <w:rStyle w:val="IndexLink"/>
              </w:rPr>
              <w:t>2.1 Where the pieces live in the repo</w:t>
              <w:tab/>
              <w:t>5</w:t>
            </w:r>
          </w:hyperlink>
        </w:p>
        <w:p>
          <w:pPr>
            <w:pStyle w:val="TOC3"/>
            <w:tabs>
              <w:tab w:val="clear" w:pos="8793"/>
              <w:tab w:val="right" w:pos="9359" w:leader="dot"/>
            </w:tabs>
            <w:rPr/>
          </w:pPr>
          <w:hyperlink w:anchor="__RefHeading___Toc1739_3147716858">
            <w:r>
              <w:rPr>
                <w:webHidden/>
                <w:rStyle w:val="IndexLink"/>
              </w:rPr>
              <w:t>2.1.1 Where the system shows up in real designs</w:t>
              <w:tab/>
              <w:t>6</w:t>
            </w:r>
          </w:hyperlink>
        </w:p>
        <w:p>
          <w:pPr>
            <w:pStyle w:val="TOC2"/>
            <w:tabs>
              <w:tab w:val="clear" w:pos="9077"/>
              <w:tab w:val="right" w:pos="9359" w:leader="dot"/>
            </w:tabs>
            <w:rPr/>
          </w:pPr>
          <w:hyperlink w:anchor="__RefHeading___Toc1741_3147716858">
            <w:r>
              <w:rPr>
                <w:webHidden/>
                <w:rStyle w:val="IndexLink"/>
              </w:rPr>
              <w:t>2.2 Identity space allocation</w:t>
              <w:tab/>
              <w:t>7</w:t>
            </w:r>
          </w:hyperlink>
        </w:p>
        <w:p>
          <w:pPr>
            <w:pStyle w:val="TOC3"/>
            <w:tabs>
              <w:tab w:val="clear" w:pos="8793"/>
              <w:tab w:val="right" w:pos="9359" w:leader="dot"/>
            </w:tabs>
            <w:rPr/>
          </w:pPr>
          <w:hyperlink w:anchor="__RefHeading___Toc1743_3147716858">
            <w:r>
              <w:rPr>
                <w:webHidden/>
                <w:rStyle w:val="IndexLink"/>
              </w:rPr>
              <w:t>2.2.1 UNIT_ID</w:t>
              <w:tab/>
              <w:t>8</w:t>
            </w:r>
          </w:hyperlink>
        </w:p>
        <w:p>
          <w:pPr>
            <w:pStyle w:val="TOC3"/>
            <w:tabs>
              <w:tab w:val="clear" w:pos="8793"/>
              <w:tab w:val="right" w:pos="9359" w:leader="dot"/>
            </w:tabs>
            <w:rPr/>
          </w:pPr>
          <w:hyperlink w:anchor="__RefHeading___Toc1745_3147716858">
            <w:r>
              <w:rPr>
                <w:webHidden/>
                <w:rStyle w:val="IndexLink"/>
              </w:rPr>
              <w:t>2.2.2 AGENT_ID</w:t>
              <w:tab/>
              <w:t>8</w:t>
            </w:r>
          </w:hyperlink>
        </w:p>
        <w:p>
          <w:pPr>
            <w:pStyle w:val="TOC3"/>
            <w:tabs>
              <w:tab w:val="clear" w:pos="8793"/>
              <w:tab w:val="right" w:pos="9359" w:leader="dot"/>
            </w:tabs>
            <w:rPr/>
          </w:pPr>
          <w:hyperlink w:anchor="__RefHeading___Toc1747_3147716858">
            <w:r>
              <w:rPr>
                <w:webHidden/>
                <w:rStyle w:val="IndexLink"/>
              </w:rPr>
              <w:t>2.2.3 CHANNEL_ID</w:t>
              <w:tab/>
              <w:t>9</w:t>
            </w:r>
          </w:hyperlink>
        </w:p>
        <w:p>
          <w:pPr>
            <w:pStyle w:val="TOC2"/>
            <w:tabs>
              <w:tab w:val="clear" w:pos="9077"/>
              <w:tab w:val="right" w:pos="9359" w:leader="dot"/>
            </w:tabs>
            <w:rPr/>
          </w:pPr>
          <w:hyperlink w:anchor="__RefHeading___Toc1749_3147716858">
            <w:r>
              <w:rPr>
                <w:webHidden/>
                <w:rStyle w:val="IndexLink"/>
              </w:rPr>
              <w:t>2.3 Where to insert monitoring</w:t>
              <w:tab/>
              <w:t>9</w:t>
            </w:r>
          </w:hyperlink>
        </w:p>
        <w:p>
          <w:pPr>
            <w:pStyle w:val="TOC3"/>
            <w:tabs>
              <w:tab w:val="clear" w:pos="8793"/>
              <w:tab w:val="right" w:pos="9359" w:leader="dot"/>
            </w:tabs>
            <w:rPr/>
          </w:pPr>
          <w:hyperlink w:anchor="__RefHeading___Toc1751_3147716858">
            <w:r>
              <w:rPr>
                <w:webHidden/>
                <w:rStyle w:val="IndexLink"/>
              </w:rPr>
              <w:t>2.3.1 Worked example: stream_char on Nexys A7</w:t>
              <w:tab/>
              <w:t>10</w:t>
            </w:r>
          </w:hyperlink>
        </w:p>
        <w:p>
          <w:pPr>
            <w:pStyle w:val="TOC2"/>
            <w:tabs>
              <w:tab w:val="clear" w:pos="9077"/>
              <w:tab w:val="right" w:pos="9359" w:leader="dot"/>
            </w:tabs>
            <w:rPr/>
          </w:pPr>
          <w:hyperlink w:anchor="__RefHeading___Toc1753_3147716858">
            <w:r>
              <w:rPr>
                <w:webHidden/>
                <w:rStyle w:val="IndexLink"/>
              </w:rPr>
              <w:t>2.4 Timestamp policy</w:t>
              <w:tab/>
              <w:t>13</w:t>
            </w:r>
          </w:hyperlink>
        </w:p>
        <w:p>
          <w:pPr>
            <w:pStyle w:val="TOC2"/>
            <w:tabs>
              <w:tab w:val="clear" w:pos="9077"/>
              <w:tab w:val="right" w:pos="9359" w:leader="dot"/>
            </w:tabs>
            <w:rPr/>
          </w:pPr>
          <w:hyperlink w:anchor="__RefHeading___Toc1755_3147716858">
            <w:r>
              <w:rPr>
                <w:webHidden/>
                <w:rStyle w:val="IndexLink"/>
              </w:rPr>
              <w:t>2.5 Drain path selection</w:t>
              <w:tab/>
              <w:t>14</w:t>
            </w:r>
          </w:hyperlink>
        </w:p>
        <w:p>
          <w:pPr>
            <w:pStyle w:val="TOC2"/>
            <w:tabs>
              <w:tab w:val="clear" w:pos="9077"/>
              <w:tab w:val="right" w:pos="9359" w:leader="dot"/>
            </w:tabs>
            <w:rPr/>
          </w:pPr>
          <w:hyperlink w:anchor="__RefHeading___Toc1757_3147716858">
            <w:r>
              <w:rPr>
                <w:webHidden/>
                <w:rStyle w:val="IndexLink"/>
              </w:rPr>
              <w:t>2.6 Packet-type filtering</w:t>
              <w:tab/>
              <w:t>14</w:t>
            </w:r>
          </w:hyperlink>
        </w:p>
        <w:p>
          <w:pPr>
            <w:pStyle w:val="TOC2"/>
            <w:tabs>
              <w:tab w:val="clear" w:pos="9077"/>
              <w:tab w:val="right" w:pos="9359" w:leader="dot"/>
            </w:tabs>
            <w:rPr/>
          </w:pPr>
          <w:hyperlink w:anchor="__RefHeading___Toc1759_3147716858">
            <w:r>
              <w:rPr>
                <w:webHidden/>
                <w:rStyle w:val="IndexLink"/>
              </w:rPr>
              <w:t>2.7 Aggregation topology</w:t>
              <w:tab/>
              <w:t>15</w:t>
            </w:r>
          </w:hyperlink>
        </w:p>
        <w:p>
          <w:pPr>
            <w:pStyle w:val="TOC2"/>
            <w:tabs>
              <w:tab w:val="clear" w:pos="9077"/>
              <w:tab w:val="right" w:pos="9359" w:leader="dot"/>
            </w:tabs>
            <w:rPr/>
          </w:pPr>
          <w:hyperlink w:anchor="__RefHeading___Toc1761_3147716858">
            <w:r>
              <w:rPr>
                <w:webHidden/>
                <w:rStyle w:val="IndexLink"/>
              </w:rPr>
              <w:t>2.8 Test, characterization, and verification</w:t>
              <w:tab/>
              <w:t>15</w:t>
            </w:r>
          </w:hyperlink>
        </w:p>
        <w:p>
          <w:pPr>
            <w:pStyle w:val="TOC3"/>
            <w:tabs>
              <w:tab w:val="clear" w:pos="8793"/>
              <w:tab w:val="right" w:pos="9359" w:leader="dot"/>
            </w:tabs>
            <w:rPr/>
          </w:pPr>
          <w:hyperlink w:anchor="__RefHeading___Toc1763_3147716858">
            <w:r>
              <w:rPr>
                <w:webHidden/>
                <w:rStyle w:val="IndexLink"/>
              </w:rPr>
              <w:t>2.8.1 Unit-level cocotb tests</w:t>
              <w:tab/>
              <w:t>15</w:t>
            </w:r>
          </w:hyperlink>
        </w:p>
        <w:p>
          <w:pPr>
            <w:pStyle w:val="TOC3"/>
            <w:tabs>
              <w:tab w:val="clear" w:pos="8793"/>
              <w:tab w:val="right" w:pos="9359" w:leader="dot"/>
            </w:tabs>
            <w:rPr/>
          </w:pPr>
          <w:hyperlink w:anchor="__RefHeading___Toc1765_3147716858">
            <w:r>
              <w:rPr>
                <w:webHidden/>
                <w:rStyle w:val="IndexLink"/>
              </w:rPr>
              <w:t>2.8.2 Error-injection integration tests</w:t>
              <w:tab/>
              <w:t>16</w:t>
            </w:r>
          </w:hyperlink>
        </w:p>
        <w:p>
          <w:pPr>
            <w:pStyle w:val="TOC3"/>
            <w:tabs>
              <w:tab w:val="clear" w:pos="8793"/>
              <w:tab w:val="right" w:pos="9359" w:leader="dot"/>
            </w:tabs>
            <w:rPr/>
          </w:pPr>
          <w:hyperlink w:anchor="__RefHeading___Toc1767_3147716858">
            <w:r>
              <w:rPr>
                <w:webHidden/>
                <w:rStyle w:val="IndexLink"/>
              </w:rPr>
              <w:t>2.8.3 Formal proofs</w:t>
              <w:tab/>
              <w:t>16</w:t>
            </w:r>
          </w:hyperlink>
        </w:p>
        <w:p>
          <w:pPr>
            <w:pStyle w:val="TOC3"/>
            <w:tabs>
              <w:tab w:val="clear" w:pos="8793"/>
              <w:tab w:val="right" w:pos="9359" w:leader="dot"/>
            </w:tabs>
            <w:rPr/>
          </w:pPr>
          <w:hyperlink w:anchor="__RefHeading___Toc1769_3147716858">
            <w:r>
              <w:rPr>
                <w:webHidden/>
                <w:rStyle w:val="IndexLink"/>
              </w:rPr>
              <w:t>2.8.4 Hardware characterization</w:t>
              <w:tab/>
              <w:t>16</w:t>
            </w:r>
          </w:hyperlink>
        </w:p>
        <w:p>
          <w:pPr>
            <w:pStyle w:val="TOC3"/>
            <w:tabs>
              <w:tab w:val="clear" w:pos="8793"/>
              <w:tab w:val="right" w:pos="9359" w:leader="dot"/>
            </w:tabs>
            <w:rPr/>
          </w:pPr>
          <w:hyperlink w:anchor="__RefHeading___Toc1771_3147716858">
            <w:r>
              <w:rPr>
                <w:webHidden/>
                <w:rStyle w:val="IndexLink"/>
              </w:rPr>
              <w:t>2.8.5 Validation checklist for new deployments</w:t>
              <w:tab/>
              <w:t>17</w:t>
            </w:r>
          </w:hyperlink>
        </w:p>
        <w:p>
          <w:pPr>
            <w:pStyle w:val="TOC2"/>
            <w:tabs>
              <w:tab w:val="clear" w:pos="9077"/>
              <w:tab w:val="right" w:pos="9359" w:leader="dot"/>
            </w:tabs>
            <w:rPr/>
          </w:pPr>
          <w:hyperlink w:anchor="__RefHeading___Toc1773_3147716858">
            <w:r>
              <w:rPr>
                <w:webHidden/>
                <w:rStyle w:val="IndexLink"/>
              </w:rPr>
              <w:t>2.9 TODO (writing-up checklist)</w:t>
              <w:tab/>
              <w:t>17</w:t>
            </w:r>
          </w:hyperlink>
          <w:r>
            <w:rPr>
              <w:rStyle w:val="IndexLink"/>
            </w:rPr>
            <w:fldChar w:fldCharType="end"/>
          </w:r>
        </w:p>
      </w:sdtContent>
    </w:sdt>
    <w:p>
      <w:pPr>
        <w:pStyle w:val="Normal"/>
        <w:rPr/>
      </w:pPr>
      <w:r>
        <w:rPr/>
      </w:r>
      <w:bookmarkStart w:id="0" w:name="monitor-system-whitepaper"/>
      <w:bookmarkStart w:id="1" w:name="monitor-system-whitepaper"/>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733_3147716858"/>
      <w:bookmarkEnd w:id="2"/>
      <w:r>
        <w:rPr>
          <w:rStyle w:val="SectionNumber"/>
          <w:b/>
          <w:color w:val="FFFFFF"/>
          <w:sz w:val="32"/>
        </w:rPr>
        <w:t>1</w:t>
      </w:r>
      <w:r>
        <w:rPr>
          <w:b/>
          <w:color w:val="FFFFFF"/>
          <w:sz w:val="32"/>
        </w:rPr>
        <w:tab/>
        <w:t>Monitor System Whitepaper</w:t>
      </w:r>
    </w:p>
    <w:p>
      <w:pPr>
        <w:pStyle w:val="FirstParagraph"/>
        <w:rPr/>
      </w:pPr>
      <w:r>
        <w:rPr>
          <w:b/>
          <w:bCs/>
          <w:sz w:val="20"/>
        </w:rPr>
        <w:t>Generated:</w:t>
      </w:r>
      <w:r>
        <w:rPr>
          <w:sz w:val="20"/>
        </w:rPr>
        <w:t xml:space="preserve"> 2026-05-31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monitor-system-whitepape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735_3147716858"/>
      <w:bookmarkStart w:id="5" w:name="monitor-system-whitepaper-1"/>
      <w:bookmarkEnd w:id="4"/>
      <w:r>
        <w:rPr>
          <w:rStyle w:val="SectionNumber"/>
          <w:b/>
          <w:color w:val="FFFFFF"/>
          <w:sz w:val="32"/>
        </w:rPr>
        <w:t>2</w:t>
      </w:r>
      <w:r>
        <w:rPr>
          <w:b/>
          <w:color w:val="FFFFFF"/>
          <w:sz w:val="32"/>
        </w:rPr>
        <w:tab/>
        <w:t>Monitor System Whitepaper</w:t>
      </w:r>
    </w:p>
    <w:p>
      <w:pPr>
        <w:pStyle w:val="FirstParagraph"/>
        <w:rPr/>
      </w:pPr>
      <w:r>
        <w:rPr>
          <w:b/>
          <w:bCs/>
          <w:sz w:val="20"/>
        </w:rPr>
        <w:t>Audience:</w:t>
      </w:r>
      <w:r>
        <w:rPr>
          <w:sz w:val="20"/>
        </w:rPr>
        <w:t xml:space="preserve"> SoC integrators who want to deploy the AMBA monitor system in a new design and need to know which knobs they own and how to spend them.</w:t>
      </w:r>
    </w:p>
    <w:p>
      <w:pPr>
        <w:pStyle w:val="BodyText"/>
        <w:rPr/>
      </w:pPr>
      <w:r>
        <w:rPr>
          <w:b/>
          <w:bCs/>
          <w:sz w:val="20"/>
        </w:rPr>
        <w:t>Repository:</w:t>
      </w:r>
      <w:r>
        <w:rPr>
          <w:sz w:val="20"/>
        </w:rPr>
        <w:t xml:space="preserve"> </w:t>
      </w:r>
      <w:hyperlink r:id="rId3">
        <w:r>
          <w:rPr>
            <w:rStyle w:val="Hyperlink"/>
          </w:rPr>
          <w:t>https://github.com/sean-galloway/RTLDesignSherpa</w:t>
        </w:r>
      </w:hyperlink>
    </w:p>
    <w:p>
      <w:pPr>
        <w:pStyle w:val="BodyText"/>
        <w:rPr/>
      </w:pPr>
      <w:r>
        <w:rPr>
          <w:sz w:val="20"/>
        </w:rPr>
        <w:t xml:space="preserve">This paper is not a status snapshot of the current implementation — for that, see the per-module docs under </w:t>
      </w:r>
      <w:r>
        <w:rPr>
          <w:rStyle w:val="VerbatimChar"/>
          <w:sz w:val="20"/>
        </w:rPr>
        <w:t>docs/markdown/RTLAmba/shared/</w:t>
      </w:r>
      <w:r>
        <w:rPr>
          <w:sz w:val="20"/>
        </w:rPr>
        <w:t xml:space="preserve"> (</w:t>
      </w:r>
      <w:r>
        <w:rPr>
          <w:rStyle w:val="VerbatimChar"/>
          <w:sz w:val="20"/>
        </w:rPr>
        <w:t>monbus_axil_group</w:t>
      </w:r>
      <w:r>
        <w:rPr>
          <w:sz w:val="20"/>
        </w:rPr>
        <w:t xml:space="preserve">, </w:t>
      </w:r>
      <w:r>
        <w:rPr>
          <w:rStyle w:val="VerbatimChar"/>
          <w:sz w:val="20"/>
        </w:rPr>
        <w:t>arbiter_monbus_common</w:t>
      </w:r>
      <w:r>
        <w:rPr>
          <w:sz w:val="20"/>
        </w:rPr>
        <w:t xml:space="preserve">, </w:t>
      </w:r>
      <w:r>
        <w:rPr>
          <w:rStyle w:val="VerbatimChar"/>
          <w:sz w:val="20"/>
        </w:rPr>
        <w:t>axi_monitor_base</w:t>
      </w:r>
      <w:r>
        <w:rPr>
          <w:sz w:val="20"/>
        </w:rPr>
        <w:t xml:space="preserve">, etc.) and the integration patterns in </w:t>
      </w:r>
      <w:r>
        <w:rPr>
          <w:rStyle w:val="VerbatimChar"/>
          <w:sz w:val="20"/>
        </w:rPr>
        <w:t>projects/components/bridge/</w:t>
      </w:r>
      <w:r>
        <w:rPr>
          <w:sz w:val="20"/>
        </w:rPr>
        <w:t xml:space="preserve"> and </w:t>
      </w:r>
      <w:r>
        <w:rPr>
          <w:rStyle w:val="VerbatimChar"/>
          <w:sz w:val="20"/>
        </w:rPr>
        <w:t>projects/components/stream/</w:t>
      </w:r>
      <w:r>
        <w:rPr>
          <w:sz w:val="20"/>
        </w:rPr>
        <w:t>.</w:t>
      </w:r>
    </w:p>
    <w:p>
      <w:pPr>
        <w:pStyle w:val="BodyText"/>
        <w:rPr/>
      </w:pPr>
      <w:r>
        <w:rPr>
          <w:sz w:val="20"/>
        </w:rPr>
        <w:t xml:space="preserve">What this paper </w:t>
      </w:r>
      <w:r>
        <w:rPr>
          <w:i/>
          <w:iCs/>
          <w:sz w:val="20"/>
        </w:rPr>
        <w:t>does</w:t>
      </w:r>
      <w:r>
        <w:rPr>
          <w:sz w:val="20"/>
        </w:rPr>
        <w:t xml:space="preserve"> is frame the monitor system as a </w:t>
      </w:r>
      <w:r>
        <w:rPr>
          <w:i/>
          <w:iCs/>
          <w:sz w:val="20"/>
        </w:rPr>
        <w:t>design surface</w:t>
      </w:r>
      <w:r>
        <w:rPr>
          <w:sz w:val="20"/>
        </w:rPr>
        <w:t xml:space="preserve">: a fixed spine (packet format, transport, drain paths) with several explicitly parameterizable axes that an integrator chooses per deployment. Each section below names one such axis, describes the </w:t>
      </w:r>
      <w:r>
        <w:rPr>
          <w:i/>
          <w:iCs/>
          <w:sz w:val="20"/>
        </w:rPr>
        <w:t>current default</w:t>
      </w:r>
      <w:r>
        <w:rPr>
          <w:sz w:val="20"/>
        </w:rPr>
        <w:t xml:space="preserve"> (what the RTL ships with today), and sketches the </w:t>
      </w:r>
      <w:r>
        <w:rPr>
          <w:i/>
          <w:iCs/>
          <w:sz w:val="20"/>
        </w:rPr>
        <w:t>tweaks</w:t>
      </w:r>
      <w:r>
        <w:rPr>
          <w:sz w:val="20"/>
        </w:rPr>
        <w:t xml:space="preserve"> a designer might make to fit their tracking needs.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737_3147716858"/>
      <w:bookmarkStart w:id="7" w:name="where-the-pieces-live-in-the-repo"/>
      <w:bookmarkEnd w:id="6"/>
      <w:r>
        <w:rPr>
          <w:rStyle w:val="SectionNumber"/>
          <w:b/>
          <w:color w:val="228B22"/>
          <w:sz w:val="28"/>
        </w:rPr>
        <w:t>2.1</w:t>
      </w:r>
      <w:r>
        <w:rPr>
          <w:b/>
          <w:color w:val="228B22"/>
          <w:sz w:val="28"/>
        </w:rPr>
        <w:tab/>
        <w:t>Where the pieces live in the repo</w:t>
      </w:r>
    </w:p>
    <w:p>
      <w:pPr>
        <w:pStyle w:val="FirstParagraph"/>
        <w:rPr/>
      </w:pPr>
      <w:r>
        <w:rPr>
          <w:sz w:val="20"/>
        </w:rPr>
        <w:t xml:space="preserve">There are too many wrapper variants to enumerate (8 × axi4, 8 × axi5, 8 × axil4, 2 × apb, ×2 with </w:t>
      </w:r>
      <w:r>
        <w:rPr>
          <w:rStyle w:val="VerbatimChar"/>
          <w:sz w:val="20"/>
        </w:rPr>
        <w:t>_cg</w:t>
      </w:r>
      <w:r>
        <w:rPr>
          <w:sz w:val="20"/>
        </w:rPr>
        <w:t xml:space="preserve"> clock-gated siblings), but at the directory level the monitor system has a small fixed set of homes:</w:t>
      </w:r>
    </w:p>
    <w:p>
      <w:pPr>
        <w:pStyle w:val="DefinitionTerm"/>
        <w:rPr/>
      </w:pPr>
      <w:r>
        <w:rPr>
          <w:rStyle w:val="VerbatimChar"/>
          <w:b/>
          <w:bCs/>
        </w:rPr>
        <w:t>rtl/amba/includes/</w:t>
      </w:r>
    </w:p>
    <w:p>
      <w:pPr>
        <w:pStyle w:val="Definition"/>
        <w:rPr/>
      </w:pPr>
      <w:r>
        <w:rPr/>
        <w:t xml:space="preserve">The four packages — </w:t>
      </w:r>
      <w:r>
        <w:rPr>
          <w:rStyle w:val="VerbatimChar"/>
        </w:rPr>
        <w:t>monitor_common_pkg</w:t>
      </w:r>
      <w:r>
        <w:rPr/>
        <w:t xml:space="preserve">, </w:t>
      </w:r>
      <w:r>
        <w:rPr>
          <w:rStyle w:val="VerbatimChar"/>
        </w:rPr>
        <w:t>monitor_amba4_pkg</w:t>
      </w:r>
      <w:r>
        <w:rPr/>
        <w:t xml:space="preserve">, </w:t>
      </w:r>
      <w:r>
        <w:rPr>
          <w:rStyle w:val="VerbatimChar"/>
        </w:rPr>
        <w:t>monitor_amba5_pkg</w:t>
      </w:r>
      <w:r>
        <w:rPr/>
        <w:t xml:space="preserve">, </w:t>
      </w:r>
      <w:r>
        <w:rPr>
          <w:rStyle w:val="VerbatimChar"/>
        </w:rPr>
        <w:t>monitor_arbiter_pkg</w:t>
      </w:r>
      <w:r>
        <w:rPr/>
        <w:t xml:space="preserve"> — plus the legacy </w:t>
      </w:r>
      <w:r>
        <w:rPr>
          <w:rStyle w:val="VerbatimChar"/>
        </w:rPr>
        <w:t>monitor_pkg</w:t>
      </w:r>
      <w:r>
        <w:rPr/>
        <w:t xml:space="preserve"> wrapper. Single source of truth for packet/timestamp widths and all event-code enums.</w:t>
      </w:r>
    </w:p>
    <w:p>
      <w:pPr>
        <w:pStyle w:val="DefinitionTerm"/>
        <w:rPr/>
      </w:pPr>
      <w:r>
        <w:rPr>
          <w:rStyle w:val="VerbatimChar"/>
          <w:b/>
          <w:bCs/>
        </w:rPr>
        <w:t>rtl/amba/shared/</w:t>
      </w:r>
    </w:p>
    <w:p>
      <w:pPr>
        <w:pStyle w:val="Definition"/>
        <w:rPr/>
      </w:pPr>
      <w:r>
        <w:rPr/>
        <w:t xml:space="preserve">Core monitor infrastructure: </w:t>
      </w:r>
      <w:r>
        <w:rPr>
          <w:rStyle w:val="VerbatimChar"/>
        </w:rPr>
        <w:t>axi_monitor_base</w:t>
      </w:r>
      <w:r>
        <w:rPr/>
        <w:t xml:space="preserve">, </w:t>
      </w:r>
      <w:r>
        <w:rPr>
          <w:rStyle w:val="VerbatimChar"/>
        </w:rPr>
        <w:t>axi_monitor_reporter</w:t>
      </w:r>
      <w:r>
        <w:rPr/>
        <w:t xml:space="preserve">, </w:t>
      </w:r>
      <w:r>
        <w:rPr>
          <w:rStyle w:val="VerbatimChar"/>
        </w:rPr>
        <w:t>axi_monitor_trans_mgr</w:t>
      </w:r>
      <w:r>
        <w:rPr/>
        <w:t xml:space="preserve">, </w:t>
      </w:r>
      <w:r>
        <w:rPr>
          <w:rStyle w:val="VerbatimChar"/>
        </w:rPr>
        <w:t>axi_monitor_timeout</w:t>
      </w:r>
      <w:r>
        <w:rPr/>
        <w:t xml:space="preserve">, </w:t>
      </w:r>
      <w:r>
        <w:rPr>
          <w:rStyle w:val="VerbatimChar"/>
        </w:rPr>
        <w:t>axi_monitor_addr_check</w:t>
      </w:r>
      <w:r>
        <w:rPr/>
        <w:t xml:space="preserve">, </w:t>
      </w:r>
      <w:r>
        <w:rPr>
          <w:rStyle w:val="VerbatimChar"/>
        </w:rPr>
        <w:t>axi_monitor_filtered</w:t>
      </w:r>
      <w:r>
        <w:rPr/>
        <w:t xml:space="preserve">, </w:t>
      </w:r>
      <w:r>
        <w:rPr>
          <w:rStyle w:val="VerbatimChar"/>
        </w:rPr>
        <w:t>monbus_arbiter</w:t>
      </w:r>
      <w:r>
        <w:rPr/>
        <w:t xml:space="preserve">, </w:t>
      </w:r>
      <w:r>
        <w:rPr>
          <w:rStyle w:val="VerbatimChar"/>
        </w:rPr>
        <w:t>monbus_axil_group</w:t>
      </w:r>
      <w:r>
        <w:rPr/>
        <w:t xml:space="preserve">, </w:t>
      </w:r>
      <w:r>
        <w:rPr>
          <w:rStyle w:val="VerbatimChar"/>
        </w:rPr>
        <w:t>arbiter_monbus_common</w:t>
      </w:r>
      <w:r>
        <w:rPr/>
        <w:t xml:space="preserve">, </w:t>
      </w:r>
      <w:r>
        <w:rPr>
          <w:rStyle w:val="VerbatimChar"/>
        </w:rPr>
        <w:t>arbiter_{rr,wrr}_pwm_monbus</w:t>
      </w:r>
      <w:r>
        <w:rPr/>
        <w:t xml:space="preserve">, </w:t>
      </w:r>
      <w:r>
        <w:rPr>
          <w:rStyle w:val="VerbatimChar"/>
        </w:rPr>
        <w:t>apb_monitor_addr_check</w:t>
      </w:r>
      <w:r>
        <w:rPr/>
        <w:t>. Everything below is just per-protocol packaging of these.</w:t>
      </w:r>
    </w:p>
    <w:p>
      <w:pPr>
        <w:pStyle w:val="DefinitionTerm"/>
        <w:rPr/>
      </w:pPr>
      <w:r>
        <w:rPr>
          <w:rStyle w:val="VerbatimChar"/>
          <w:b/>
          <w:bCs/>
        </w:rPr>
        <w:t>rtl/amba/axi4/</w:t>
      </w:r>
      <w:r>
        <w:rPr>
          <w:b/>
          <w:bCs/>
        </w:rPr>
        <w:t xml:space="preserve">, </w:t>
      </w:r>
      <w:r>
        <w:rPr>
          <w:rStyle w:val="VerbatimChar"/>
          <w:b/>
          <w:bCs/>
        </w:rPr>
        <w:t>axi5/</w:t>
      </w:r>
      <w:r>
        <w:rPr>
          <w:b/>
          <w:bCs/>
        </w:rPr>
        <w:t xml:space="preserve">, </w:t>
      </w:r>
      <w:r>
        <w:rPr>
          <w:rStyle w:val="VerbatimChar"/>
          <w:b/>
          <w:bCs/>
        </w:rPr>
        <w:t>axil4/</w:t>
      </w:r>
    </w:p>
    <w:p>
      <w:pPr>
        <w:pStyle w:val="Definition"/>
        <w:rPr/>
      </w:pPr>
      <w:r>
        <w:rPr/>
        <w:t>Per-protocol monitor wrappers (</w:t>
      </w:r>
      <w:r>
        <w:rPr>
          <w:rStyle w:val="VerbatimChar"/>
        </w:rPr>
        <w:t>{master,slave}_{rd,wr}_mon{,_cg}.sv</w:t>
      </w:r>
      <w:r>
        <w:rPr/>
        <w:t>). Each wraps the shared core plus a functional AXI master/slave behind one module.</w:t>
      </w:r>
    </w:p>
    <w:p>
      <w:pPr>
        <w:pStyle w:val="DefinitionTerm"/>
        <w:rPr/>
      </w:pPr>
      <w:r>
        <w:rPr>
          <w:rStyle w:val="VerbatimChar"/>
          <w:b/>
          <w:bCs/>
        </w:rPr>
        <w:t>rtl/amba/apb/</w:t>
      </w:r>
      <w:r>
        <w:rPr>
          <w:b/>
          <w:bCs/>
        </w:rPr>
        <w:t xml:space="preserve">, </w:t>
      </w:r>
      <w:r>
        <w:rPr>
          <w:rStyle w:val="VerbatimChar"/>
          <w:b/>
          <w:bCs/>
        </w:rPr>
        <w:t>apb5/</w:t>
      </w:r>
    </w:p>
    <w:p>
      <w:pPr>
        <w:pStyle w:val="Definition"/>
        <w:rPr/>
      </w:pPr>
      <w:r>
        <w:rPr>
          <w:rStyle w:val="VerbatimChar"/>
        </w:rPr>
        <w:t>apb_monitor.sv</w:t>
      </w:r>
      <w:r>
        <w:rPr/>
        <w:t xml:space="preserve"> / </w:t>
      </w:r>
      <w:r>
        <w:rPr>
          <w:rStyle w:val="VerbatimChar"/>
        </w:rPr>
        <w:t>apb5_monitor.sv</w:t>
      </w:r>
      <w:r>
        <w:rPr/>
        <w:t xml:space="preserve"> — the APB equivalent. APB only needs one wrapper per package since a single monitor sees both reads and writes.</w:t>
      </w:r>
    </w:p>
    <w:p>
      <w:pPr>
        <w:pStyle w:val="DefinitionTerm"/>
        <w:rPr/>
      </w:pPr>
      <w:r>
        <w:rPr>
          <w:rStyle w:val="VerbatimChar"/>
          <w:b/>
          <w:bCs/>
        </w:rPr>
        <w:t>bin/TBClasses/monbus/</w:t>
      </w:r>
    </w:p>
    <w:p>
      <w:pPr>
        <w:pStyle w:val="Definition"/>
        <w:rPr/>
      </w:pPr>
      <w:r>
        <w:rPr/>
        <w:t>Python decoder (</w:t>
      </w:r>
      <w:r>
        <w:rPr>
          <w:rStyle w:val="VerbatimChar"/>
        </w:rPr>
        <w:t>parse</w:t>
      </w:r>
      <w:r>
        <w:rPr/>
        <w:t xml:space="preserve">, </w:t>
      </w:r>
      <w:r>
        <w:rPr>
          <w:rStyle w:val="VerbatimChar"/>
        </w:rPr>
        <w:t>parse_stream</w:t>
      </w:r>
      <w:r>
        <w:rPr/>
        <w:t xml:space="preserve">, </w:t>
      </w:r>
      <w:r>
        <w:rPr>
          <w:rStyle w:val="VerbatimChar"/>
        </w:rPr>
        <w:t>TimestampedPacket</w:t>
      </w:r>
      <w:r>
        <w:rPr/>
        <w:t>, event factories). Used by every project-side TB; never inline the bit-shifts.</w:t>
      </w:r>
    </w:p>
    <w:p>
      <w:pPr>
        <w:pStyle w:val="DefinitionTerm"/>
        <w:rPr/>
      </w:pPr>
      <w:r>
        <w:rPr>
          <w:rStyle w:val="VerbatimChar"/>
          <w:b/>
          <w:bCs/>
        </w:rPr>
        <w:t>formal/amba/</w:t>
      </w:r>
    </w:p>
    <w:p>
      <w:pPr>
        <w:pStyle w:val="Definition"/>
        <w:rPr/>
      </w:pPr>
      <w:r>
        <w:rPr/>
        <w:t>SymbiYosys harnesses for the per-protocol monitor wrappers (e.g. </w:t>
      </w:r>
      <w:r>
        <w:rPr>
          <w:rStyle w:val="VerbatimChar"/>
        </w:rPr>
        <w:t>axi4_master_rd_mon</w:t>
      </w:r>
      <w:r>
        <w:rPr/>
        <w:t>). Properties cover transaction tracking, timeout detection, addr-range, and packet-format invariants.</w:t>
      </w:r>
    </w:p>
    <w:p>
      <w:pPr>
        <w:pStyle w:val="DefinitionTerm"/>
        <w:rPr/>
      </w:pPr>
      <w:r>
        <w:rPr>
          <w:rStyle w:val="VerbatimChar"/>
          <w:b/>
          <w:bCs/>
        </w:rPr>
        <w:t>docs/markdown/RTLAmba/includes/</w:t>
      </w:r>
    </w:p>
    <w:p>
      <w:pPr>
        <w:pStyle w:val="Definition"/>
        <w:rPr/>
      </w:pPr>
      <w:r>
        <w:rPr/>
        <w:t>Reference docs for the four packages (this directory).</w:t>
      </w:r>
    </w:p>
    <w:p>
      <w:pPr>
        <w:pStyle w:val="DefinitionTerm"/>
        <w:rPr/>
      </w:pPr>
      <w:r>
        <w:rPr>
          <w:rStyle w:val="VerbatimChar"/>
          <w:b/>
          <w:bCs/>
        </w:rPr>
        <w:t>docs/markdown/RTLAmba/shared/</w:t>
      </w:r>
    </w:p>
    <w:p>
      <w:pPr>
        <w:pStyle w:val="Definition"/>
        <w:rPr/>
      </w:pPr>
      <w:r>
        <w:rPr/>
        <w:t xml:space="preserve">Per-module specs for the core infrastructure under </w:t>
      </w:r>
      <w:r>
        <w:rPr>
          <w:rStyle w:val="VerbatimChar"/>
        </w:rPr>
        <w:t>rtl/amba/shared/</w:t>
      </w:r>
      <w:r>
        <w:rPr/>
        <w:t>.</w:t>
      </w:r>
    </w:p>
    <w:p>
      <w:pPr>
        <w:pStyle w:val="Heading3"/>
        <w:spacing w:before="200" w:after="80"/>
        <w:rPr/>
      </w:pPr>
      <w:bookmarkStart w:id="8" w:name="__RefHeading___Toc1739_3147716858"/>
      <w:bookmarkStart w:id="9" w:name="X25e11279456cd4a65aac92bd48affc5660b3d2a"/>
      <w:bookmarkEnd w:id="8"/>
      <w:r>
        <w:rPr>
          <w:rStyle w:val="SectionNumber"/>
          <w:b/>
          <w:color w:val="404040"/>
          <w:sz w:val="24"/>
        </w:rPr>
        <w:t>2.1.1</w:t>
      </w:r>
      <w:r>
        <w:rPr>
          <w:b/>
          <w:color w:val="404040"/>
          <w:sz w:val="24"/>
        </w:rPr>
        <w:tab/>
        <w:t>Where the system shows up in real designs</w:t>
      </w:r>
    </w:p>
    <w:p>
      <w:pPr>
        <w:pStyle w:val="Compact"/>
        <w:numPr>
          <w:ilvl w:val="0"/>
          <w:numId w:val="2"/>
        </w:numPr>
        <w:rPr/>
      </w:pPr>
      <w:r>
        <w:rPr>
          <w:rStyle w:val="VerbatimChar"/>
          <w:b/>
          <w:bCs/>
        </w:rPr>
        <w:t>projects/components/stream/</w:t>
      </w:r>
      <w:r>
        <w:rPr/>
        <w:t xml:space="preserve"> — the STREAM DMA engine instantiates per-channel monitors on its descriptor / read / write AXI engines and aggregates everything onto a single </w:t>
      </w:r>
      <w:r>
        <w:rPr>
          <w:rStyle w:val="VerbatimChar"/>
        </w:rPr>
        <w:t>monbus_axil_group</w:t>
      </w:r>
      <w:r>
        <w:rPr/>
        <w:t xml:space="preserve"> that exposes both a slave-AXIL drain (for CPU/IRQ consumption) and a master-AXIL drain (for bulk-trace writes into a SoC-side capture region).</w:t>
      </w:r>
    </w:p>
    <w:p>
      <w:pPr>
        <w:pStyle w:val="Compact"/>
        <w:numPr>
          <w:ilvl w:val="0"/>
          <w:numId w:val="2"/>
        </w:numPr>
        <w:rPr/>
      </w:pPr>
      <w:r>
        <w:rPr>
          <w:rStyle w:val="VerbatimChar"/>
          <w:b/>
          <w:bCs/>
        </w:rPr>
        <w:t>projects/NexysA7/stream_characterization/</w:t>
      </w:r>
      <w:r>
        <w:rPr/>
        <w:t xml:space="preserve"> — wraps STREAM (</w:t>
      </w:r>
      <w:r>
        <w:rPr>
          <w:rStyle w:val="VerbatimChar"/>
        </w:rPr>
        <w:t>stream_top_ch8</w:t>
      </w:r>
      <w:r>
        <w:rPr/>
        <w:t xml:space="preserve">) plus an </w:t>
      </w:r>
      <w:r>
        <w:rPr>
          <w:rStyle w:val="VerbatimChar"/>
        </w:rPr>
        <w:t>axi_response_delay</w:t>
      </w:r>
      <w:r>
        <w:rPr/>
        <w:t xml:space="preserve"> injector and per-engine </w:t>
      </w:r>
      <w:r>
        <w:rPr>
          <w:rStyle w:val="VerbatimChar"/>
        </w:rPr>
        <w:t>axi_bus_meter</w:t>
      </w:r>
      <w:r>
        <w:rPr/>
        <w:t xml:space="preserve"> instances inside a harness whose </w:t>
      </w:r>
      <w:r>
        <w:rPr>
          <w:rStyle w:val="VerbatimChar"/>
        </w:rPr>
        <w:t>m_axil_mon</w:t>
      </w:r>
      <w:r>
        <w:rPr/>
        <w:t xml:space="preserve"> drain lands in a </w:t>
      </w:r>
      <w:r>
        <w:rPr>
          <w:rStyle w:val="VerbatimChar"/>
        </w:rPr>
        <w:t>debug_sram</w:t>
      </w:r>
      <w:r>
        <w:rPr/>
        <w:t xml:space="preserve"> BRAM. This is the SoC built into the Nexys A7 image used for monitor-system characterization on real hardware. See the diagram in §2.</w:t>
      </w:r>
    </w:p>
    <w:p>
      <w:pPr>
        <w:pStyle w:val="Compact"/>
        <w:numPr>
          <w:ilvl w:val="0"/>
          <w:numId w:val="2"/>
        </w:numPr>
        <w:rPr/>
      </w:pPr>
      <w:r>
        <w:rPr>
          <w:rStyle w:val="VerbatimChar"/>
          <w:b/>
          <w:bCs/>
        </w:rPr>
        <w:t>projects/components/bridge/</w:t>
      </w:r>
      <w:r>
        <w:rPr/>
        <w:t xml:space="preserve"> — the bridge generator emits a tree of monitor wrappers at every external port and aggregates them through </w:t>
      </w:r>
      <w:r>
        <w:rPr>
          <w:rStyle w:val="VerbatimChar"/>
        </w:rPr>
        <w:t>monbus_arbiter</w:t>
      </w:r>
      <w:r>
        <w:rPr/>
        <w:t xml:space="preserve"> instances into a per-bridge </w:t>
      </w:r>
      <w:r>
        <w:rPr>
          <w:rStyle w:val="VerbatimChar"/>
        </w:rPr>
        <w:t>monbus_axil_group</w:t>
      </w:r>
      <w:r>
        <w:rPr/>
        <w:t>. The bridge is the most heavily exercised consumer today; integration tests there are what catch most monitor-system regressions.</w:t>
      </w:r>
    </w:p>
    <w:p>
      <w:pPr>
        <w:pStyle w:val="Normal"/>
        <w:rPr/>
      </w:pPr>
      <w:bookmarkStart w:id="10" w:name="where-the-pieces-live-in-the-repo"/>
      <w:bookmarkStart w:id="11" w:name="X25e11279456cd4a65aac92bd48affc5660b3d2a"/>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bookmarkEnd w:id="11"/>
    </w:p>
    <w:p>
      <w:pPr>
        <w:pStyle w:val="Heading2"/>
        <w:pBdr>
          <w:bottom w:val="single" w:sz="12" w:space="0" w:color="228B22"/>
        </w:pBdr>
        <w:spacing w:before="280" w:after="80"/>
        <w:rPr/>
      </w:pPr>
      <w:bookmarkStart w:id="12" w:name="__RefHeading___Toc1741_3147716858"/>
      <w:bookmarkStart w:id="13" w:name="identity-space-allocation"/>
      <w:bookmarkEnd w:id="12"/>
      <w:r>
        <w:rPr>
          <w:rStyle w:val="SectionNumber"/>
          <w:b/>
          <w:color w:val="228B22"/>
          <w:sz w:val="28"/>
        </w:rPr>
        <w:t>2.2</w:t>
      </w:r>
      <w:r>
        <w:rPr>
          <w:b/>
          <w:color w:val="228B22"/>
          <w:sz w:val="28"/>
        </w:rPr>
        <w:tab/>
        <w:t>Identity space allocation</w:t>
      </w:r>
    </w:p>
    <w:p>
      <w:pPr>
        <w:pStyle w:val="FirstParagraph"/>
        <w:rPr/>
      </w:pPr>
      <w:r>
        <w:rPr>
          <w:sz w:val="20"/>
        </w:rPr>
        <w:t>A single monbus record is two paired wires: a 128-bit packet (</w:t>
      </w:r>
      <w:r>
        <w:rPr>
          <w:rStyle w:val="VerbatimChar"/>
          <w:sz w:val="20"/>
        </w:rPr>
        <w:t>monbus_packet</w:t>
      </w:r>
      <w:r>
        <w:rPr>
          <w:sz w:val="20"/>
        </w:rPr>
        <w:t>) plus a 64-bit side-band timestamp (</w:t>
      </w:r>
      <w:r>
        <w:rPr>
          <w:rStyle w:val="VerbatimChar"/>
          <w:sz w:val="20"/>
        </w:rPr>
        <w:t>monbus_timestamp</w:t>
      </w:r>
      <w:r>
        <w:rPr>
          <w:sz w:val="20"/>
        </w:rPr>
        <w:t>), carried atomically through every level of the transport. 192 bits total.</w:t>
      </w:r>
    </w:p>
    <w:p>
      <w:pPr>
        <w:pStyle w:val="BodyText"/>
        <w:rPr/>
      </w:pPr>
      <w:r>
        <w:rPr>
          <w:rStyle w:val="VerbatimChar"/>
          <w:b/>
          <w:bCs/>
          <w:sz w:val="20"/>
        </w:rPr>
        <w:t>monbus_packet</w:t>
      </w:r>
      <w:r>
        <w:rPr>
          <w:b/>
          <w:bCs/>
          <w:sz w:val="20"/>
        </w:rPr>
        <w:t xml:space="preserve"> field layout</w:t>
      </w:r>
      <w:r>
        <w:rPr>
          <w:sz w:val="20"/>
        </w:rPr>
        <w:t xml:space="preserve"> (128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8"/>
        <w:gridCol w:w="1789"/>
        <w:gridCol w:w="1651"/>
        <w:gridCol w:w="4681"/>
      </w:tblGrid>
      <w:tr>
        <w:trPr>
          <w:tblHeader w:val="true"/>
        </w:trPr>
        <w:tc>
          <w:tcPr>
            <w:tcW w:w="1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Owner</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 Completion / Threshold / Timeout / Perf / AddrMatch / APB / Debug</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Emitted as zero (forward-compat slack)</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_CORE</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Protocol-specific event/error code</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designer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or channel index — see below</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designer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designer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Layout depends on (packet_type, event_code) — see below</w:t>
            </w:r>
          </w:p>
        </w:tc>
      </w:tr>
    </w:tbl>
    <w:p>
      <w:pPr>
        <w:pStyle w:val="BodyText"/>
        <w:rPr/>
      </w:pPr>
      <w:r>
        <w:rPr>
          <w:rStyle w:val="VerbatimChar"/>
          <w:b/>
          <w:bCs/>
          <w:sz w:val="20"/>
        </w:rPr>
        <w:t>monbus_timestamp</w:t>
      </w:r>
      <w:r>
        <w:rPr>
          <w:sz w:val="20"/>
        </w:rPr>
        <w:t xml:space="preserve"> (64-bit side-band): free-running counter from </w:t>
      </w:r>
      <w:r>
        <w:rPr>
          <w:rStyle w:val="VerbatimChar"/>
          <w:sz w:val="20"/>
        </w:rPr>
        <w:t>monbus_axil_group</w:t>
      </w:r>
      <w:r>
        <w:rPr>
          <w:sz w:val="20"/>
        </w:rPr>
        <w:t>, sampled at packet emission. Treated as an opaque ordering key by consumers.</w:t>
      </w:r>
    </w:p>
    <w:p>
      <w:pPr>
        <w:pStyle w:val="BodyText"/>
        <w:rPr/>
      </w:pPr>
      <w:r>
        <w:rPr>
          <w:b/>
          <w:bCs/>
          <w:sz w:val="20"/>
        </w:rPr>
        <w:t>event_data payload examples</w:t>
      </w:r>
      <w:r>
        <w:rPr>
          <w:sz w:val="20"/>
        </w:rPr>
        <w:t xml:space="preserve"> (most common shapes):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7"/>
        <w:gridCol w:w="2097"/>
        <w:gridCol w:w="4268"/>
        <w:gridCol w:w="1797"/>
      </w:tblGrid>
      <w:tr>
        <w:trPr>
          <w:tblHeader w:val="true"/>
        </w:trPr>
        <w:tc>
          <w:tcPr>
            <w:tcW w:w="1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packet_type</w:t>
            </w:r>
          </w:p>
        </w:tc>
        <w:tc>
          <w:tcPr>
            <w:tcW w:w="20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event_code</w:t>
            </w:r>
          </w:p>
        </w:tc>
        <w:tc>
          <w:tcPr>
            <w:tcW w:w="4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event_data layout</w:t>
            </w:r>
          </w:p>
        </w:tc>
        <w:tc>
          <w:tcPr>
            <w:tcW w:w="17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r>
      <w:tr>
        <w:trPr/>
        <w:tc>
          <w:tcPr>
            <w:tcW w:w="1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0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AXI_ERR_ADDR_RANGE</w:t>
            </w:r>
            <w:r>
              <w:rPr>
                <w:rFonts w:eastAsia="Cambria" w:cs=""/>
                <w:kern w:val="0"/>
                <w:sz w:val="24"/>
                <w:szCs w:val="24"/>
                <w:lang w:val="en-US" w:eastAsia="en-US" w:bidi="ar-SA"/>
              </w:rPr>
              <w:t xml:space="preserve"> (8’h0D)</w:t>
            </w:r>
          </w:p>
        </w:tc>
        <w:tc>
          <w:tcPr>
            <w:tcW w:w="4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[63:60]</w:t>
            </w:r>
            <w:r>
              <w:rPr>
                <w:rFonts w:eastAsia="Cambria" w:cs=""/>
                <w:kern w:val="0"/>
                <w:sz w:val="24"/>
                <w:szCs w:val="24"/>
                <w:lang w:val="en-US" w:eastAsia="en-US" w:bidi="ar-SA"/>
              </w:rPr>
              <w:t xml:space="preserve"> = range_index, </w:t>
            </w:r>
            <w:r>
              <w:rPr>
                <w:rStyle w:val="VerbatimChar"/>
                <w:rFonts w:eastAsia="Cambria" w:cs=""/>
                <w:kern w:val="0"/>
                <w:szCs w:val="24"/>
                <w:lang w:val="en-US" w:eastAsia="en-US" w:bidi="ar-SA"/>
              </w:rPr>
              <w:t>[59:0]</w:t>
            </w:r>
            <w:r>
              <w:rPr>
                <w:rFonts w:eastAsia="Cambria" w:cs=""/>
                <w:kern w:val="0"/>
                <w:sz w:val="24"/>
                <w:szCs w:val="24"/>
                <w:lang w:val="en-US" w:eastAsia="en-US" w:bidi="ar-SA"/>
              </w:rPr>
              <w:t xml:space="preserve"> = full matched address</w:t>
            </w:r>
          </w:p>
        </w:tc>
        <w:tc>
          <w:tcPr>
            <w:tcW w:w="17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axi_monitor_addr_check</w:t>
            </w:r>
          </w:p>
        </w:tc>
      </w:tr>
      <w:tr>
        <w:trPr/>
        <w:tc>
          <w:tcPr>
            <w:tcW w:w="1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0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APB_ERR_ADDR_RANGE</w:t>
            </w:r>
            <w:r>
              <w:rPr>
                <w:rFonts w:eastAsia="Cambria" w:cs=""/>
                <w:kern w:val="0"/>
                <w:sz w:val="24"/>
                <w:szCs w:val="24"/>
                <w:lang w:val="en-US" w:eastAsia="en-US" w:bidi="ar-SA"/>
              </w:rPr>
              <w:t xml:space="preserve"> (8’h0D)</w:t>
            </w:r>
          </w:p>
        </w:tc>
        <w:tc>
          <w:tcPr>
            <w:tcW w:w="4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[63:60]</w:t>
            </w:r>
            <w:r>
              <w:rPr>
                <w:rFonts w:eastAsia="Cambria" w:cs=""/>
                <w:kern w:val="0"/>
                <w:sz w:val="24"/>
                <w:szCs w:val="24"/>
                <w:lang w:val="en-US" w:eastAsia="en-US" w:bidi="ar-SA"/>
              </w:rPr>
              <w:t xml:space="preserve"> = range_index, </w:t>
            </w:r>
            <w:r>
              <w:rPr>
                <w:rStyle w:val="VerbatimChar"/>
                <w:rFonts w:eastAsia="Cambria" w:cs=""/>
                <w:kern w:val="0"/>
                <w:szCs w:val="24"/>
                <w:lang w:val="en-US" w:eastAsia="en-US" w:bidi="ar-SA"/>
              </w:rPr>
              <w:t>[59]</w:t>
            </w:r>
            <w:r>
              <w:rPr>
                <w:rFonts w:eastAsia="Cambria" w:cs=""/>
                <w:kern w:val="0"/>
                <w:sz w:val="24"/>
                <w:szCs w:val="24"/>
                <w:lang w:val="en-US" w:eastAsia="en-US" w:bidi="ar-SA"/>
              </w:rPr>
              <w:t xml:space="preserve"> = is_read, </w:t>
            </w:r>
            <w:r>
              <w:rPr>
                <w:rStyle w:val="VerbatimChar"/>
                <w:rFonts w:eastAsia="Cambria" w:cs=""/>
                <w:kern w:val="0"/>
                <w:szCs w:val="24"/>
                <w:lang w:val="en-US" w:eastAsia="en-US" w:bidi="ar-SA"/>
              </w:rPr>
              <w:t>[58:0]</w:t>
            </w:r>
            <w:r>
              <w:rPr>
                <w:rFonts w:eastAsia="Cambria" w:cs=""/>
                <w:kern w:val="0"/>
                <w:sz w:val="24"/>
                <w:szCs w:val="24"/>
                <w:lang w:val="en-US" w:eastAsia="en-US" w:bidi="ar-SA"/>
              </w:rPr>
              <w:t xml:space="preserve"> = addr</w:t>
            </w:r>
          </w:p>
        </w:tc>
        <w:tc>
          <w:tcPr>
            <w:tcW w:w="17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apb_monitor_addr_check</w:t>
            </w:r>
          </w:p>
        </w:tc>
      </w:tr>
      <w:tr>
        <w:trPr/>
        <w:tc>
          <w:tcPr>
            <w:tcW w:w="1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Error/Timeout/Cmpl</w:t>
            </w:r>
          </w:p>
        </w:tc>
        <w:tc>
          <w:tcPr>
            <w:tcW w:w="20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w:t>
            </w:r>
          </w:p>
        </w:tc>
        <w:tc>
          <w:tcPr>
            <w:tcW w:w="42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address or zero-extended counter / latency value</w:t>
            </w:r>
          </w:p>
        </w:tc>
        <w:tc>
          <w:tcPr>
            <w:tcW w:w="17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axi_monitor_reporter</w:t>
            </w:r>
          </w:p>
        </w:tc>
      </w:tr>
      <w:tr>
        <w:trPr/>
        <w:tc>
          <w:tcPr>
            <w:tcW w:w="1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0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AXI_PERF_*</w:t>
            </w:r>
          </w:p>
        </w:tc>
        <w:tc>
          <w:tcPr>
            <w:tcW w:w="42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counter (completed/error counts, latencies)</w:t>
            </w:r>
          </w:p>
        </w:tc>
        <w:tc>
          <w:tcPr>
            <w:tcW w:w="17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axi_monitor_reporter</w:t>
            </w:r>
          </w:p>
        </w:tc>
      </w:tr>
    </w:tbl>
    <w:p>
      <w:pPr>
        <w:pStyle w:val="BodyText"/>
        <w:rPr/>
      </w:pPr>
      <w:r>
        <w:rPr>
          <w:sz w:val="20"/>
        </w:rPr>
        <w:t xml:space="preserve">PROTOCOL / PKT_TYPE / EVENT_CODE are enums and largely fixed by the RTL type system. </w:t>
      </w:r>
      <w:r>
        <w:rPr>
          <w:b/>
          <w:bCs/>
          <w:sz w:val="20"/>
        </w:rPr>
        <w:t>UNIT_ID, AGENT_ID, and CHANNEL_ID are the designer’s to allocate</w:t>
      </w:r>
      <w:r>
        <w:rPr>
          <w:sz w:val="20"/>
        </w:rPr>
        <w:t xml:space="preserve"> — the three subsections below cover the conventions today and the tweaks an integrator can apply.</w:t>
      </w:r>
    </w:p>
    <w:p>
      <w:pPr>
        <w:pStyle w:val="Heading3"/>
        <w:spacing w:before="200" w:after="80"/>
        <w:rPr/>
      </w:pPr>
      <w:bookmarkStart w:id="14" w:name="__RefHeading___Toc1743_3147716858"/>
      <w:bookmarkStart w:id="15" w:name="unit_id"/>
      <w:bookmarkEnd w:id="14"/>
      <w:r>
        <w:rPr>
          <w:rStyle w:val="SectionNumber"/>
          <w:b/>
          <w:color w:val="404040"/>
          <w:sz w:val="24"/>
        </w:rPr>
        <w:t>2.2.1</w:t>
      </w:r>
      <w:r>
        <w:rPr>
          <w:b/>
          <w:color w:val="404040"/>
          <w:sz w:val="24"/>
        </w:rPr>
        <w:tab/>
        <w:t>UNIT_ID</w:t>
      </w:r>
    </w:p>
    <w:p>
      <w:pPr>
        <w:pStyle w:val="Compact"/>
        <w:numPr>
          <w:ilvl w:val="0"/>
          <w:numId w:val="18"/>
        </w:numPr>
        <w:rPr/>
      </w:pPr>
      <w:r>
        <w:rPr>
          <w:b/>
          <w:bCs/>
        </w:rPr>
        <w:t>Current use:</w:t>
      </w:r>
      <w:r>
        <w:rPr/>
        <w:t xml:space="preserve"> simple two-value scheme inside the bridge generator – UNIT_ID=2 for master-side wrappers (axi4_slave_</w:t>
      </w:r>
      <w:r>
        <w:rPr>
          <w:i/>
          <w:iCs/>
        </w:rPr>
        <w:t>mon), UNIT_ID=1 for slave-side wrappers (axi4_master</w:t>
      </w:r>
      <w:r>
        <w:rPr/>
        <w:t>_mon).</w:t>
      </w:r>
    </w:p>
    <w:p>
      <w:pPr>
        <w:pStyle w:val="Compact"/>
        <w:numPr>
          <w:ilvl w:val="0"/>
          <w:numId w:val="19"/>
        </w:numPr>
        <w:rPr/>
      </w:pPr>
      <w:r>
        <w:rPr>
          <w:b/>
          <w:bCs/>
        </w:rPr>
        <w:t>Tweak: drop one level.</w:t>
      </w:r>
      <w:r>
        <w:rPr/>
        <w:t xml:space="preserve"> Instead of allocating UNIT_ID at the interface boundary, allocate it inside the unit – each unit then gets up to 16 internal sub-busses / sub-blocks it can independently identify, e.g. a scheduler with multiple internal pipelines, or an engine with separate source / sink / completion paths. The cost is that “which interface did this come from” now has to be encoded in AGENT_ID instead.</w:t>
      </w:r>
    </w:p>
    <w:p>
      <w:pPr>
        <w:pStyle w:val="Compact"/>
        <w:numPr>
          <w:ilvl w:val="0"/>
          <w:numId w:val="20"/>
        </w:numPr>
        <w:rPr/>
      </w:pPr>
      <w:r>
        <w:rPr>
          <w:b/>
          <w:bCs/>
        </w:rPr>
        <w:t>Tweak: hierarchical.</w:t>
      </w:r>
      <w:r>
        <w:rPr/>
        <w:t xml:space="preserve"> Top bits encode subsystem (bridge/stream/rapids), bottom bits encode position within that subsystem. Works when the on-chip monbus is aggregated at multiple levels.</w:t>
      </w:r>
      <w:bookmarkEnd w:id="15"/>
    </w:p>
    <w:p>
      <w:pPr>
        <w:pStyle w:val="Heading3"/>
        <w:spacing w:before="200" w:after="80"/>
        <w:rPr/>
      </w:pPr>
      <w:bookmarkStart w:id="16" w:name="__RefHeading___Toc1745_3147716858"/>
      <w:bookmarkStart w:id="17" w:name="agent_id"/>
      <w:bookmarkEnd w:id="16"/>
      <w:r>
        <w:rPr>
          <w:rStyle w:val="SectionNumber"/>
          <w:b/>
          <w:color w:val="404040"/>
          <w:sz w:val="24"/>
        </w:rPr>
        <w:t>2.2.2</w:t>
      </w:r>
      <w:r>
        <w:rPr>
          <w:b/>
          <w:color w:val="404040"/>
          <w:sz w:val="24"/>
        </w:rPr>
        <w:tab/>
        <w:t>AGENT_ID</w:t>
      </w:r>
    </w:p>
    <w:p>
      <w:pPr>
        <w:pStyle w:val="Compact"/>
        <w:numPr>
          <w:ilvl w:val="0"/>
          <w:numId w:val="21"/>
        </w:numPr>
        <w:rPr/>
      </w:pPr>
      <w:r>
        <w:rPr>
          <w:b/>
          <w:bCs/>
        </w:rPr>
        <w:t>Current use:</w:t>
      </w:r>
      <w:r>
        <w:rPr/>
        <w:t xml:space="preserve"> </w:t>
      </w:r>
      <w:r>
        <w:rPr>
          <w:rStyle w:val="VerbatimChar"/>
        </w:rPr>
        <w:t>(port_idx &lt;&lt; 4) | chan_bit</w:t>
      </w:r>
      <w:r>
        <w:rPr/>
        <w:t xml:space="preserve"> inside the bridge generator, where chan_bit selects write (1) vs. read (0). The bridge consumes 5 of the 16 bits — up to 16 ports x 2 channels — leaving the upper 11 bits free.</w:t>
      </w:r>
    </w:p>
    <w:p>
      <w:pPr>
        <w:pStyle w:val="Compact"/>
        <w:numPr>
          <w:ilvl w:val="0"/>
          <w:numId w:val="22"/>
        </w:numPr>
        <w:rPr/>
      </w:pPr>
      <w:r>
        <w:rPr>
          <w:b/>
          <w:bCs/>
        </w:rPr>
        <w:t>Tweak: per-port subagents.</w:t>
      </w:r>
      <w:r>
        <w:rPr/>
        <w:t xml:space="preserve"> When a port hosts multiple logical agents (e.g. a master that splits into descr / sink / source streams), use the upper bits for port_idx and the lower bits for subagent. Today the bridge generator only consumes the lower 5 bits; the upper 11 are free for designer use.</w:t>
      </w:r>
      <w:bookmarkEnd w:id="17"/>
    </w:p>
    <w:p>
      <w:pPr>
        <w:pStyle w:val="Heading3"/>
        <w:spacing w:before="200" w:after="80"/>
        <w:rPr/>
      </w:pPr>
      <w:bookmarkStart w:id="18" w:name="__RefHeading___Toc1747_3147716858"/>
      <w:bookmarkStart w:id="19" w:name="channel_id"/>
      <w:bookmarkEnd w:id="18"/>
      <w:r>
        <w:rPr>
          <w:rStyle w:val="SectionNumber"/>
          <w:b/>
          <w:color w:val="404040"/>
          <w:sz w:val="24"/>
        </w:rPr>
        <w:t>2.2.3</w:t>
      </w:r>
      <w:r>
        <w:rPr>
          <w:b/>
          <w:color w:val="404040"/>
          <w:sz w:val="24"/>
        </w:rPr>
        <w:tab/>
        <w:t>CHANNEL_ID</w:t>
      </w:r>
    </w:p>
    <w:p>
      <w:pPr>
        <w:pStyle w:val="Compact"/>
        <w:numPr>
          <w:ilvl w:val="0"/>
          <w:numId w:val="23"/>
        </w:numPr>
        <w:rPr/>
      </w:pPr>
      <w:r>
        <w:rPr>
          <w:b/>
          <w:bCs/>
        </w:rPr>
        <w:t>Current use:</w:t>
      </w:r>
      <w:r>
        <w:rPr/>
        <w:t xml:space="preserve"> mostly 0 – not yet exploited.</w:t>
      </w:r>
    </w:p>
    <w:p>
      <w:pPr>
        <w:pStyle w:val="Compact"/>
        <w:numPr>
          <w:ilvl w:val="0"/>
          <w:numId w:val="24"/>
        </w:numPr>
        <w:rPr/>
      </w:pPr>
      <w:r>
        <w:rPr>
          <w:b/>
          <w:bCs/>
        </w:rPr>
        <w:t>Tweak:</w:t>
      </w:r>
      <w:r>
        <w:rPr/>
        <w:t xml:space="preserve"> carry per-burst metadata that’s useful for offline analysis, e.g. ARID/AWID echo for OOO debug, or a virtual-channel id for QoS work.</w:t>
      </w:r>
    </w:p>
    <w:p>
      <w:pPr>
        <w:pStyle w:val="Normal"/>
        <w:rPr/>
      </w:pPr>
      <w:bookmarkStart w:id="20" w:name="identity-space-allocation"/>
      <w:bookmarkStart w:id="21" w:name="channel_id"/>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1"/>
    </w:p>
    <w:p>
      <w:pPr>
        <w:pStyle w:val="Heading2"/>
        <w:pBdr>
          <w:bottom w:val="single" w:sz="12" w:space="0" w:color="228B22"/>
        </w:pBdr>
        <w:spacing w:before="280" w:after="80"/>
        <w:rPr/>
      </w:pPr>
      <w:bookmarkStart w:id="22" w:name="__RefHeading___Toc1749_3147716858"/>
      <w:bookmarkStart w:id="23" w:name="where-to-insert-monitoring"/>
      <w:bookmarkEnd w:id="22"/>
      <w:r>
        <w:rPr>
          <w:rStyle w:val="SectionNumber"/>
          <w:b/>
          <w:color w:val="228B22"/>
          <w:sz w:val="28"/>
        </w:rPr>
        <w:t>2.3</w:t>
      </w:r>
      <w:r>
        <w:rPr>
          <w:b/>
          <w:color w:val="228B22"/>
          <w:sz w:val="28"/>
        </w:rPr>
        <w:tab/>
        <w:t>Where to insert monitoring</w:t>
      </w:r>
    </w:p>
    <w:p>
      <w:pPr>
        <w:pStyle w:val="Compact"/>
        <w:numPr>
          <w:ilvl w:val="0"/>
          <w:numId w:val="25"/>
        </w:numPr>
        <w:rPr/>
      </w:pPr>
      <w:r>
        <w:rPr>
          <w:b/>
          <w:bCs/>
        </w:rPr>
        <w:t>Current default:</w:t>
      </w:r>
      <w:r>
        <w:rPr/>
        <w:t xml:space="preserve"> per-port wrappers at every bridge-top boundary. Catches protocol-level errors (SLVERR / DECERR / orphan / timeout) and aggregates on the monbus_arbiter inside the bridge.</w:t>
      </w:r>
    </w:p>
    <w:p>
      <w:pPr>
        <w:pStyle w:val="Compact"/>
        <w:numPr>
          <w:ilvl w:val="0"/>
          <w:numId w:val="26"/>
        </w:numPr>
        <w:rPr/>
      </w:pPr>
      <w:r>
        <w:rPr>
          <w:b/>
          <w:bCs/>
        </w:rPr>
        <w:t>Tweak: mid-fabric.</w:t>
      </w:r>
      <w:r>
        <w:rPr/>
        <w:t xml:space="preserve"> Add monitor wrappers on internal converter boundaries when you need to localize where a violation entered the fabric – the bridge generator already supports the necessary axi4_*_mon variants; it just doesn’t auto-instantiate them on internal boundaries.</w:t>
      </w:r>
    </w:p>
    <w:p>
      <w:pPr>
        <w:pStyle w:val="Compact"/>
        <w:numPr>
          <w:ilvl w:val="0"/>
          <w:numId w:val="27"/>
        </w:numPr>
        <w:rPr/>
      </w:pPr>
      <w:r>
        <w:rPr>
          <w:b/>
          <w:bCs/>
        </w:rPr>
        <w:t>Tweak: root of tree.</w:t>
      </w:r>
      <w:r>
        <w:rPr/>
        <w:t xml:space="preserve"> Skip per-port monitors entirely and place a single monitor at the SoC’s NoC root if the integrator cares only about aggregate behavior. Trades resolution for area.</w:t>
      </w:r>
    </w:p>
    <w:p>
      <w:pPr>
        <w:pStyle w:val="Compact"/>
        <w:numPr>
          <w:ilvl w:val="0"/>
          <w:numId w:val="28"/>
        </w:numPr>
        <w:rPr/>
      </w:pPr>
      <w:r>
        <w:rPr>
          <w:b/>
          <w:bCs/>
        </w:rPr>
        <w:t>Tweak: instrumented arbiter.</w:t>
      </w:r>
      <w:r>
        <w:rPr/>
        <w:t xml:space="preserve"> The generic </w:t>
      </w:r>
      <w:r>
        <w:rPr>
          <w:rStyle w:val="VerbatimChar"/>
        </w:rPr>
        <w:t>arbiter_round_robin</w:t>
      </w:r>
      <w:r>
        <w:rPr/>
        <w:t xml:space="preserve"> module (and its weighted sibling </w:t>
      </w:r>
      <w:r>
        <w:rPr>
          <w:rStyle w:val="VerbatimChar"/>
        </w:rPr>
        <w:t>arbiter_round_robin_weighted</w:t>
      </w:r>
      <w:r>
        <w:rPr/>
        <w:t xml:space="preserve">) is the same arbiter that’s used inside the stream, bridge, and monbus paths – one general-purpose RR/WRR core that grants a winner from any request vector. With </w:t>
      </w:r>
      <w:r>
        <w:rPr>
          <w:rStyle w:val="VerbatimChar"/>
        </w:rPr>
        <w:t>WAIT_GNT_ACK = 0</w:t>
      </w:r>
      <w:r>
        <w:rPr/>
        <w:t xml:space="preserve"> it is a pure combinational grant (one-shot grant per cycle); with </w:t>
      </w:r>
      <w:r>
        <w:rPr>
          <w:rStyle w:val="VerbatimChar"/>
        </w:rPr>
        <w:t>WAIT_GNT_ACK = 1</w:t>
      </w:r>
      <w:r>
        <w:rPr/>
        <w:t xml:space="preserve"> it holds the grant asserted until the consumer drives </w:t>
      </w:r>
      <w:r>
        <w:rPr>
          <w:rStyle w:val="VerbatimChar"/>
        </w:rPr>
        <w:t>grant_ack</w:t>
      </w:r>
      <w:r>
        <w:rPr/>
        <w:t>, so it composes cleanly with any AMBA-style valid/ready handshake. Either mode has a PWM-monbus instrumented variant (</w:t>
      </w:r>
      <w:r>
        <w:rPr>
          <w:rStyle w:val="VerbatimChar"/>
        </w:rPr>
        <w:t>arbiter_rr_pwm_monbus</w:t>
      </w:r>
      <w:r>
        <w:rPr/>
        <w:t xml:space="preserve">, </w:t>
      </w:r>
      <w:r>
        <w:rPr>
          <w:rStyle w:val="VerbatimChar"/>
        </w:rPr>
        <w:t>arbiter_wrr_pwm_monbus</w:t>
      </w:r>
      <w:r>
        <w:rPr/>
        <w:t xml:space="preserve">) that emits per-client occupancy / fairness / starvation packets on the same monbus the AXI monitors use – so if the arbiter is the suspected bottleneck (head-of-line blocking, weighted scheduler not converging, one client starving), you get visibility without bolting on a separate counter block. The instrumented variants carry the same </w:t>
      </w:r>
      <w:r>
        <w:rPr>
          <w:rStyle w:val="VerbatimChar"/>
        </w:rPr>
        <w:t>USE_MONITOR</w:t>
      </w:r>
      <w:r>
        <w:rPr/>
        <w:t xml:space="preserve"> switch as the AXI wrappers below.</w:t>
      </w:r>
    </w:p>
    <w:p>
      <w:pPr>
        <w:pStyle w:val="Compact"/>
        <w:numPr>
          <w:ilvl w:val="0"/>
          <w:numId w:val="29"/>
        </w:numPr>
        <w:rPr/>
      </w:pPr>
      <w:r>
        <w:rPr>
          <w:b/>
          <w:bCs/>
        </w:rPr>
        <w:t>Tweak: internal-bus monitor.</w:t>
      </w:r>
      <w:r>
        <w:rPr/>
        <w:t xml:space="preserve"> Every per-protocol wrapper (</w:t>
      </w:r>
      <w:r>
        <w:rPr>
          <w:rStyle w:val="VerbatimChar"/>
        </w:rPr>
        <w:t>axi4_*_mon</w:t>
      </w:r>
      <w:r>
        <w:rPr/>
        <w:t xml:space="preserve">, </w:t>
      </w:r>
      <w:r>
        <w:rPr>
          <w:rStyle w:val="VerbatimChar"/>
        </w:rPr>
        <w:t>axil4_*_mon</w:t>
      </w:r>
      <w:r>
        <w:rPr/>
        <w:t xml:space="preserve">, </w:t>
      </w:r>
      <w:r>
        <w:rPr>
          <w:rStyle w:val="VerbatimChar"/>
        </w:rPr>
        <w:t>apb_monitor</w:t>
      </w:r>
      <w:r>
        <w:rPr/>
        <w:t xml:space="preserve">, </w:t>
      </w:r>
      <w:r>
        <w:rPr>
          <w:rStyle w:val="VerbatimChar"/>
        </w:rPr>
        <w:t>axis_*_mon</w:t>
      </w:r>
      <w:r>
        <w:rPr/>
        <w:t xml:space="preserve">) is the same module that drops onto an external port – nothing in them depends on the port being SoC-visible. To monitor an internal bus (engine-to-arbiter, pipeline stage, internal converter output, etc.) you instantiate the wrapper inline on that bus and route its </w:t>
      </w:r>
      <w:r>
        <w:rPr>
          <w:rStyle w:val="VerbatimChar"/>
        </w:rPr>
        <w:t>monbus_packet</w:t>
      </w:r>
      <w:r>
        <w:rPr/>
        <w:t xml:space="preserve"> / </w:t>
      </w:r>
      <w:r>
        <w:rPr>
          <w:rStyle w:val="VerbatimChar"/>
        </w:rPr>
        <w:t>monbus_timestamp</w:t>
      </w:r>
      <w:r>
        <w:rPr/>
        <w:t xml:space="preserve"> into the same </w:t>
      </w:r>
      <w:r>
        <w:rPr>
          <w:rStyle w:val="VerbatimChar"/>
        </w:rPr>
        <w:t>monbus_arbiter</w:t>
      </w:r>
      <w:r>
        <w:rPr/>
        <w:t xml:space="preserve"> tree as everything else. The trans-mgr / addr-check / reporter logic doesn’t care whether the bus it watches is “internal” or “external”; it just reports what it sees.</w:t>
      </w:r>
    </w:p>
    <w:p>
      <w:pPr>
        <w:pStyle w:val="Compact"/>
        <w:numPr>
          <w:ilvl w:val="0"/>
          <w:numId w:val="30"/>
        </w:numPr>
        <w:rPr/>
      </w:pPr>
      <w:r>
        <w:rPr>
          <w:b/>
          <w:bCs/>
        </w:rPr>
        <w:t>Important Note:</w:t>
      </w:r>
      <w:r>
        <w:rPr/>
        <w:t xml:space="preserve"> Every interface wrapper and every instrumented arbiter carries a </w:t>
      </w:r>
      <w:r>
        <w:rPr>
          <w:rStyle w:val="VerbatimChar"/>
        </w:rPr>
        <w:t>USE_MONITOR</w:t>
      </w:r>
      <w:r>
        <w:rPr/>
        <w:t xml:space="preserve"> parameter. With </w:t>
      </w:r>
      <w:r>
        <w:rPr>
          <w:rStyle w:val="VerbatimChar"/>
        </w:rPr>
        <w:t>USE_MONITOR = 1'b0</w:t>
      </w:r>
      <w:r>
        <w:rPr/>
        <w:t xml:space="preserve"> the monitor logic is eliminated at elaboration and only tie-off signals remain, so an integrator can pull observability out of an individual instance (or the whole design) by parameter alone, with no RTL edit.</w:t>
      </w:r>
    </w:p>
    <w:p>
      <w:pPr>
        <w:pStyle w:val="Heading3"/>
        <w:spacing w:before="200" w:after="80"/>
        <w:rPr/>
      </w:pPr>
      <w:bookmarkStart w:id="24" w:name="__RefHeading___Toc1751_3147716858"/>
      <w:bookmarkStart w:id="25" w:name="worked-example-stream_char-on-nexys-a7"/>
      <w:bookmarkEnd w:id="24"/>
      <w:r>
        <w:rPr>
          <w:rStyle w:val="SectionNumber"/>
          <w:b/>
          <w:color w:val="404040"/>
          <w:sz w:val="24"/>
        </w:rPr>
        <w:t>2.3.1</w:t>
      </w:r>
      <w:r>
        <w:rPr>
          <w:b/>
          <w:color w:val="404040"/>
          <w:sz w:val="24"/>
        </w:rPr>
        <w:tab/>
        <w:t xml:space="preserve">Worked example: </w:t>
      </w:r>
      <w:r>
        <w:rPr>
          <w:rStyle w:val="VerbatimChar"/>
          <w:b/>
          <w:color w:val="404040"/>
          <w:sz w:val="24"/>
        </w:rPr>
        <w:t>stream_char</w:t>
      </w:r>
      <w:r>
        <w:rPr>
          <w:b/>
          <w:color w:val="404040"/>
          <w:sz w:val="24"/>
        </w:rPr>
        <w:t xml:space="preserve"> on Nexys A7</w:t>
      </w:r>
    </w:p>
    <w:p>
      <w:pPr>
        <w:pStyle w:val="FirstParagraph"/>
        <w:rPr/>
      </w:pPr>
      <w:r>
        <w:rPr>
          <w:sz w:val="20"/>
        </w:rPr>
        <w:t xml:space="preserve">The </w:t>
      </w:r>
      <w:r>
        <w:rPr>
          <w:rStyle w:val="VerbatimChar"/>
          <w:sz w:val="20"/>
        </w:rPr>
        <w:t>stream_characterization</w:t>
      </w:r>
      <w:r>
        <w:rPr>
          <w:sz w:val="20"/>
        </w:rPr>
        <w:t xml:space="preserve"> harness shows the “current default” topology in a real deployment — STREAM as the DUT, an APB-controlled harness around it, and a single </w:t>
      </w:r>
      <w:r>
        <w:rPr>
          <w:rStyle w:val="VerbatimChar"/>
          <w:sz w:val="20"/>
        </w:rPr>
        <w:t>monbus_axil_group</w:t>
      </w:r>
      <w:r>
        <w:rPr>
          <w:sz w:val="20"/>
        </w:rPr>
        <w:t xml:space="preserve"> that bulk-captures every emission into a debug SRAM so the host can pull it back out for offline analysis. Two diagrams: the system wiring first, then the monbus path inside the DUT.</w:t>
      </w:r>
    </w:p>
    <w:p>
      <w:pPr>
        <w:pStyle w:val="Heading4"/>
        <w:spacing w:before="160" w:after="80"/>
        <w:rPr/>
      </w:pPr>
      <w:bookmarkStart w:id="26" w:name="system-wiring"/>
      <w:r>
        <w:rPr>
          <w:rStyle w:val="SectionNumber"/>
          <w:b/>
          <w:i/>
          <w:color w:val="404040"/>
          <w:sz w:val="22"/>
        </w:rPr>
        <w:t>2.3.1.1</w:t>
      </w:r>
      <w:r>
        <w:rPr>
          <w:b/>
          <w:i/>
          <w:color w:val="404040"/>
          <w:sz w:val="22"/>
        </w:rPr>
        <w:tab/>
        <w:t>System wiring</w:t>
      </w:r>
    </w:p>
    <w:p>
      <w:pPr>
        <w:pStyle w:val="CaptionedFigure"/>
        <w:rPr/>
      </w:pPr>
      <w:r>
        <w:rPr/>
        <w:drawing>
          <wp:inline distT="0" distB="0" distL="0" distR="0">
            <wp:extent cx="5334000" cy="3210560"/>
            <wp:effectExtent l="0" t="0" r="0" b="0"/>
            <wp:docPr id="10" name="Picture" descr="stream_char system-level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stream_char system-level topology"/>
                    <pic:cNvPicPr>
                      <a:picLocks noChangeAspect="1" noChangeArrowheads="1"/>
                    </pic:cNvPicPr>
                  </pic:nvPicPr>
                  <pic:blipFill>
                    <a:blip r:embed="rId4"/>
                    <a:stretch>
                      <a:fillRect/>
                    </a:stretch>
                  </pic:blipFill>
                  <pic:spPr bwMode="auto">
                    <a:xfrm>
                      <a:off x="0" y="0"/>
                      <a:ext cx="5334000" cy="3210560"/>
                    </a:xfrm>
                    <a:prstGeom prst="rect">
                      <a:avLst/>
                    </a:prstGeom>
                  </pic:spPr>
                </pic:pic>
              </a:graphicData>
            </a:graphic>
          </wp:inline>
        </w:drawing>
      </w:r>
    </w:p>
    <w:p>
      <w:pPr>
        <w:pStyle w:val="ImageCaption"/>
        <w:rPr/>
      </w:pPr>
      <w:r>
        <w:rPr/>
        <w:t>stream_char system-level topology</w:t>
      </w:r>
    </w:p>
    <w:p>
      <w:pPr>
        <w:pStyle w:val="BodyText"/>
        <w:rPr/>
      </w:pPr>
      <w:r>
        <w:rPr>
          <w:sz w:val="20"/>
        </w:rPr>
        <w:t xml:space="preserve">Source: </w:t>
      </w:r>
      <w:hyperlink r:id="rId5">
        <w:r>
          <w:rPr>
            <w:rStyle w:val="ListLabel146"/>
            <w:rFonts w:ascii="Consolas" w:hAnsi="Consolas"/>
            <w:sz w:val="22"/>
            <w:sz w:val="22"/>
          </w:rPr>
          <w:t>assets/mermaid/stream_char_system.mmd</w:t>
        </w:r>
      </w:hyperlink>
      <w:r>
        <w:rPr>
          <w:sz w:val="20"/>
        </w:rPr>
        <w:t xml:space="preserve"> — regenerate with </w:t>
      </w:r>
      <w:r>
        <w:rPr>
          <w:rStyle w:val="VerbatimChar"/>
          <w:sz w:val="20"/>
        </w:rPr>
        <w:t>mmdc -i stream_char_system.mmd -o stream_char_system.png -w 2400</w:t>
      </w:r>
      <w:r>
        <w:rPr>
          <w:sz w:val="20"/>
        </w:rPr>
        <w:t>.</w:t>
      </w:r>
    </w:p>
    <w:p>
      <w:pPr>
        <w:pStyle w:val="Compact"/>
        <w:numPr>
          <w:ilvl w:val="0"/>
          <w:numId w:val="31"/>
        </w:numPr>
        <w:rPr/>
      </w:pPr>
      <w:r>
        <w:rPr/>
        <w:t xml:space="preserve">The </w:t>
      </w:r>
      <w:r>
        <w:rPr>
          <w:b/>
          <w:bCs/>
        </w:rPr>
        <w:t>host</w:t>
      </w:r>
      <w:r>
        <w:rPr/>
        <w:t xml:space="preserve"> drives APB via UART/AXIL into the bridge xbar, which fans out to four memory-mapped slaves: </w:t>
      </w:r>
      <w:r>
        <w:rPr>
          <w:rStyle w:val="VerbatimChar"/>
        </w:rPr>
        <w:t>harness_csr</w:t>
      </w:r>
      <w:r>
        <w:rPr/>
        <w:t xml:space="preserve"> (configuration registers), </w:t>
      </w:r>
      <w:r>
        <w:rPr>
          <w:rStyle w:val="VerbatimChar"/>
        </w:rPr>
        <w:t>desc_ram</w:t>
      </w:r>
      <w:r>
        <w:rPr/>
        <w:t xml:space="preserve"> (descriptor storage the DUT reads from), </w:t>
      </w:r>
      <w:r>
        <w:rPr>
          <w:rStyle w:val="VerbatimChar"/>
        </w:rPr>
        <w:t>stream_err</w:t>
      </w:r>
      <w:r>
        <w:rPr/>
        <w:t xml:space="preserve"> (error-injection plumbing), and </w:t>
      </w:r>
      <w:r>
        <w:rPr>
          <w:rStyle w:val="VerbatimChar"/>
        </w:rPr>
        <w:t>debug_sram</w:t>
      </w:r>
      <w:r>
        <w:rPr/>
        <w:t xml:space="preserve"> (the destination for bulk MonBus trace capture).</w:t>
      </w:r>
    </w:p>
    <w:p>
      <w:pPr>
        <w:pStyle w:val="Compact"/>
        <w:numPr>
          <w:ilvl w:val="0"/>
          <w:numId w:val="32"/>
        </w:numPr>
        <w:rPr/>
      </w:pPr>
      <w:r>
        <w:rPr/>
        <w:t>The xbar also masters the DUT’s APB config port, which is how channels get kicked off.</w:t>
      </w:r>
    </w:p>
    <w:p>
      <w:pPr>
        <w:pStyle w:val="Compact"/>
        <w:numPr>
          <w:ilvl w:val="0"/>
          <w:numId w:val="33"/>
        </w:numPr>
        <w:rPr/>
      </w:pPr>
      <w:r>
        <w:rPr/>
        <w:t xml:space="preserve">The DUT’s </w:t>
      </w:r>
      <w:r>
        <w:rPr>
          <w:b/>
          <w:bCs/>
        </w:rPr>
        <w:t>memory-side AXI</w:t>
      </w:r>
      <w:r>
        <w:rPr/>
        <w:t xml:space="preserve"> runs through </w:t>
      </w:r>
      <w:r>
        <w:rPr>
          <w:rStyle w:val="VerbatimChar"/>
        </w:rPr>
        <w:t>axi_response_delay</w:t>
      </w:r>
      <w:r>
        <w:rPr/>
        <w:t xml:space="preserve"> (deliberately injects AR/AW/R/W back-pressure for characterization) and is tapped by </w:t>
      </w:r>
      <w:r>
        <w:rPr>
          <w:rStyle w:val="VerbatimChar"/>
        </w:rPr>
        <w:t>axi_bus_meter</w:t>
      </w:r>
      <w:r>
        <w:rPr/>
        <w:t xml:space="preserve"> for per-cycle valid/ready counters. Neither participates in the monbus — they’re side-band observers.</w:t>
      </w:r>
    </w:p>
    <w:p>
      <w:pPr>
        <w:pStyle w:val="Compact"/>
        <w:numPr>
          <w:ilvl w:val="0"/>
          <w:numId w:val="34"/>
        </w:numPr>
        <w:rPr/>
      </w:pPr>
      <w:r>
        <w:rPr/>
        <w:t xml:space="preserve">The DUT’s </w:t>
      </w:r>
      <w:r>
        <w:rPr>
          <w:rStyle w:val="VerbatimChar"/>
        </w:rPr>
        <w:t>m_axil_mon</w:t>
      </w:r>
      <w:r>
        <w:rPr/>
        <w:t xml:space="preserve"> master port writes its bulk trace records back into the xbar, which routes them to </w:t>
      </w:r>
      <w:r>
        <w:rPr>
          <w:rStyle w:val="VerbatimChar"/>
        </w:rPr>
        <w:t>debug_sram</w:t>
      </w:r>
      <w:r>
        <w:rPr/>
        <w:t xml:space="preserve">. The </w:t>
      </w:r>
      <w:r>
        <w:rPr>
          <w:rStyle w:val="VerbatimChar"/>
        </w:rPr>
        <w:t>s_mon_axil</w:t>
      </w:r>
      <w:r>
        <w:rPr/>
        <w:t xml:space="preserve"> slave port (with IRQ) is wired in parallel for real-time consumption, but the smoke tests primarily exercise the bulk path.</w:t>
      </w:r>
      <w:bookmarkEnd w:id="26"/>
    </w:p>
    <w:p>
      <w:pPr>
        <w:pStyle w:val="Heading4"/>
        <w:spacing w:before="160" w:after="80"/>
        <w:rPr/>
      </w:pPr>
      <w:bookmarkStart w:id="27" w:name="monbus-path-inside-the-dut"/>
      <w:r>
        <w:rPr>
          <w:rStyle w:val="SectionNumber"/>
          <w:b/>
          <w:i/>
          <w:color w:val="404040"/>
          <w:sz w:val="22"/>
        </w:rPr>
        <w:t>2.3.1.2</w:t>
      </w:r>
      <w:r>
        <w:rPr>
          <w:b/>
          <w:i/>
          <w:color w:val="404040"/>
          <w:sz w:val="22"/>
        </w:rPr>
        <w:tab/>
        <w:t>Monbus path inside the DUT</w:t>
      </w:r>
    </w:p>
    <w:p>
      <w:pPr>
        <w:pStyle w:val="CaptionedFigure"/>
        <w:rPr/>
      </w:pPr>
      <w:r>
        <w:rPr/>
        <w:drawing>
          <wp:inline distT="0" distB="0" distL="0" distR="0">
            <wp:extent cx="5334000" cy="5584190"/>
            <wp:effectExtent l="0" t="0" r="0" b="0"/>
            <wp:docPr id="11" name="Image2" descr="stream_char DUT-internal mon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stream_char DUT-internal monbus"/>
                    <pic:cNvPicPr>
                      <a:picLocks noChangeAspect="1" noChangeArrowheads="1"/>
                    </pic:cNvPicPr>
                  </pic:nvPicPr>
                  <pic:blipFill>
                    <a:blip r:embed="rId6"/>
                    <a:stretch>
                      <a:fillRect/>
                    </a:stretch>
                  </pic:blipFill>
                  <pic:spPr bwMode="auto">
                    <a:xfrm>
                      <a:off x="0" y="0"/>
                      <a:ext cx="5334000" cy="5584190"/>
                    </a:xfrm>
                    <a:prstGeom prst="rect">
                      <a:avLst/>
                    </a:prstGeom>
                  </pic:spPr>
                </pic:pic>
              </a:graphicData>
            </a:graphic>
          </wp:inline>
        </w:drawing>
      </w:r>
    </w:p>
    <w:p>
      <w:pPr>
        <w:pStyle w:val="ImageCaption"/>
        <w:rPr/>
      </w:pPr>
      <w:r>
        <w:rPr/>
        <w:t>stream_char DUT-internal monbus</w:t>
      </w:r>
    </w:p>
    <w:p>
      <w:pPr>
        <w:pStyle w:val="BodyText"/>
        <w:rPr/>
      </w:pPr>
      <w:r>
        <w:rPr>
          <w:sz w:val="20"/>
        </w:rPr>
        <w:t xml:space="preserve">Source: </w:t>
      </w:r>
      <w:hyperlink r:id="rId7">
        <w:r>
          <w:rPr>
            <w:rStyle w:val="ListLabel146"/>
            <w:rFonts w:ascii="Consolas" w:hAnsi="Consolas"/>
            <w:sz w:val="22"/>
            <w:sz w:val="22"/>
          </w:rPr>
          <w:t>assets/mermaid/stream_char_dut.mmd</w:t>
        </w:r>
      </w:hyperlink>
      <w:r>
        <w:rPr>
          <w:sz w:val="20"/>
        </w:rPr>
        <w:t xml:space="preserve"> — regenerate with </w:t>
      </w:r>
      <w:r>
        <w:rPr>
          <w:rStyle w:val="VerbatimChar"/>
          <w:sz w:val="20"/>
        </w:rPr>
        <w:t>mmdc -i stream_char_dut.mmd -o stream_char_dut.png -w 2400</w:t>
      </w:r>
      <w:r>
        <w:rPr>
          <w:sz w:val="20"/>
        </w:rPr>
        <w:t>.</w:t>
      </w:r>
    </w:p>
    <w:p>
      <w:pPr>
        <w:pStyle w:val="Compact"/>
        <w:numPr>
          <w:ilvl w:val="0"/>
          <w:numId w:val="35"/>
        </w:numPr>
        <w:rPr/>
      </w:pPr>
      <w:r>
        <w:rPr>
          <w:b/>
          <w:bCs/>
        </w:rPr>
        <w:t>Per-engine wrappers (orange):</w:t>
      </w:r>
      <w:r>
        <w:rPr/>
        <w:t xml:space="preserve"> Each AXI engine inside the DUT is wrapped by a per-direction monitor (</w:t>
      </w:r>
      <w:r>
        <w:rPr>
          <w:rStyle w:val="VerbatimChar"/>
        </w:rPr>
        <w:t>axi4_master_rd_mon</w:t>
      </w:r>
      <w:r>
        <w:rPr/>
        <w:t xml:space="preserve"> / </w:t>
      </w:r>
      <w:r>
        <w:rPr>
          <w:rStyle w:val="VerbatimChar"/>
        </w:rPr>
        <w:t>axi4_master_wr_mon</w:t>
      </w:r>
      <w:r>
        <w:rPr/>
        <w:t>). These watch the actual memory-facing AXI bus, not the internal datapath — that’s where SLVERR / DECERR / timeout events would surface.</w:t>
      </w:r>
    </w:p>
    <w:p>
      <w:pPr>
        <w:pStyle w:val="Compact"/>
        <w:numPr>
          <w:ilvl w:val="0"/>
          <w:numId w:val="36"/>
        </w:numPr>
        <w:rPr/>
      </w:pPr>
      <w:r>
        <w:rPr>
          <w:b/>
          <w:bCs/>
        </w:rPr>
        <w:t>Internal arbiter (orange):</w:t>
      </w:r>
      <w:r>
        <w:rPr/>
        <w:t xml:space="preserve"> A </w:t>
      </w:r>
      <w:r>
        <w:rPr>
          <w:rStyle w:val="VerbatimChar"/>
        </w:rPr>
        <w:t>monbus_arbiter</w:t>
      </w:r>
      <w:r>
        <w:rPr/>
        <w:t xml:space="preserve"> inside the DUT collapses all per-channel monitor streams into a single channel for the group. Packet + timestamp travel atomically through its 192-bit skid.</w:t>
      </w:r>
    </w:p>
    <w:p>
      <w:pPr>
        <w:pStyle w:val="Compact"/>
        <w:numPr>
          <w:ilvl w:val="0"/>
          <w:numId w:val="37"/>
        </w:numPr>
        <w:rPr/>
      </w:pPr>
      <w:r>
        <w:rPr>
          <w:b/>
          <w:bCs/>
        </w:rPr>
        <w:t>Group + drains (blue):</w:t>
      </w:r>
      <w:r>
        <w:rPr/>
        <w:t xml:space="preserve"> </w:t>
      </w:r>
      <w:r>
        <w:rPr>
          <w:rStyle w:val="VerbatimChar"/>
        </w:rPr>
        <w:t>monbus_axil_group</w:t>
      </w:r>
      <w:r>
        <w:rPr/>
        <w:t xml:space="preserve"> runs the free-running 64-bit timestamp counter and stamps each arrival. It exposes both the </w:t>
      </w:r>
      <w:r>
        <w:rPr>
          <w:rStyle w:val="VerbatimChar"/>
        </w:rPr>
        <w:t>m_axil_mon</w:t>
      </w:r>
      <w:r>
        <w:rPr/>
        <w:t xml:space="preserve"> master drain (bulk trace into </w:t>
      </w:r>
      <w:r>
        <w:rPr>
          <w:rStyle w:val="VerbatimChar"/>
        </w:rPr>
        <w:t>debug_sram</w:t>
      </w:r>
      <w:r>
        <w:rPr/>
        <w:t xml:space="preserve">) and the </w:t>
      </w:r>
      <w:r>
        <w:rPr>
          <w:rStyle w:val="VerbatimChar"/>
        </w:rPr>
        <w:t>s_mon_axil</w:t>
      </w:r>
      <w:r>
        <w:rPr/>
        <w:t xml:space="preserve"> slave drain with IRQ (real-time consumption by the host).</w:t>
      </w:r>
    </w:p>
    <w:p>
      <w:pPr>
        <w:pStyle w:val="FirstParagraph"/>
        <w:rPr/>
      </w:pPr>
      <w:r>
        <w:rPr>
          <w:sz w:val="20"/>
        </w:rPr>
        <w:t>This is the topology assumed by §2’s “current default” bullet. The two tweaks below it (mid-fabric monitors, root-of-tree only) correspond to moving the orange boxes earlier or later in the data path.</w:t>
      </w:r>
    </w:p>
    <w:p>
      <w:pPr>
        <w:pStyle w:val="Normal"/>
        <w:rPr/>
      </w:pPr>
      <w:bookmarkStart w:id="28" w:name="where-to-insert-monitoring"/>
      <w:bookmarkStart w:id="29" w:name="worked-example-stream_char-on-nexys-a7"/>
      <w:bookmarkStart w:id="30" w:name="monbus-path-inside-the-dut"/>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bookmarkEnd w:id="30"/>
    </w:p>
    <w:p>
      <w:pPr>
        <w:pStyle w:val="Heading2"/>
        <w:pBdr>
          <w:bottom w:val="single" w:sz="12" w:space="0" w:color="228B22"/>
        </w:pBdr>
        <w:spacing w:before="280" w:after="80"/>
        <w:rPr/>
      </w:pPr>
      <w:bookmarkStart w:id="31" w:name="__RefHeading___Toc1753_3147716858"/>
      <w:bookmarkStart w:id="32" w:name="timestamp-policy"/>
      <w:bookmarkEnd w:id="31"/>
      <w:r>
        <w:rPr>
          <w:rStyle w:val="SectionNumber"/>
          <w:b/>
          <w:color w:val="228B22"/>
          <w:sz w:val="28"/>
        </w:rPr>
        <w:t>2.4</w:t>
      </w:r>
      <w:r>
        <w:rPr>
          <w:b/>
          <w:color w:val="228B22"/>
          <w:sz w:val="28"/>
        </w:rPr>
        <w:tab/>
        <w:t>Timestamp policy</w:t>
      </w:r>
    </w:p>
    <w:p>
      <w:pPr>
        <w:pStyle w:val="Compact"/>
        <w:numPr>
          <w:ilvl w:val="0"/>
          <w:numId w:val="38"/>
        </w:numPr>
        <w:rPr/>
      </w:pPr>
      <w:r>
        <w:rPr>
          <w:b/>
          <w:bCs/>
        </w:rPr>
        <w:t>Current default:</w:t>
      </w:r>
      <w:r>
        <w:rPr/>
        <w:t xml:space="preserve"> monbus_axil_group runs a free-running 64-bit counter clocked off the </w:t>
      </w:r>
      <w:r>
        <w:rPr>
          <w:b/>
          <w:bCs/>
        </w:rPr>
        <w:t>local clock domain</w:t>
      </w:r>
      <w:r>
        <w:rPr/>
        <w:t xml:space="preserve"> — so the timestamp is effectively a cycle count, dense at the bottom (one tick per local edge) and meaningless across clock domains. At today’s 100 MHz that’s ~5.8 years before wrap, which is fine for any single capture window; the limitation is that two captures from different domains can’t be correlated without re-syncing. Records are always 3 beats: </w:t>
      </w:r>
      <w:r>
        <w:rPr>
          <w:rStyle w:val="VerbatimChar"/>
        </w:rPr>
        <w:t>[pkt[63:0], pkt[127:64], ts[63:0]]</w:t>
      </w:r>
      <w:r>
        <w:rPr/>
        <w:t>. The endpoints (parser, host scripts) do not care where the timestamp originated — they treat it as an opaque ordering key.</w:t>
      </w:r>
    </w:p>
    <w:p>
      <w:pPr>
        <w:pStyle w:val="Compact"/>
        <w:numPr>
          <w:ilvl w:val="0"/>
          <w:numId w:val="39"/>
        </w:numPr>
        <w:rPr/>
      </w:pPr>
      <w:r>
        <w:rPr>
          <w:b/>
          <w:bCs/>
        </w:rPr>
        <w:t>Tweak: global μsec upper bits.</w:t>
      </w:r>
      <w:r>
        <w:rPr/>
        <w:t xml:space="preserve"> The counter is contained entirely inside </w:t>
      </w:r>
      <w:r>
        <w:rPr>
          <w:rStyle w:val="VerbatimChar"/>
        </w:rPr>
        <w:t>monbus_axil_group</w:t>
      </w:r>
      <w:r>
        <w:rPr/>
        <w:t xml:space="preserve">; swapping its source is a localized RTL change with no impact on the packet format, the arbiter, or the consumer-side decoder. The most common upgrade path is to feed an externally-provided microsecond counter into the top of the field and keep the local cycle counter at the bottom, e.g. </w:t>
      </w:r>
      <w:r>
        <w:rPr>
          <w:rStyle w:val="VerbatimChar"/>
        </w:rPr>
        <w:t>ts = {global_us[47:0], local_cyc[15:0]}</w:t>
      </w:r>
      <w:r>
        <w:rPr/>
        <w:t xml:space="preserve">. Crossing the boundary needs a one-time CDC synchronizer at the input of the group; once latched there, the rest of the system stays unchanged. The split point is configurable per deployment — </w:t>
      </w:r>
      <w:r>
        <w:rPr>
          <w:rStyle w:val="VerbatimChar"/>
        </w:rPr>
        <w:t>{usec[39:0], cyc[23:0]}</w:t>
      </w:r>
      <w:r>
        <w:rPr/>
        <w:t xml:space="preserve"> is a common alternative when the local clock is slow enough that 24 bits of cycle resolution covers an interesting window.</w:t>
      </w:r>
    </w:p>
    <w:p>
      <w:pPr>
        <w:pStyle w:val="Compact"/>
        <w:numPr>
          <w:ilvl w:val="0"/>
          <w:numId w:val="40"/>
        </w:numPr>
        <w:rPr/>
      </w:pPr>
      <w:r>
        <w:rPr>
          <w:b/>
          <w:bCs/>
        </w:rPr>
        <w:t>Tweak: full external time source.</w:t>
      </w:r>
      <w:r>
        <w:rPr/>
        <w:t xml:space="preserve"> Some deployments want PTP / IEEE-1588 time end-to-end. Replace the group’s internal counter entirely with a synchronizer onto the external time bus. Same drop-in point as the hybrid case; record layout stays 3 beats.</w:t>
      </w:r>
    </w:p>
    <w:p>
      <w:pPr>
        <w:pStyle w:val="Compact"/>
        <w:numPr>
          <w:ilvl w:val="0"/>
          <w:numId w:val="41"/>
        </w:numPr>
        <w:rPr/>
      </w:pPr>
      <w:r>
        <w:rPr>
          <w:b/>
          <w:bCs/>
        </w:rPr>
        <w:t>Tweak: hybrid global + local, formalized.</w:t>
      </w:r>
      <w:r>
        <w:rPr/>
        <w:t xml:space="preserve"> A natural extension of the μsec-upper-bits direction is to distribute that global counter to every monitor wrapper (not just the group) and have each wrapper attach the global time at emission rather than at drain. This gains cross-subsystem correlation precision (no jitter from arbiter delay) at the cost of broadcasting a wide bus to every wrapper. The transport layer still doesn’t change.</w:t>
      </w:r>
    </w:p>
    <w:p>
      <w:pPr>
        <w:pStyle w:val="Normal"/>
        <w:rPr/>
      </w:pPr>
      <w:bookmarkStart w:id="33" w:name="timestamp-polic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pBdr>
          <w:bottom w:val="single" w:sz="12" w:space="0" w:color="228B22"/>
        </w:pBdr>
        <w:spacing w:before="280" w:after="80"/>
        <w:rPr/>
      </w:pPr>
      <w:bookmarkStart w:id="34" w:name="__RefHeading___Toc1755_3147716858"/>
      <w:bookmarkStart w:id="35" w:name="drain-path-selection"/>
      <w:bookmarkEnd w:id="34"/>
      <w:r>
        <w:rPr>
          <w:rStyle w:val="SectionNumber"/>
          <w:b/>
          <w:color w:val="228B22"/>
          <w:sz w:val="28"/>
        </w:rPr>
        <w:t>2.5</w:t>
      </w:r>
      <w:r>
        <w:rPr>
          <w:b/>
          <w:color w:val="228B22"/>
          <w:sz w:val="28"/>
        </w:rPr>
        <w:tab/>
        <w:t>Drain path selection</w:t>
      </w:r>
    </w:p>
    <w:p>
      <w:pPr>
        <w:pStyle w:val="Compact"/>
        <w:numPr>
          <w:ilvl w:val="0"/>
          <w:numId w:val="42"/>
        </w:numPr>
        <w:rPr/>
      </w:pPr>
      <w:r>
        <w:rPr>
          <w:b/>
          <w:bCs/>
        </w:rPr>
        <w:t>Current default:</w:t>
      </w:r>
      <w:r>
        <w:rPr/>
        <w:t xml:space="preserve"> monbus_axil_group exposes two drain paths –</w:t>
      </w:r>
    </w:p>
    <w:p>
      <w:pPr>
        <w:pStyle w:val="Compact"/>
        <w:numPr>
          <w:ilvl w:val="1"/>
          <w:numId w:val="43"/>
        </w:numPr>
        <w:rPr/>
      </w:pPr>
      <w:r>
        <w:rPr>
          <w:rStyle w:val="VerbatimChar"/>
        </w:rPr>
        <w:t>s_mon_axil_*</w:t>
      </w:r>
      <w:r>
        <w:rPr/>
        <w:t xml:space="preserve"> (slave AXIL): IRQ-driven, slice-counter read, intended for CPU consumption.</w:t>
      </w:r>
    </w:p>
    <w:p>
      <w:pPr>
        <w:pStyle w:val="Compact"/>
        <w:numPr>
          <w:ilvl w:val="1"/>
          <w:numId w:val="44"/>
        </w:numPr>
        <w:rPr/>
      </w:pPr>
      <w:r>
        <w:rPr>
          <w:rStyle w:val="VerbatimChar"/>
        </w:rPr>
        <w:t>m_mon_axil_*</w:t>
      </w:r>
      <w:r>
        <w:rPr/>
        <w:t xml:space="preserve"> (master AXIL): bulk-trace writes to a memory region, intended for post-mortem capture (e.g. stream_char’s debug_sram). Per-packet-type routing is controlled by </w:t>
      </w:r>
      <w:r>
        <w:rPr>
          <w:rStyle w:val="VerbatimChar"/>
        </w:rPr>
        <w:t>cfg_*_err_select</w:t>
      </w:r>
      <w:r>
        <w:rPr/>
        <w:t>.</w:t>
      </w:r>
    </w:p>
    <w:p>
      <w:pPr>
        <w:pStyle w:val="Compact"/>
        <w:numPr>
          <w:ilvl w:val="0"/>
          <w:numId w:val="45"/>
        </w:numPr>
        <w:rPr/>
      </w:pPr>
      <w:r>
        <w:rPr>
          <w:b/>
          <w:bCs/>
        </w:rPr>
        <w:t>Tweak: hybrid.</w:t>
      </w:r>
      <w:r>
        <w:rPr/>
        <w:t xml:space="preserve"> Route PktTypeError + PktTypeTimeout to the IRQ path (mix, not flood), everything else to the bulk path. This is what stream_char’s smoke tests already exercise.</w:t>
      </w:r>
    </w:p>
    <w:p>
      <w:pPr>
        <w:pStyle w:val="Compact"/>
        <w:numPr>
          <w:ilvl w:val="0"/>
          <w:numId w:val="46"/>
        </w:numPr>
        <w:rPr/>
      </w:pPr>
      <w:r>
        <w:rPr>
          <w:b/>
          <w:bCs/>
        </w:rPr>
        <w:t>Tweak: drop one path.</w:t>
      </w:r>
      <w:r>
        <w:rPr/>
        <w:t xml:space="preserve"> A deployment that only wants forensic capture can tie off </w:t>
      </w:r>
      <w:r>
        <w:rPr>
          <w:rStyle w:val="VerbatimChar"/>
        </w:rPr>
        <w:t>s_mon_axil_*</w:t>
      </w:r>
      <w:r>
        <w:rPr/>
        <w:t xml:space="preserve"> and let everything flow through the bulk-trace path; conversely a deployment that only cares about real-time alerts can tie off </w:t>
      </w:r>
      <w:r>
        <w:rPr>
          <w:rStyle w:val="VerbatimChar"/>
        </w:rPr>
        <w:t>m_mon_axil_*</w:t>
      </w:r>
      <w:r>
        <w:rPr/>
        <w:t>. The group’s filter logic cleanly handles either configuration.</w:t>
      </w:r>
    </w:p>
    <w:p>
      <w:pPr>
        <w:pStyle w:val="Normal"/>
        <w:rPr/>
      </w:pPr>
      <w:bookmarkStart w:id="36" w:name="drain-path-selection"/>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p>
    <w:p>
      <w:pPr>
        <w:pStyle w:val="Heading2"/>
        <w:pBdr>
          <w:bottom w:val="single" w:sz="12" w:space="0" w:color="228B22"/>
        </w:pBdr>
        <w:spacing w:before="280" w:after="80"/>
        <w:rPr/>
      </w:pPr>
      <w:bookmarkStart w:id="37" w:name="__RefHeading___Toc1757_3147716858"/>
      <w:bookmarkStart w:id="38" w:name="packet-type-filtering"/>
      <w:bookmarkEnd w:id="37"/>
      <w:r>
        <w:rPr>
          <w:rStyle w:val="SectionNumber"/>
          <w:b/>
          <w:color w:val="228B22"/>
          <w:sz w:val="28"/>
        </w:rPr>
        <w:t>2.6</w:t>
      </w:r>
      <w:r>
        <w:rPr>
          <w:b/>
          <w:color w:val="228B22"/>
          <w:sz w:val="28"/>
        </w:rPr>
        <w:tab/>
        <w:t>Packet-type filtering</w:t>
      </w:r>
    </w:p>
    <w:p>
      <w:pPr>
        <w:pStyle w:val="Compact"/>
        <w:numPr>
          <w:ilvl w:val="0"/>
          <w:numId w:val="47"/>
        </w:numPr>
        <w:rPr/>
      </w:pPr>
      <w:r>
        <w:rPr>
          <w:b/>
          <w:bCs/>
        </w:rPr>
        <w:t>Current default:</w:t>
      </w:r>
      <w:r>
        <w:rPr/>
        <w:t xml:space="preserve"> all per-port and group masks default to 0 (= no drop, no mask). Integrators selectively raise bits to suppress noise.</w:t>
      </w:r>
    </w:p>
    <w:p>
      <w:pPr>
        <w:pStyle w:val="Compact"/>
        <w:numPr>
          <w:ilvl w:val="0"/>
          <w:numId w:val="48"/>
        </w:numPr>
        <w:rPr/>
      </w:pPr>
      <w:r>
        <w:rPr>
          <w:b/>
          <w:bCs/>
        </w:rPr>
        <w:t>Pitfall:</w:t>
      </w:r>
      <w:r>
        <w:rPr/>
        <w:t xml:space="preserve"> enabling completion + performance packet types simultaneously overwhelms the bus. See </w:t>
      </w:r>
      <w:r>
        <w:rPr>
          <w:rStyle w:val="VerbatimChar"/>
        </w:rPr>
        <w:t>docs/AXI_Monitor_Configuration_Guide.md</w:t>
      </w:r>
      <w:r>
        <w:rPr/>
        <w:t>.</w:t>
      </w:r>
    </w:p>
    <w:p>
      <w:pPr>
        <w:pStyle w:val="Compact"/>
        <w:numPr>
          <w:ilvl w:val="0"/>
          <w:numId w:val="49"/>
        </w:numPr>
        <w:rPr/>
      </w:pPr>
      <w:r>
        <w:rPr>
          <w:b/>
          <w:bCs/>
        </w:rPr>
        <w:t>Tweak:</w:t>
      </w:r>
      <w:r>
        <w:rPr/>
        <w:t xml:space="preserve"> profile-driven masks – expose </w:t>
      </w:r>
      <w:r>
        <w:rPr>
          <w:rStyle w:val="VerbatimChar"/>
        </w:rPr>
        <w:t>pkt_mask</w:t>
      </w:r>
      <w:r>
        <w:rPr/>
        <w:t xml:space="preserve"> / </w:t>
      </w:r>
      <w:r>
        <w:rPr>
          <w:rStyle w:val="VerbatimChar"/>
        </w:rPr>
        <w:t>err_select</w:t>
      </w:r>
      <w:r>
        <w:rPr/>
        <w:t xml:space="preserve"> as CSRs on a control APB, let firmware reconfigure at runtime depending on whether the system is in functional-verify mode, perf-tuning mode, or production-quiet mode.</w:t>
      </w:r>
    </w:p>
    <w:p>
      <w:pPr>
        <w:pStyle w:val="Normal"/>
        <w:rPr/>
      </w:pPr>
      <w:bookmarkStart w:id="39" w:name="packet-type-filtering"/>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p>
    <w:p>
      <w:pPr>
        <w:pStyle w:val="Heading2"/>
        <w:pBdr>
          <w:bottom w:val="single" w:sz="12" w:space="0" w:color="228B22"/>
        </w:pBdr>
        <w:spacing w:before="280" w:after="80"/>
        <w:rPr/>
      </w:pPr>
      <w:bookmarkStart w:id="40" w:name="__RefHeading___Toc1759_3147716858"/>
      <w:bookmarkStart w:id="41" w:name="aggregation-topology"/>
      <w:bookmarkEnd w:id="40"/>
      <w:r>
        <w:rPr>
          <w:rStyle w:val="SectionNumber"/>
          <w:b/>
          <w:color w:val="228B22"/>
          <w:sz w:val="28"/>
        </w:rPr>
        <w:t>2.7</w:t>
      </w:r>
      <w:r>
        <w:rPr>
          <w:b/>
          <w:color w:val="228B22"/>
          <w:sz w:val="28"/>
        </w:rPr>
        <w:tab/>
        <w:t>Aggregation topology</w:t>
      </w:r>
    </w:p>
    <w:p>
      <w:pPr>
        <w:pStyle w:val="Compact"/>
        <w:numPr>
          <w:ilvl w:val="0"/>
          <w:numId w:val="50"/>
        </w:numPr>
        <w:rPr/>
      </w:pPr>
      <w:r>
        <w:rPr>
          <w:b/>
          <w:bCs/>
        </w:rPr>
        <w:t>Current default:</w:t>
      </w:r>
      <w:r>
        <w:rPr/>
        <w:t xml:space="preserve"> a tree of </w:t>
      </w:r>
      <w:r>
        <w:rPr>
          <w:rStyle w:val="VerbatimChar"/>
        </w:rPr>
        <w:t>monbus_arbiter</w:t>
      </w:r>
      <w:r>
        <w:rPr/>
        <w:t xml:space="preserve"> instances merges per-wrapper streams into the bridge-level monbus_axil_group input. Arbiter policy is round-robin with grant locking on the multi-beat packets.</w:t>
      </w:r>
    </w:p>
    <w:p>
      <w:pPr>
        <w:pStyle w:val="Compact"/>
        <w:numPr>
          <w:ilvl w:val="0"/>
          <w:numId w:val="51"/>
        </w:numPr>
        <w:rPr/>
      </w:pPr>
      <w:r>
        <w:rPr>
          <w:b/>
          <w:bCs/>
        </w:rPr>
        <w:t>Tweak: weighted.</w:t>
      </w:r>
      <w:r>
        <w:rPr/>
        <w:t xml:space="preserve"> Replace the standard arbiter with the WRR variant (</w:t>
      </w:r>
      <w:r>
        <w:rPr>
          <w:rStyle w:val="VerbatimChar"/>
        </w:rPr>
        <w:t>arbiter_wrr_pwm_monbus</w:t>
      </w:r>
      <w:r>
        <w:rPr/>
        <w:t>) when one wrapper is known to be much higher-volume than others (e.g. a 512b sink path vs. a 32b config-CPU read path) and the integrator wants to bound starvation on the low-volume side.</w:t>
      </w:r>
    </w:p>
    <w:p>
      <w:pPr>
        <w:pStyle w:val="Compact"/>
        <w:numPr>
          <w:ilvl w:val="0"/>
          <w:numId w:val="52"/>
        </w:numPr>
        <w:rPr/>
      </w:pPr>
      <w:r>
        <w:rPr>
          <w:b/>
          <w:bCs/>
        </w:rPr>
        <w:t>Tweak: protocol partitioning.</w:t>
      </w:r>
      <w:r>
        <w:rPr/>
        <w:t xml:space="preserve"> Use separate monbus_axil_group instances per protocol family (one for AXI, one for AXIS) when the group’s filter masks aren’t enough – e.g. when each protocol has its own consumer FIFO budget. The bridge generator already supports the monbus_axis_group sibling.</w:t>
      </w:r>
    </w:p>
    <w:p>
      <w:pPr>
        <w:pStyle w:val="Normal"/>
        <w:rPr/>
      </w:pPr>
      <w:bookmarkStart w:id="42" w:name="aggregation-topolog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p>
    <w:p>
      <w:pPr>
        <w:pStyle w:val="Heading2"/>
        <w:pBdr>
          <w:bottom w:val="single" w:sz="12" w:space="0" w:color="228B22"/>
        </w:pBdr>
        <w:spacing w:before="280" w:after="80"/>
        <w:rPr/>
      </w:pPr>
      <w:bookmarkStart w:id="43" w:name="__RefHeading___Toc1761_3147716858"/>
      <w:bookmarkStart w:id="44" w:name="test-characterization-and-verification"/>
      <w:bookmarkEnd w:id="43"/>
      <w:r>
        <w:rPr>
          <w:rStyle w:val="SectionNumber"/>
          <w:b/>
          <w:color w:val="228B22"/>
          <w:sz w:val="28"/>
        </w:rPr>
        <w:t>2.8</w:t>
      </w:r>
      <w:r>
        <w:rPr>
          <w:b/>
          <w:color w:val="228B22"/>
          <w:sz w:val="28"/>
        </w:rPr>
        <w:tab/>
        <w:t>Test, characterization, and verification</w:t>
      </w:r>
    </w:p>
    <w:p>
      <w:pPr>
        <w:pStyle w:val="FirstParagraph"/>
        <w:rPr/>
      </w:pPr>
      <w:r>
        <w:rPr>
          <w:sz w:val="20"/>
        </w:rPr>
        <w:t>The monitor system is exercised at four distinct levels, each catching a different class of bug. Integrators rolling out a new deployment should be aware of all four — the first three are required to ship; the fourth is where real-world numbers come from.</w:t>
      </w:r>
    </w:p>
    <w:p>
      <w:pPr>
        <w:pStyle w:val="Heading3"/>
        <w:spacing w:before="200" w:after="80"/>
        <w:rPr/>
      </w:pPr>
      <w:bookmarkStart w:id="45" w:name="__RefHeading___Toc1763_3147716858"/>
      <w:bookmarkStart w:id="46" w:name="unit-level-cocotb-tests"/>
      <w:bookmarkEnd w:id="45"/>
      <w:r>
        <w:rPr>
          <w:rStyle w:val="SectionNumber"/>
          <w:b/>
          <w:color w:val="404040"/>
          <w:sz w:val="24"/>
        </w:rPr>
        <w:t>2.8.1</w:t>
      </w:r>
      <w:r>
        <w:rPr>
          <w:b/>
          <w:color w:val="404040"/>
          <w:sz w:val="24"/>
        </w:rPr>
        <w:tab/>
        <w:t>Unit-level cocotb tests</w:t>
      </w:r>
    </w:p>
    <w:p>
      <w:pPr>
        <w:pStyle w:val="FirstParagraph"/>
        <w:rPr/>
      </w:pPr>
      <w:r>
        <w:rPr>
          <w:b/>
          <w:bCs/>
          <w:sz w:val="20"/>
        </w:rPr>
        <w:t>Where:</w:t>
      </w:r>
      <w:r>
        <w:rPr>
          <w:sz w:val="20"/>
        </w:rPr>
        <w:t xml:space="preserve"> </w:t>
      </w:r>
      <w:r>
        <w:rPr>
          <w:rStyle w:val="VerbatimChar"/>
          <w:sz w:val="20"/>
        </w:rPr>
        <w:t>val/amba/test_axi4_*_mon.py</w:t>
      </w:r>
      <w:r>
        <w:rPr>
          <w:sz w:val="20"/>
        </w:rPr>
        <w:t xml:space="preserve">, </w:t>
      </w:r>
      <w:r>
        <w:rPr>
          <w:rStyle w:val="VerbatimChar"/>
          <w:sz w:val="20"/>
        </w:rPr>
        <w:t>val/amba/test_apb_monitor.py</w:t>
      </w:r>
      <w:r>
        <w:rPr>
          <w:sz w:val="20"/>
        </w:rPr>
        <w:t xml:space="preserve">, </w:t>
      </w:r>
      <w:r>
        <w:rPr>
          <w:rStyle w:val="VerbatimChar"/>
          <w:sz w:val="20"/>
        </w:rPr>
        <w:t>projects/components/{stream,bridge,rapids}/dv/tests/</w:t>
      </w:r>
      <w:r>
        <w:rPr>
          <w:sz w:val="20"/>
        </w:rPr>
        <w:t>.</w:t>
      </w:r>
    </w:p>
    <w:p>
      <w:pPr>
        <w:pStyle w:val="BodyText"/>
        <w:rPr/>
      </w:pPr>
      <w:r>
        <w:rPr>
          <w:sz w:val="20"/>
        </w:rPr>
        <w:t xml:space="preserve">Each per-protocol wrapper has a directed cocotb test that drives the functional bus, injects faults (SLVERR / DECERR / orphan / range violation / starve-the-handshake), and asserts that the expected packets arrive on </w:t>
      </w:r>
      <w:r>
        <w:rPr>
          <w:rStyle w:val="VerbatimChar"/>
          <w:sz w:val="20"/>
        </w:rPr>
        <w:t>monbus_packet</w:t>
      </w:r>
      <w:r>
        <w:rPr>
          <w:sz w:val="20"/>
        </w:rPr>
        <w:t xml:space="preserve"> / </w:t>
      </w:r>
      <w:r>
        <w:rPr>
          <w:rStyle w:val="VerbatimChar"/>
          <w:sz w:val="20"/>
        </w:rPr>
        <w:t>monbus_timestamp</w:t>
      </w:r>
      <w:r>
        <w:rPr>
          <w:sz w:val="20"/>
        </w:rPr>
        <w:t xml:space="preserve"> with the right </w:t>
      </w:r>
      <w:r>
        <w:rPr>
          <w:rStyle w:val="VerbatimChar"/>
          <w:sz w:val="20"/>
        </w:rPr>
        <w:t>(packet_type, event_code, agent_id)</w:t>
      </w:r>
      <w:r>
        <w:rPr>
          <w:sz w:val="20"/>
        </w:rPr>
        <w:t xml:space="preserve">. The Python decoder in </w:t>
      </w:r>
      <w:r>
        <w:rPr>
          <w:rStyle w:val="VerbatimChar"/>
          <w:sz w:val="20"/>
        </w:rPr>
        <w:t>bin/TBClasses/monbus/</w:t>
      </w:r>
      <w:r>
        <w:rPr>
          <w:sz w:val="20"/>
        </w:rPr>
        <w:t xml:space="preserve"> (</w:t>
      </w:r>
      <w:r>
        <w:rPr>
          <w:rStyle w:val="VerbatimChar"/>
          <w:sz w:val="20"/>
        </w:rPr>
        <w:t>from TBClasses.monbus import parse, parse_stream</w:t>
      </w:r>
      <w:r>
        <w:rPr>
          <w:sz w:val="20"/>
        </w:rPr>
        <w:t>) is the canonical reader — never inline the bit-shifts in a TB, since the packet layout has been migrated once already and the decoder is the single point of update.</w:t>
      </w:r>
    </w:p>
    <w:p>
      <w:pPr>
        <w:pStyle w:val="BodyText"/>
        <w:rPr/>
      </w:pPr>
      <w:r>
        <w:rPr>
          <w:sz w:val="20"/>
        </w:rPr>
        <w:t xml:space="preserve">Run pattern (always source </w:t>
      </w:r>
      <w:r>
        <w:rPr>
          <w:rStyle w:val="VerbatimChar"/>
          <w:sz w:val="20"/>
        </w:rPr>
        <w:t>env_python</w:t>
      </w:r>
      <w:r>
        <w:rPr>
          <w:sz w:val="20"/>
        </w:rPr>
        <w:t xml:space="preserve"> first, which sets </w:t>
      </w:r>
      <w:r>
        <w:rPr>
          <w:rStyle w:val="VerbatimChar"/>
          <w:sz w:val="20"/>
        </w:rPr>
        <w:t>SIM=verilator</w:t>
      </w:r>
      <w:r>
        <w:rPr>
          <w:sz w:val="20"/>
        </w:rPr>
        <w:t>):</w:t>
      </w:r>
    </w:p>
    <w:p>
      <w:pPr>
        <w:pStyle w:val="SourceCode"/>
        <w:rPr/>
      </w:pPr>
      <w:r>
        <w:rPr>
          <w:rStyle w:val="VerbatimChar"/>
        </w:rPr>
        <w:t>source env_python</w:t>
      </w:r>
      <w:r>
        <w:rPr/>
        <w:br/>
      </w:r>
      <w:r>
        <w:rPr>
          <w:rStyle w:val="VerbatimChar"/>
        </w:rPr>
        <w:t>cd val/amba</w:t>
      </w:r>
      <w:r>
        <w:rPr/>
        <w:br/>
      </w:r>
      <w:r>
        <w:rPr>
          <w:rStyle w:val="VerbatimChar"/>
        </w:rPr>
        <w:t>pytest -v test_axi4_master_rd_mon.py</w:t>
      </w:r>
      <w:bookmarkEnd w:id="46"/>
    </w:p>
    <w:p>
      <w:pPr>
        <w:pStyle w:val="Heading3"/>
        <w:spacing w:before="200" w:after="80"/>
        <w:rPr/>
      </w:pPr>
      <w:bookmarkStart w:id="47" w:name="__RefHeading___Toc1765_3147716858"/>
      <w:bookmarkStart w:id="48" w:name="error-injection-integration-tests"/>
      <w:bookmarkEnd w:id="47"/>
      <w:r>
        <w:rPr>
          <w:rStyle w:val="SectionNumber"/>
          <w:b/>
          <w:color w:val="404040"/>
          <w:sz w:val="24"/>
        </w:rPr>
        <w:t>2.8.2</w:t>
      </w:r>
      <w:r>
        <w:rPr>
          <w:b/>
          <w:color w:val="404040"/>
          <w:sz w:val="24"/>
        </w:rPr>
        <w:tab/>
        <w:t>Error-injection integration tests</w:t>
      </w:r>
    </w:p>
    <w:p>
      <w:pPr>
        <w:pStyle w:val="FirstParagraph"/>
        <w:rPr/>
      </w:pPr>
      <w:r>
        <w:rPr>
          <w:b/>
          <w:bCs/>
          <w:sz w:val="20"/>
        </w:rPr>
        <w:t>Where:</w:t>
      </w:r>
      <w:r>
        <w:rPr>
          <w:sz w:val="20"/>
        </w:rPr>
        <w:t xml:space="preserve"> </w:t>
      </w:r>
      <w:r>
        <w:rPr>
          <w:rStyle w:val="VerbatimChar"/>
          <w:sz w:val="20"/>
        </w:rPr>
        <w:t>projects/components/bridge/dv/tests/test_bridge_*_monitor_error_inject*.py</w:t>
      </w:r>
      <w:r>
        <w:rPr>
          <w:sz w:val="20"/>
        </w:rPr>
        <w:t>.</w:t>
      </w:r>
    </w:p>
    <w:p>
      <w:pPr>
        <w:pStyle w:val="BodyText"/>
        <w:rPr/>
      </w:pPr>
      <w:r>
        <w:rPr>
          <w:sz w:val="20"/>
        </w:rPr>
        <w:t xml:space="preserve">These wire up a real bridge instance with multiple monitor wrappers, drive a randomized traffic mix from the AXI master BFM, and have the slave BFM return SLVERR / DECERR responses on selected transactions. The assertion is that </w:t>
      </w:r>
      <w:r>
        <w:rPr>
          <w:b/>
          <w:bCs/>
          <w:sz w:val="20"/>
        </w:rPr>
        <w:t>every injected fault produces exactly one matching monbus packet at the right agent_id</w:t>
      </w:r>
      <w:r>
        <w:rPr>
          <w:sz w:val="20"/>
        </w:rPr>
        <w:t xml:space="preserve"> — orphan packets, double-counting, or silently-dropped errors all fail the test. This is the level where most monitor-system regressions actually get caught, because it exercises the arbiter, the group, and the drain path under realistic backpressure.</w:t>
      </w:r>
    </w:p>
    <w:p>
      <w:pPr>
        <w:pStyle w:val="BodyText"/>
        <w:rPr/>
      </w:pPr>
      <w:r>
        <w:rPr>
          <w:sz w:val="20"/>
        </w:rPr>
        <w:t xml:space="preserve">The pattern works equally well for STREAM and RAPIDS — the SLVERR injection harness in </w:t>
      </w:r>
      <w:r>
        <w:rPr>
          <w:rStyle w:val="VerbatimChar"/>
          <w:sz w:val="20"/>
        </w:rPr>
        <w:t>bridge/dv/</w:t>
      </w:r>
      <w:r>
        <w:rPr>
          <w:sz w:val="20"/>
        </w:rPr>
        <w:t xml:space="preserve"> is the canonical example.</w:t>
      </w:r>
      <w:bookmarkEnd w:id="48"/>
    </w:p>
    <w:p>
      <w:pPr>
        <w:pStyle w:val="Heading3"/>
        <w:spacing w:before="200" w:after="80"/>
        <w:rPr/>
      </w:pPr>
      <w:bookmarkStart w:id="49" w:name="__RefHeading___Toc1767_3147716858"/>
      <w:bookmarkStart w:id="50" w:name="formal-proofs"/>
      <w:bookmarkEnd w:id="49"/>
      <w:r>
        <w:rPr>
          <w:rStyle w:val="SectionNumber"/>
          <w:b/>
          <w:color w:val="404040"/>
          <w:sz w:val="24"/>
        </w:rPr>
        <w:t>2.8.3</w:t>
      </w:r>
      <w:r>
        <w:rPr>
          <w:b/>
          <w:color w:val="404040"/>
          <w:sz w:val="24"/>
        </w:rPr>
        <w:tab/>
        <w:t>Formal proofs</w:t>
      </w:r>
    </w:p>
    <w:p>
      <w:pPr>
        <w:pStyle w:val="FirstParagraph"/>
        <w:rPr/>
      </w:pPr>
      <w:r>
        <w:rPr>
          <w:b/>
          <w:bCs/>
          <w:sz w:val="20"/>
        </w:rPr>
        <w:t>Where:</w:t>
      </w:r>
      <w:r>
        <w:rPr>
          <w:sz w:val="20"/>
        </w:rPr>
        <w:t xml:space="preserve"> </w:t>
      </w:r>
      <w:r>
        <w:rPr>
          <w:rStyle w:val="VerbatimChar"/>
          <w:sz w:val="20"/>
        </w:rPr>
        <w:t>formal/amba/{axi4,axi5,axil4}_{master,slave}_{rd,wr}_mon/</w:t>
      </w:r>
      <w:r>
        <w:rPr>
          <w:sz w:val="20"/>
        </w:rPr>
        <w:t>.</w:t>
      </w:r>
    </w:p>
    <w:p>
      <w:pPr>
        <w:pStyle w:val="BodyText"/>
        <w:rPr/>
      </w:pPr>
      <w:r>
        <w:rPr>
          <w:sz w:val="20"/>
        </w:rPr>
        <w:t>SymbiYosys harnesses prove the per-wrapper invariants: transaction tracking never loses an ID, timeout counters bound the response window, addr_check emits exactly one packet per range hit, the packet format satisfies its bit-allocation constraints. These are cheap to re-run on every RTL change and catch the class of bug where simulation didn’t happen to hit the right interleaving:</w:t>
      </w:r>
    </w:p>
    <w:p>
      <w:pPr>
        <w:pStyle w:val="SourceCode"/>
        <w:rPr/>
      </w:pPr>
      <w:r>
        <w:rPr>
          <w:rStyle w:val="VerbatimChar"/>
        </w:rPr>
        <w:t>source env_python</w:t>
      </w:r>
      <w:r>
        <w:rPr/>
        <w:br/>
      </w:r>
      <w:r>
        <w:rPr>
          <w:rStyle w:val="VerbatimChar"/>
        </w:rPr>
        <w:t>cd formal/amba/axi4_master_rd_mon</w:t>
      </w:r>
      <w:r>
        <w:rPr/>
        <w:br/>
      </w:r>
      <w:r>
        <w:rPr>
          <w:rStyle w:val="VerbatimChar"/>
        </w:rPr>
        <w:t>sby -f formal_axi4_master_rd_mon.sby</w:t>
      </w:r>
      <w:bookmarkEnd w:id="50"/>
    </w:p>
    <w:p>
      <w:pPr>
        <w:pStyle w:val="Heading3"/>
        <w:spacing w:before="200" w:after="80"/>
        <w:rPr/>
      </w:pPr>
      <w:bookmarkStart w:id="51" w:name="__RefHeading___Toc1769_3147716858"/>
      <w:bookmarkStart w:id="52" w:name="hardware-characterization"/>
      <w:bookmarkEnd w:id="51"/>
      <w:r>
        <w:rPr>
          <w:rStyle w:val="SectionNumber"/>
          <w:b/>
          <w:color w:val="404040"/>
          <w:sz w:val="24"/>
        </w:rPr>
        <w:t>2.8.4</w:t>
      </w:r>
      <w:r>
        <w:rPr>
          <w:b/>
          <w:color w:val="404040"/>
          <w:sz w:val="24"/>
        </w:rPr>
        <w:tab/>
        <w:t>Hardware characterization</w:t>
      </w:r>
    </w:p>
    <w:p>
      <w:pPr>
        <w:pStyle w:val="FirstParagraph"/>
        <w:rPr/>
      </w:pPr>
      <w:r>
        <w:rPr>
          <w:b/>
          <w:bCs/>
          <w:sz w:val="20"/>
        </w:rPr>
        <w:t>Where:</w:t>
      </w:r>
      <w:r>
        <w:rPr>
          <w:sz w:val="20"/>
        </w:rPr>
        <w:t xml:space="preserve"> </w:t>
      </w:r>
      <w:r>
        <w:rPr>
          <w:rStyle w:val="VerbatimChar"/>
          <w:sz w:val="20"/>
        </w:rPr>
        <w:t>projects/NexysA7/stream_characterization/</w:t>
      </w:r>
      <w:r>
        <w:rPr>
          <w:sz w:val="20"/>
        </w:rPr>
        <w:t>.</w:t>
      </w:r>
    </w:p>
    <w:p>
      <w:pPr>
        <w:pStyle w:val="BodyText"/>
        <w:rPr/>
      </w:pPr>
      <w:r>
        <w:rPr>
          <w:sz w:val="20"/>
        </w:rPr>
        <w:t xml:space="preserve">The simulation tests prove correctness; characterization on the FPGA proves the monitor system survives realistic timing closure, sustained throughput, and burst patterns the simulators don’t reach. The </w:t>
      </w:r>
      <w:r>
        <w:rPr>
          <w:rStyle w:val="VerbatimChar"/>
          <w:sz w:val="20"/>
        </w:rPr>
        <w:t>stream_char</w:t>
      </w:r>
      <w:r>
        <w:rPr>
          <w:sz w:val="20"/>
        </w:rPr>
        <w:t xml:space="preserve"> harness diagrammed in §2 captures every monbus emission into </w:t>
      </w:r>
      <w:r>
        <w:rPr>
          <w:rStyle w:val="VerbatimChar"/>
          <w:sz w:val="20"/>
        </w:rPr>
        <w:t>debug_sram</w:t>
      </w:r>
      <w:r>
        <w:rPr>
          <w:sz w:val="20"/>
        </w:rPr>
        <w:t xml:space="preserve"> during a deterministic workload, the host pulls the trace back, and the offline parser (</w:t>
      </w:r>
      <w:r>
        <w:rPr>
          <w:rStyle w:val="VerbatimChar"/>
          <w:sz w:val="20"/>
        </w:rPr>
        <w:t>bin/TBClasses/monbus</w:t>
      </w:r>
      <w:r>
        <w:rPr>
          <w:sz w:val="20"/>
        </w:rPr>
        <w:t>) reconstructs the timing profile. Useful when you want to answer:</w:t>
      </w:r>
    </w:p>
    <w:p>
      <w:pPr>
        <w:pStyle w:val="Compact"/>
        <w:numPr>
          <w:ilvl w:val="0"/>
          <w:numId w:val="53"/>
        </w:numPr>
        <w:rPr/>
      </w:pPr>
      <w:r>
        <w:rPr>
          <w:b/>
          <w:bCs/>
        </w:rPr>
        <w:t>How fast can the bulk drain absorb?</w:t>
      </w:r>
      <w:r>
        <w:rPr/>
        <w:t xml:space="preserve"> Packets/sec on </w:t>
      </w:r>
      <w:r>
        <w:rPr>
          <w:rStyle w:val="VerbatimChar"/>
        </w:rPr>
        <w:t>m_axil_mon</w:t>
      </w:r>
      <w:r>
        <w:rPr/>
        <w:t xml:space="preserve"> before the group’s ingress skid back-pressures.</w:t>
      </w:r>
    </w:p>
    <w:p>
      <w:pPr>
        <w:pStyle w:val="Compact"/>
        <w:numPr>
          <w:ilvl w:val="0"/>
          <w:numId w:val="54"/>
        </w:numPr>
        <w:rPr/>
      </w:pPr>
      <w:r>
        <w:rPr>
          <w:b/>
          <w:bCs/>
        </w:rPr>
        <w:t>What’s the IRQ rate under a realistic error budget?</w:t>
      </w:r>
      <w:r>
        <w:rPr/>
        <w:t xml:space="preserve"> Records/sec on </w:t>
      </w:r>
      <w:r>
        <w:rPr>
          <w:rStyle w:val="VerbatimChar"/>
        </w:rPr>
        <w:t>s_mon_axil</w:t>
      </w:r>
      <w:r>
        <w:rPr/>
        <w:t xml:space="preserve"> with a representative fault-injection profile.</w:t>
      </w:r>
    </w:p>
    <w:p>
      <w:pPr>
        <w:pStyle w:val="Compact"/>
        <w:numPr>
          <w:ilvl w:val="0"/>
          <w:numId w:val="55"/>
        </w:numPr>
        <w:rPr/>
      </w:pPr>
      <w:r>
        <w:rPr>
          <w:b/>
          <w:bCs/>
        </w:rPr>
        <w:t>Does the timestamp counter actually run at the expected cycle rate?</w:t>
      </w:r>
      <w:r>
        <w:rPr/>
        <w:t xml:space="preserve"> Cross-check the delta between successive timestamps against the known workload spacing.</w:t>
      </w:r>
    </w:p>
    <w:p>
      <w:pPr>
        <w:pStyle w:val="FirstParagraph"/>
        <w:rPr/>
      </w:pPr>
      <w:r>
        <w:rPr>
          <w:sz w:val="20"/>
        </w:rPr>
        <w:t xml:space="preserve">This is also where post-route SDC checks for the monbus paths live — the </w:t>
      </w:r>
      <w:r>
        <w:rPr>
          <w:rStyle w:val="VerbatimChar"/>
          <w:sz w:val="20"/>
        </w:rPr>
        <w:t>axi_response_delay</w:t>
      </w:r>
      <w:r>
        <w:rPr>
          <w:sz w:val="20"/>
        </w:rPr>
        <w:t xml:space="preserve"> and </w:t>
      </w:r>
      <w:r>
        <w:rPr>
          <w:rStyle w:val="VerbatimChar"/>
          <w:sz w:val="20"/>
        </w:rPr>
        <w:t>axi_bus_meter</w:t>
      </w:r>
      <w:r>
        <w:rPr>
          <w:sz w:val="20"/>
        </w:rPr>
        <w:t xml:space="preserve"> blocks are deliberately placed to stress the timing on both the AXI data path and the monitor output paths simultaneously.</w:t>
      </w:r>
      <w:bookmarkEnd w:id="52"/>
    </w:p>
    <w:p>
      <w:pPr>
        <w:pStyle w:val="Heading3"/>
        <w:spacing w:before="200" w:after="80"/>
        <w:rPr/>
      </w:pPr>
      <w:bookmarkStart w:id="53" w:name="__RefHeading___Toc1771_3147716858"/>
      <w:bookmarkStart w:id="54" w:name="validation-checklist-for-new-deployments"/>
      <w:bookmarkEnd w:id="53"/>
      <w:r>
        <w:rPr>
          <w:rStyle w:val="SectionNumber"/>
          <w:b/>
          <w:color w:val="404040"/>
          <w:sz w:val="24"/>
        </w:rPr>
        <w:t>2.8.5</w:t>
      </w:r>
      <w:r>
        <w:rPr>
          <w:b/>
          <w:color w:val="404040"/>
          <w:sz w:val="24"/>
        </w:rPr>
        <w:tab/>
        <w:t>Validation checklist for new deployments</w:t>
      </w:r>
    </w:p>
    <w:p>
      <w:pPr>
        <w:pStyle w:val="FirstParagraph"/>
        <w:rPr/>
      </w:pPr>
      <w:r>
        <w:rPr>
          <w:sz w:val="20"/>
        </w:rPr>
        <w:t>A new integration that touches the monitor system should not ship until:</w:t>
      </w:r>
    </w:p>
    <w:p>
      <w:pPr>
        <w:pStyle w:val="Normal"/>
        <w:numPr>
          <w:ilvl w:val="0"/>
          <w:numId w:val="56"/>
        </w:numPr>
        <w:rPr/>
      </w:pPr>
      <w:r>
        <w:rPr>
          <w:sz w:val="20"/>
        </w:rPr>
        <w:t xml:space="preserve">☐ </w:t>
      </w:r>
      <w:r>
        <w:rPr>
          <w:sz w:val="20"/>
        </w:rPr>
        <w:t>Per-wrapper cocotb tests pass with the deployment’s parameter set</w:t>
      </w:r>
    </w:p>
    <w:p>
      <w:pPr>
        <w:pStyle w:val="SourceCode"/>
        <w:numPr>
          <w:ilvl w:val="0"/>
          <w:numId w:val="1"/>
        </w:numPr>
        <w:rPr/>
      </w:pPr>
      <w:r>
        <w:rPr>
          <w:rStyle w:val="VerbatimChar"/>
        </w:rPr>
        <w:t>(especially `N_ADDR_RANGES`, `MAX_TRANSACTIONS`, `USE_MONITOR`).</w:t>
      </w:r>
    </w:p>
    <w:p>
      <w:pPr>
        <w:pStyle w:val="Normal"/>
        <w:numPr>
          <w:ilvl w:val="0"/>
          <w:numId w:val="57"/>
        </w:numPr>
        <w:rPr/>
      </w:pPr>
      <w:r>
        <w:rPr>
          <w:sz w:val="20"/>
        </w:rPr>
        <w:t xml:space="preserve">☐ </w:t>
      </w:r>
      <w:r>
        <w:rPr>
          <w:sz w:val="20"/>
        </w:rPr>
        <w:t>One error-injection integration test exists at the</w:t>
      </w:r>
    </w:p>
    <w:p>
      <w:pPr>
        <w:pStyle w:val="SourceCode"/>
        <w:numPr>
          <w:ilvl w:val="0"/>
          <w:numId w:val="1"/>
        </w:numPr>
        <w:rPr/>
      </w:pPr>
      <w:r>
        <w:rPr>
          <w:rStyle w:val="VerbatimChar"/>
        </w:rPr>
        <w:t>bridge/subsystem level that confirms a SLVERR / DECERR / timeout</w:t>
      </w:r>
      <w:r>
        <w:rPr/>
        <w:br/>
      </w:r>
      <w:r>
        <w:rPr>
          <w:rStyle w:val="VerbatimChar"/>
        </w:rPr>
        <w:t>actually round-trips end-to-end through the deployment-specific</w:t>
      </w:r>
      <w:r>
        <w:rPr/>
        <w:br/>
      </w:r>
      <w:r>
        <w:rPr>
          <w:rStyle w:val="VerbatimChar"/>
        </w:rPr>
        <w:t>monbus tree.</w:t>
      </w:r>
    </w:p>
    <w:p>
      <w:pPr>
        <w:pStyle w:val="Normal"/>
        <w:numPr>
          <w:ilvl w:val="0"/>
          <w:numId w:val="58"/>
        </w:numPr>
        <w:rPr/>
      </w:pPr>
      <w:r>
        <w:rPr>
          <w:sz w:val="20"/>
        </w:rPr>
        <w:t xml:space="preserve">☐ </w:t>
      </w:r>
      <w:r>
        <w:rPr>
          <w:sz w:val="20"/>
        </w:rPr>
        <w:t>The formal proofs for the wrappers in use still pass after any</w:t>
      </w:r>
    </w:p>
    <w:p>
      <w:pPr>
        <w:pStyle w:val="SourceCode"/>
        <w:numPr>
          <w:ilvl w:val="0"/>
          <w:numId w:val="1"/>
        </w:numPr>
        <w:rPr/>
      </w:pPr>
      <w:r>
        <w:rPr>
          <w:rStyle w:val="VerbatimChar"/>
        </w:rPr>
        <w:t>parameter change.</w:t>
      </w:r>
    </w:p>
    <w:p>
      <w:pPr>
        <w:pStyle w:val="Normal"/>
        <w:numPr>
          <w:ilvl w:val="0"/>
          <w:numId w:val="59"/>
        </w:numPr>
        <w:rPr/>
      </w:pPr>
      <w:r>
        <w:rPr>
          <w:sz w:val="20"/>
        </w:rPr>
        <w:t xml:space="preserve">☐ </w:t>
      </w:r>
      <w:r>
        <w:rPr>
          <w:sz w:val="20"/>
        </w:rPr>
        <w:t>If a hardware target exists (FPGA / ASIC), a characterization</w:t>
      </w:r>
    </w:p>
    <w:p>
      <w:pPr>
        <w:pStyle w:val="SourceCode"/>
        <w:numPr>
          <w:ilvl w:val="0"/>
          <w:numId w:val="1"/>
        </w:numPr>
        <w:rPr/>
      </w:pPr>
      <w:r>
        <w:rPr>
          <w:rStyle w:val="VerbatimChar"/>
        </w:rPr>
        <w:t>run on representative workload has been captured at least once</w:t>
      </w:r>
      <w:r>
        <w:rPr/>
        <w:br/>
      </w:r>
      <w:r>
        <w:rPr>
          <w:rStyle w:val="VerbatimChar"/>
        </w:rPr>
        <w:t>so the team has baseline numbers to compare against later.</w:t>
      </w:r>
    </w:p>
    <w:p>
      <w:pPr>
        <w:pStyle w:val="Normal"/>
        <w:rPr/>
      </w:pPr>
      <w:bookmarkStart w:id="55" w:name="test-characterization-and-verification"/>
      <w:bookmarkStart w:id="56" w:name="validation-checklist-for-new-deployment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p>
    <w:p>
      <w:pPr>
        <w:pStyle w:val="Heading2"/>
        <w:pBdr>
          <w:bottom w:val="single" w:sz="12" w:space="0" w:color="228B22"/>
        </w:pBdr>
        <w:spacing w:before="280" w:after="80"/>
        <w:rPr/>
      </w:pPr>
      <w:bookmarkStart w:id="57" w:name="__RefHeading___Toc1773_3147716858"/>
      <w:bookmarkStart w:id="58" w:name="todo-writing-up-checklist"/>
      <w:bookmarkEnd w:id="57"/>
      <w:r>
        <w:rPr>
          <w:rStyle w:val="SectionNumber"/>
          <w:b/>
          <w:color w:val="228B22"/>
          <w:sz w:val="28"/>
        </w:rPr>
        <w:t>2.9</w:t>
      </w:r>
      <w:r>
        <w:rPr>
          <w:b/>
          <w:color w:val="228B22"/>
          <w:sz w:val="28"/>
        </w:rPr>
        <w:tab/>
        <w:t>TODO (writing-up checklist)</w:t>
      </w:r>
    </w:p>
    <w:p>
      <w:pPr>
        <w:pStyle w:val="Normal"/>
        <w:numPr>
          <w:ilvl w:val="0"/>
          <w:numId w:val="60"/>
        </w:numPr>
        <w:rPr/>
      </w:pPr>
      <w:r>
        <w:rPr>
          <w:sz w:val="20"/>
        </w:rPr>
        <w:t xml:space="preserve">☐ </w:t>
      </w:r>
      <w:r>
        <w:rPr>
          <w:sz w:val="20"/>
        </w:rPr>
        <w:t xml:space="preserve">Pull representative numbers from a real </w:t>
      </w:r>
      <w:r>
        <w:rPr>
          <w:rStyle w:val="VerbatimChar"/>
          <w:sz w:val="20"/>
        </w:rPr>
        <w:t>stream_char</w:t>
      </w:r>
      <w:r>
        <w:rPr>
          <w:sz w:val="20"/>
        </w:rPr>
        <w:t xml:space="preserve"> deployment</w:t>
      </w:r>
    </w:p>
    <w:p>
      <w:pPr>
        <w:pStyle w:val="SourceCode"/>
        <w:numPr>
          <w:ilvl w:val="0"/>
          <w:numId w:val="1"/>
        </w:numPr>
        <w:rPr/>
      </w:pPr>
      <w:r>
        <w:rPr>
          <w:rStyle w:val="VerbatimChar"/>
        </w:rPr>
        <w:t>on Nexys A7 for §7.4 — packets/sec on bulk path, IRQ rate on err</w:t>
      </w:r>
      <w:r>
        <w:rPr/>
        <w:br/>
      </w:r>
      <w:r>
        <w:rPr>
          <w:rStyle w:val="VerbatimChar"/>
        </w:rPr>
        <w:t>path, timestamp-delta vs expected workload spacing.</w:t>
      </w:r>
    </w:p>
    <w:p>
      <w:pPr>
        <w:pStyle w:val="Normal"/>
        <w:numPr>
          <w:ilvl w:val="0"/>
          <w:numId w:val="61"/>
        </w:numPr>
        <w:rPr/>
      </w:pPr>
      <w:r>
        <w:rPr>
          <w:sz w:val="20"/>
        </w:rPr>
        <w:t xml:space="preserve">☐ </w:t>
      </w:r>
      <w:r>
        <w:rPr>
          <w:sz w:val="20"/>
        </w:rPr>
        <w:t>Add an “after tweak” diagram next to §2’s “current default”</w:t>
      </w:r>
    </w:p>
    <w:p>
      <w:pPr>
        <w:pStyle w:val="SourceCode"/>
        <w:numPr>
          <w:ilvl w:val="0"/>
          <w:numId w:val="1"/>
        </w:numPr>
        <w:rPr/>
      </w:pPr>
      <w:r>
        <w:rPr>
          <w:rStyle w:val="VerbatimChar"/>
        </w:rPr>
        <w:t>example, showing what mid-fabric or root-of-tree placement looks</w:t>
      </w:r>
      <w:r>
        <w:rPr/>
        <w:br/>
      </w:r>
      <w:r>
        <w:rPr>
          <w:rStyle w:val="VerbatimChar"/>
        </w:rPr>
        <w:t>like for the same workload.</w:t>
      </w:r>
    </w:p>
    <w:p>
      <w:pPr>
        <w:pStyle w:val="Normal"/>
        <w:numPr>
          <w:ilvl w:val="0"/>
          <w:numId w:val="62"/>
        </w:numPr>
        <w:rPr/>
      </w:pPr>
      <w:r>
        <w:rPr>
          <w:sz w:val="20"/>
        </w:rPr>
        <w:t xml:space="preserve">☐ </w:t>
      </w:r>
      <w:r>
        <w:rPr>
          <w:sz w:val="20"/>
        </w:rPr>
        <w:t>Cross-link each section to the relevant per-module spec under</w:t>
      </w:r>
    </w:p>
    <w:p>
      <w:pPr>
        <w:pStyle w:val="SourceCode"/>
        <w:numPr>
          <w:ilvl w:val="0"/>
          <w:numId w:val="1"/>
        </w:numPr>
        <w:rPr/>
      </w:pPr>
      <w:r>
        <w:rPr>
          <w:rStyle w:val="VerbatimChar"/>
        </w:rPr>
        <w:t>`docs/markdown/RTLAmba/shared/` (most are linked already; sweep</w:t>
      </w:r>
      <w:r>
        <w:rPr/>
        <w:br/>
      </w:r>
      <w:r>
        <w:rPr>
          <w:rStyle w:val="VerbatimChar"/>
        </w:rPr>
        <w:t>for stragglers).</w:t>
      </w:r>
    </w:p>
    <w:p>
      <w:pPr>
        <w:pStyle w:val="Normal"/>
        <w:numPr>
          <w:ilvl w:val="0"/>
          <w:numId w:val="63"/>
        </w:numPr>
        <w:rPr/>
      </w:pPr>
      <w:r>
        <w:rPr>
          <w:sz w:val="20"/>
        </w:rPr>
        <w:t xml:space="preserve">☐ </w:t>
      </w:r>
      <w:r>
        <w:rPr>
          <w:sz w:val="20"/>
        </w:rPr>
        <w:t>Expand §3 into its own appendix once a hybrid-global timestamp</w:t>
      </w:r>
    </w:p>
    <w:p>
      <w:pPr>
        <w:pStyle w:val="SourceCode"/>
        <w:numPr>
          <w:ilvl w:val="0"/>
          <w:numId w:val="1"/>
        </w:numPr>
        <w:rPr/>
      </w:pPr>
      <w:r>
        <w:rPr>
          <w:rStyle w:val="VerbatimChar"/>
        </w:rPr>
        <w:t>scheme has been prototyped on real silicon — pin down which clock</w:t>
      </w:r>
      <w:r>
        <w:rPr/>
        <w:br/>
      </w:r>
      <w:r>
        <w:rPr>
          <w:rStyle w:val="VerbatimChar"/>
        </w:rPr>
        <w:t>domain the global counter actually lives on, and the CDC</w:t>
      </w:r>
      <w:r>
        <w:rPr/>
        <w:br/>
      </w:r>
      <w:r>
        <w:rPr>
          <w:rStyle w:val="VerbatimChar"/>
        </w:rPr>
        <w:t>synchronizer choice.</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Maintained By:</w:t>
      </w:r>
      <w:r>
        <w:rPr>
          <w:sz w:val="20"/>
        </w:rPr>
        <w:t xml:space="preserve"> RTL Design Sherpa Project </w:t>
      </w:r>
      <w:r>
        <w:rPr>
          <w:b/>
          <w:bCs/>
          <w:sz w:val="20"/>
        </w:rPr>
        <w:t>Review Frequency:</w:t>
      </w:r>
      <w:r>
        <w:rPr>
          <w:sz w:val="20"/>
        </w:rPr>
        <w:t xml:space="preserve"> As architectural decisions evolve</w:t>
      </w:r>
      <w:bookmarkEnd w:id="5"/>
      <w:bookmarkEnd w:id="58"/>
    </w:p>
    <w:sectPr>
      <w:footerReference w:type="even" r:id="rId8"/>
      <w:footerReference w:type="default" r:id="rId9"/>
      <w:footerReference w:type="first" r:id="rId1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AMBA Monitor System Whitepaper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AMBA Monitor System Whitepaper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sean-galloway/RTLDesignSherpa" TargetMode="External"/><Relationship Id="rId4" Type="http://schemas.openxmlformats.org/officeDocument/2006/relationships/image" Target="media/image2.png"/><Relationship Id="rId5" Type="http://schemas.openxmlformats.org/officeDocument/2006/relationships/hyperlink" Target="assets/mermaid/stream_char_system.mmd" TargetMode="External"/><Relationship Id="rId6" Type="http://schemas.openxmlformats.org/officeDocument/2006/relationships/image" Target="media/image3.png"/><Relationship Id="rId7" Type="http://schemas.openxmlformats.org/officeDocument/2006/relationships/hyperlink" Target="assets/mermaid/stream_char_dut.mmd"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2026-06-01T05:44:14Z</dcterms:created>
  <dc:creator/>
  <dc:description/>
  <dc:language>en-US</dc:language>
  <cp:lastModifiedBy/>
  <dcterms:modified xsi:type="dcterms:W3CDTF">2026-05-31T22:44:18Z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