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STREAM DMA Engine Phase 1 Characterization Report</w:t>
      </w:r>
    </w:p>
    <w:p>
      <w:pPr>
        <w:pStyle w:val="Normal"/>
        <w:keepNext w:val="true"/>
        <w:spacing w:before="400" w:after="200"/>
        <w:jc w:val="center"/>
        <w:rPr/>
      </w:pPr>
      <w:r>
        <w:rPr>
          <w:rFonts w:ascii="Calibri" w:hAnsi="Calibri"/>
          <w:b/>
          <w:color w:val="000000"/>
          <w:sz w:val="20"/>
        </w:rPr>
        <w:t>April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339_2017609637">
            <w:r>
              <w:rPr>
                <w:webHidden/>
                <w:rStyle w:val="IndexLink"/>
              </w:rPr>
              <w:t>1 STREAM DMA Engine — Phase 1 Characterization Report</w:t>
              <w:tab/>
              <w:t>7</w:t>
            </w:r>
          </w:hyperlink>
        </w:p>
        <w:p>
          <w:pPr>
            <w:pStyle w:val="TOC2"/>
            <w:tabs>
              <w:tab w:val="clear" w:pos="9077"/>
              <w:tab w:val="right" w:pos="9359" w:leader="dot"/>
            </w:tabs>
            <w:rPr/>
          </w:pPr>
          <w:hyperlink w:anchor="__RefHeading___Toc5341_2017609637">
            <w:r>
              <w:rPr>
                <w:webHidden/>
                <w:rStyle w:val="IndexLink"/>
              </w:rPr>
              <w:t>1.1 0. Resource footprint</w:t>
              <w:tab/>
              <w:t>7</w:t>
            </w:r>
          </w:hyperlink>
        </w:p>
        <w:p>
          <w:pPr>
            <w:pStyle w:val="TOC3"/>
            <w:tabs>
              <w:tab w:val="clear" w:pos="8793"/>
              <w:tab w:val="right" w:pos="9359" w:leader="dot"/>
            </w:tabs>
            <w:rPr/>
          </w:pPr>
          <w:hyperlink w:anchor="__RefHeading___Toc5343_2017609637">
            <w:r>
              <w:rPr>
                <w:webHidden/>
                <w:rStyle w:val="IndexLink"/>
              </w:rPr>
              <w:t>1.1.1 0.1 Top-level — stream_char_top</w:t>
              <w:tab/>
              <w:t>7</w:t>
            </w:r>
          </w:hyperlink>
        </w:p>
        <w:p>
          <w:pPr>
            <w:pStyle w:val="TOC3"/>
            <w:tabs>
              <w:tab w:val="clear" w:pos="8793"/>
              <w:tab w:val="right" w:pos="9359" w:leader="dot"/>
            </w:tabs>
            <w:rPr/>
          </w:pPr>
          <w:hyperlink w:anchor="__RefHeading___Toc5345_2017609637">
            <w:r>
              <w:rPr>
                <w:webHidden/>
                <w:rStyle w:val="IndexLink"/>
              </w:rPr>
              <w:t>1.1.2 0.2 Inside the DUT — stream_top_ch8</w:t>
              <w:tab/>
              <w:t>10</w:t>
            </w:r>
          </w:hyperlink>
        </w:p>
        <w:p>
          <w:pPr>
            <w:pStyle w:val="TOC3"/>
            <w:tabs>
              <w:tab w:val="clear" w:pos="8793"/>
              <w:tab w:val="right" w:pos="9359" w:leader="dot"/>
            </w:tabs>
            <w:rPr/>
          </w:pPr>
          <w:hyperlink w:anchor="__RefHeading___Toc5347_2017609637">
            <w:r>
              <w:rPr>
                <w:webHidden/>
                <w:rStyle w:val="IndexLink"/>
              </w:rPr>
              <w:t>1.1.3 0.3 What this means</w:t>
              <w:tab/>
              <w:t>15</w:t>
            </w:r>
          </w:hyperlink>
        </w:p>
        <w:p>
          <w:pPr>
            <w:pStyle w:val="TOC3"/>
            <w:tabs>
              <w:tab w:val="clear" w:pos="8793"/>
              <w:tab w:val="right" w:pos="9359" w:leader="dot"/>
            </w:tabs>
            <w:rPr/>
          </w:pPr>
          <w:hyperlink w:anchor="__RefHeading___Toc5349_2017609637">
            <w:r>
              <w:rPr>
                <w:webHidden/>
                <w:rStyle w:val="IndexLink"/>
              </w:rPr>
              <w:t>1.1.4 0.4 Timing-closure notes (8-channel build)</w:t>
              <w:tab/>
              <w:t>16</w:t>
            </w:r>
          </w:hyperlink>
        </w:p>
        <w:p>
          <w:pPr>
            <w:pStyle w:val="TOC2"/>
            <w:tabs>
              <w:tab w:val="clear" w:pos="9077"/>
              <w:tab w:val="right" w:pos="9359" w:leader="dot"/>
            </w:tabs>
            <w:rPr/>
          </w:pPr>
          <w:hyperlink w:anchor="__RefHeading___Toc5351_2017609637">
            <w:r>
              <w:rPr>
                <w:webHidden/>
                <w:rStyle w:val="IndexLink"/>
              </w:rPr>
              <w:t>1.2 1. What we set out to do</w:t>
              <w:tab/>
              <w:t>17</w:t>
            </w:r>
          </w:hyperlink>
        </w:p>
        <w:p>
          <w:pPr>
            <w:pStyle w:val="TOC2"/>
            <w:tabs>
              <w:tab w:val="clear" w:pos="9077"/>
              <w:tab w:val="right" w:pos="9359" w:leader="dot"/>
            </w:tabs>
            <w:rPr/>
          </w:pPr>
          <w:hyperlink w:anchor="__RefHeading___Toc5353_2017609637">
            <w:r>
              <w:rPr>
                <w:webHidden/>
                <w:rStyle w:val="IndexLink"/>
              </w:rPr>
              <w:t>1.3 2. Test platform</w:t>
              <w:tab/>
              <w:t>18</w:t>
            </w:r>
          </w:hyperlink>
        </w:p>
        <w:p>
          <w:pPr>
            <w:pStyle w:val="TOC2"/>
            <w:tabs>
              <w:tab w:val="clear" w:pos="9077"/>
              <w:tab w:val="right" w:pos="9359" w:leader="dot"/>
            </w:tabs>
            <w:rPr/>
          </w:pPr>
          <w:hyperlink w:anchor="__RefHeading___Toc5355_2017609637">
            <w:r>
              <w:rPr>
                <w:webHidden/>
                <w:rStyle w:val="IndexLink"/>
              </w:rPr>
              <w:t>1.4 3. The harness — and why we hooked things in the way we did</w:t>
              <w:tab/>
              <w:t>19</w:t>
            </w:r>
          </w:hyperlink>
        </w:p>
        <w:p>
          <w:pPr>
            <w:pStyle w:val="TOC3"/>
            <w:tabs>
              <w:tab w:val="clear" w:pos="8793"/>
              <w:tab w:val="right" w:pos="9359" w:leader="dot"/>
            </w:tabs>
            <w:rPr/>
          </w:pPr>
          <w:hyperlink w:anchor="__RefHeading___Toc5357_2017609637">
            <w:r>
              <w:rPr>
                <w:webHidden/>
                <w:rStyle w:val="IndexLink"/>
              </w:rPr>
              <w:t>1.4.1 3.1 Harness overview</w:t>
              <w:tab/>
              <w:t>19</w:t>
            </w:r>
          </w:hyperlink>
        </w:p>
        <w:p>
          <w:pPr>
            <w:pStyle w:val="TOC3"/>
            <w:tabs>
              <w:tab w:val="clear" w:pos="8793"/>
              <w:tab w:val="right" w:pos="9359" w:leader="dot"/>
            </w:tabs>
            <w:rPr/>
          </w:pPr>
          <w:hyperlink w:anchor="__RefHeading___Toc5359_2017609637">
            <w:r>
              <w:rPr>
                <w:webHidden/>
                <w:rStyle w:val="IndexLink"/>
              </w:rPr>
              <w:t>1.4.2 Figure 3.1: Harness top-level block diagram</w:t>
              <w:tab/>
              <w:t>19</w:t>
            </w:r>
          </w:hyperlink>
        </w:p>
        <w:p>
          <w:pPr>
            <w:pStyle w:val="TOC3"/>
            <w:tabs>
              <w:tab w:val="clear" w:pos="8793"/>
              <w:tab w:val="right" w:pos="9359" w:leader="dot"/>
            </w:tabs>
            <w:rPr/>
          </w:pPr>
          <w:hyperlink w:anchor="__RefHeading___Toc5361_2017609637">
            <w:r>
              <w:rPr>
                <w:webHidden/>
                <w:rStyle w:val="IndexLink"/>
              </w:rPr>
              <w:t>1.4.3 3.2 Hook 1: The pipelined response-delay block (memory model)</w:t>
              <w:tab/>
              <w:t>20</w:t>
            </w:r>
          </w:hyperlink>
        </w:p>
        <w:p>
          <w:pPr>
            <w:pStyle w:val="TOC3"/>
            <w:tabs>
              <w:tab w:val="clear" w:pos="8793"/>
              <w:tab w:val="right" w:pos="9359" w:leader="dot"/>
            </w:tabs>
            <w:rPr/>
          </w:pPr>
          <w:hyperlink w:anchor="__RefHeading___Toc5363_2017609637">
            <w:r>
              <w:rPr>
                <w:webHidden/>
                <w:rStyle w:val="IndexLink"/>
              </w:rPr>
              <w:t>1.4.4 Figure 3.2: Read- and write-path data flow</w:t>
              <w:tab/>
              <w:t>20</w:t>
            </w:r>
          </w:hyperlink>
        </w:p>
        <w:p>
          <w:pPr>
            <w:pStyle w:val="TOC3"/>
            <w:tabs>
              <w:tab w:val="clear" w:pos="8793"/>
              <w:tab w:val="right" w:pos="9359" w:leader="dot"/>
            </w:tabs>
            <w:rPr/>
          </w:pPr>
          <w:hyperlink w:anchor="__RefHeading___Toc5365_2017609637">
            <w:r>
              <w:rPr>
                <w:webHidden/>
                <w:rStyle w:val="IndexLink"/>
              </w:rPr>
              <w:t>1.4.5 Figure 3.3: axi_response_delay internals</w:t>
              <w:tab/>
              <w:t>21</w:t>
            </w:r>
          </w:hyperlink>
        </w:p>
        <w:p>
          <w:pPr>
            <w:pStyle w:val="TOC3"/>
            <w:tabs>
              <w:tab w:val="clear" w:pos="8793"/>
              <w:tab w:val="right" w:pos="9359" w:leader="dot"/>
            </w:tabs>
            <w:rPr/>
          </w:pPr>
          <w:hyperlink w:anchor="__RefHeading___Toc5367_2017609637">
            <w:r>
              <w:rPr>
                <w:webHidden/>
                <w:rStyle w:val="IndexLink"/>
              </w:rPr>
              <w:t>1.4.6 3.3 Hook 2: The hardware kick-burst path</w:t>
              <w:tab/>
              <w:t>22</w:t>
            </w:r>
          </w:hyperlink>
        </w:p>
        <w:p>
          <w:pPr>
            <w:pStyle w:val="TOC3"/>
            <w:tabs>
              <w:tab w:val="clear" w:pos="8793"/>
              <w:tab w:val="right" w:pos="9359" w:leader="dot"/>
            </w:tabs>
            <w:rPr/>
          </w:pPr>
          <w:hyperlink w:anchor="__RefHeading___Toc5369_2017609637">
            <w:r>
              <w:rPr>
                <w:webHidden/>
                <w:rStyle w:val="IndexLink"/>
              </w:rPr>
              <w:t>1.4.7 Figure 3.4: CSR-driven kick-burst path</w:t>
              <w:tab/>
              <w:t>22</w:t>
            </w:r>
          </w:hyperlink>
        </w:p>
        <w:p>
          <w:pPr>
            <w:pStyle w:val="TOC3"/>
            <w:tabs>
              <w:tab w:val="clear" w:pos="8793"/>
              <w:tab w:val="right" w:pos="9359" w:leader="dot"/>
            </w:tabs>
            <w:rPr/>
          </w:pPr>
          <w:hyperlink w:anchor="__RefHeading___Toc5371_2017609637">
            <w:r>
              <w:rPr>
                <w:webHidden/>
                <w:rStyle w:val="IndexLink"/>
              </w:rPr>
              <w:t>1.4.8 3.4 Hook 3: The cycle-stamp timer windows</w:t>
              <w:tab/>
              <w:t>23</w:t>
            </w:r>
          </w:hyperlink>
        </w:p>
        <w:p>
          <w:pPr>
            <w:pStyle w:val="TOC3"/>
            <w:tabs>
              <w:tab w:val="clear" w:pos="8793"/>
              <w:tab w:val="right" w:pos="9359" w:leader="dot"/>
            </w:tabs>
            <w:rPr/>
          </w:pPr>
          <w:hyperlink w:anchor="__RefHeading___Toc5373_2017609637">
            <w:r>
              <w:rPr>
                <w:webHidden/>
                <w:rStyle w:val="IndexLink"/>
              </w:rPr>
              <w:t>1.4.9 Figure 3.5: Timer windows on the test timeline</w:t>
              <w:tab/>
              <w:t>23</w:t>
            </w:r>
          </w:hyperlink>
        </w:p>
        <w:p>
          <w:pPr>
            <w:pStyle w:val="TOC3"/>
            <w:tabs>
              <w:tab w:val="clear" w:pos="8793"/>
              <w:tab w:val="right" w:pos="9359" w:leader="dot"/>
            </w:tabs>
            <w:rPr/>
          </w:pPr>
          <w:hyperlink w:anchor="__RefHeading___Toc5375_2017609637">
            <w:r>
              <w:rPr>
                <w:webHidden/>
                <w:rStyle w:val="IndexLink"/>
              </w:rPr>
              <w:t>1.4.10 3.5 Hook 4: Per-channel CRC slaves</w:t>
              <w:tab/>
              <w:t>24</w:t>
            </w:r>
          </w:hyperlink>
        </w:p>
        <w:p>
          <w:pPr>
            <w:pStyle w:val="TOC3"/>
            <w:tabs>
              <w:tab w:val="clear" w:pos="8793"/>
              <w:tab w:val="right" w:pos="9359" w:leader="dot"/>
            </w:tabs>
            <w:rPr/>
          </w:pPr>
          <w:hyperlink w:anchor="__RefHeading___Toc5377_2017609637">
            <w:r>
              <w:rPr>
                <w:webHidden/>
                <w:rStyle w:val="IndexLink"/>
              </w:rPr>
              <w:t>1.4.11 3.6 Hook 5: Configuration package for sweeps</w:t>
              <w:tab/>
              <w:t>24</w:t>
            </w:r>
          </w:hyperlink>
        </w:p>
        <w:p>
          <w:pPr>
            <w:pStyle w:val="TOC3"/>
            <w:tabs>
              <w:tab w:val="clear" w:pos="8793"/>
              <w:tab w:val="right" w:pos="9359" w:leader="dot"/>
            </w:tabs>
            <w:rPr/>
          </w:pPr>
          <w:hyperlink w:anchor="__RefHeading___Toc5379_2017609637">
            <w:r>
              <w:rPr>
                <w:webHidden/>
                <w:rStyle w:val="IndexLink"/>
              </w:rPr>
              <w:t>1.4.12 3.7 What all of this gives us, together</w:t>
              <w:tab/>
              <w:t>25</w:t>
            </w:r>
          </w:hyperlink>
        </w:p>
        <w:p>
          <w:pPr>
            <w:pStyle w:val="TOC2"/>
            <w:tabs>
              <w:tab w:val="clear" w:pos="9077"/>
              <w:tab w:val="right" w:pos="9359" w:leader="dot"/>
            </w:tabs>
            <w:rPr/>
          </w:pPr>
          <w:hyperlink w:anchor="__RefHeading___Toc5381_2017609637">
            <w:r>
              <w:rPr>
                <w:webHidden/>
                <w:rStyle w:val="IndexLink"/>
              </w:rPr>
              <w:t>1.5 4. Headline numbers</w:t>
              <w:tab/>
              <w:t>25</w:t>
            </w:r>
          </w:hyperlink>
        </w:p>
        <w:p>
          <w:pPr>
            <w:pStyle w:val="TOC2"/>
            <w:tabs>
              <w:tab w:val="clear" w:pos="9077"/>
              <w:tab w:val="right" w:pos="9359" w:leader="dot"/>
            </w:tabs>
            <w:rPr/>
          </w:pPr>
          <w:hyperlink w:anchor="__RefHeading___Toc5383_2017609637">
            <w:r>
              <w:rPr>
                <w:webHidden/>
                <w:rStyle w:val="IndexLink"/>
              </w:rPr>
              <w:t>1.6 5. Single-axis sweeps</w:t>
              <w:tab/>
              <w:t>27</w:t>
            </w:r>
          </w:hyperlink>
        </w:p>
        <w:p>
          <w:pPr>
            <w:pStyle w:val="TOC3"/>
            <w:tabs>
              <w:tab w:val="clear" w:pos="8793"/>
              <w:tab w:val="right" w:pos="9359" w:leader="dot"/>
            </w:tabs>
            <w:rPr/>
          </w:pPr>
          <w:hyperlink w:anchor="__RefHeading___Toc5385_2017609637">
            <w:r>
              <w:rPr>
                <w:webHidden/>
                <w:rStyle w:val="IndexLink"/>
              </w:rPr>
              <w:t>1.6.1 5.1 Response-delay sweep (1 ch, 1 desc, 512 KB)</w:t>
              <w:tab/>
              <w:t>27</w:t>
            </w:r>
          </w:hyperlink>
        </w:p>
        <w:p>
          <w:pPr>
            <w:pStyle w:val="TOC3"/>
            <w:tabs>
              <w:tab w:val="clear" w:pos="8793"/>
              <w:tab w:val="right" w:pos="9359" w:leader="dot"/>
            </w:tabs>
            <w:rPr/>
          </w:pPr>
          <w:hyperlink w:anchor="__RefHeading___Toc5387_2017609637">
            <w:r>
              <w:rPr>
                <w:webHidden/>
                <w:rStyle w:val="IndexLink"/>
              </w:rPr>
              <w:t>1.6.2 Figure 5.1: Throughput vs. memory latency (1 channel)</w:t>
              <w:tab/>
              <w:t>27</w:t>
            </w:r>
          </w:hyperlink>
        </w:p>
        <w:p>
          <w:pPr>
            <w:pStyle w:val="TOC3"/>
            <w:tabs>
              <w:tab w:val="clear" w:pos="8793"/>
              <w:tab w:val="right" w:pos="9359" w:leader="dot"/>
            </w:tabs>
            <w:rPr/>
          </w:pPr>
          <w:hyperlink w:anchor="__RefHeading___Toc5389_2017609637">
            <w:r>
              <w:rPr>
                <w:webHidden/>
                <w:rStyle w:val="IndexLink"/>
              </w:rPr>
              <w:t>1.6.3 5.2 Descriptor-count sweep (1 ch, 1..16 descriptors, 512 KB each, delay 0)</w:t>
              <w:tab/>
              <w:t>29</w:t>
            </w:r>
          </w:hyperlink>
        </w:p>
        <w:p>
          <w:pPr>
            <w:pStyle w:val="TOC3"/>
            <w:tabs>
              <w:tab w:val="clear" w:pos="8793"/>
              <w:tab w:val="right" w:pos="9359" w:leader="dot"/>
            </w:tabs>
            <w:rPr/>
          </w:pPr>
          <w:hyperlink w:anchor="__RefHeading___Toc5391_2017609637">
            <w:r>
              <w:rPr>
                <w:webHidden/>
                <w:rStyle w:val="IndexLink"/>
              </w:rPr>
              <w:t>1.6.4 Figure 5.2: Throughput vs. descriptor chain length</w:t>
              <w:tab/>
              <w:t>29</w:t>
            </w:r>
          </w:hyperlink>
        </w:p>
        <w:p>
          <w:pPr>
            <w:pStyle w:val="TOC3"/>
            <w:tabs>
              <w:tab w:val="clear" w:pos="8793"/>
              <w:tab w:val="right" w:pos="9359" w:leader="dot"/>
            </w:tabs>
            <w:rPr/>
          </w:pPr>
          <w:hyperlink w:anchor="__RefHeading___Toc5393_2017609637">
            <w:r>
              <w:rPr>
                <w:webHidden/>
                <w:rStyle w:val="IndexLink"/>
              </w:rPr>
              <w:t>1.6.5 5.3 Channel-count sweep (1..4 ch, 1 desc each, 512 KB per channel, delay 0)</w:t>
              <w:tab/>
              <w:t>30</w:t>
            </w:r>
          </w:hyperlink>
        </w:p>
        <w:p>
          <w:pPr>
            <w:pStyle w:val="TOC3"/>
            <w:tabs>
              <w:tab w:val="clear" w:pos="8793"/>
              <w:tab w:val="right" w:pos="9359" w:leader="dot"/>
            </w:tabs>
            <w:rPr/>
          </w:pPr>
          <w:hyperlink w:anchor="__RefHeading___Toc5395_2017609637">
            <w:r>
              <w:rPr>
                <w:webHidden/>
                <w:rStyle w:val="IndexLink"/>
              </w:rPr>
              <w:t>1.6.6 Figure 5.3: Throughput vs. active channel count</w:t>
              <w:tab/>
              <w:t>30</w:t>
            </w:r>
          </w:hyperlink>
        </w:p>
        <w:p>
          <w:pPr>
            <w:pStyle w:val="TOC3"/>
            <w:tabs>
              <w:tab w:val="clear" w:pos="8793"/>
              <w:tab w:val="right" w:pos="9359" w:leader="dot"/>
            </w:tabs>
            <w:rPr/>
          </w:pPr>
          <w:hyperlink w:anchor="__RefHeading___Toc5397_2017609637">
            <w:r>
              <w:rPr>
                <w:webHidden/>
                <w:rStyle w:val="IndexLink"/>
              </w:rPr>
              <w:t>1.6.7 5.4 Transfer-size sweep (1 ch, 1 desc, 8 KB → 1 MB, delay 0)</w:t>
              <w:tab/>
              <w:t>31</w:t>
            </w:r>
          </w:hyperlink>
        </w:p>
        <w:p>
          <w:pPr>
            <w:pStyle w:val="TOC3"/>
            <w:tabs>
              <w:tab w:val="clear" w:pos="8793"/>
              <w:tab w:val="right" w:pos="9359" w:leader="dot"/>
            </w:tabs>
            <w:rPr/>
          </w:pPr>
          <w:hyperlink w:anchor="__RefHeading___Toc5399_2017609637">
            <w:r>
              <w:rPr>
                <w:webHidden/>
                <w:rStyle w:val="IndexLink"/>
              </w:rPr>
              <w:t>1.6.8 Figure 5.4: Software-visible throughput vs. transfer size</w:t>
              <w:tab/>
              <w:t>31</w:t>
            </w:r>
          </w:hyperlink>
        </w:p>
        <w:p>
          <w:pPr>
            <w:pStyle w:val="TOC2"/>
            <w:tabs>
              <w:tab w:val="clear" w:pos="9077"/>
              <w:tab w:val="right" w:pos="9359" w:leader="dot"/>
            </w:tabs>
            <w:rPr/>
          </w:pPr>
          <w:hyperlink w:anchor="__RefHeading___Toc5401_2017609637">
            <w:r>
              <w:rPr>
                <w:webHidden/>
                <w:rStyle w:val="IndexLink"/>
              </w:rPr>
              <w:t>1.7 6. 2-D crosses</w:t>
              <w:tab/>
              <w:t>32</w:t>
            </w:r>
          </w:hyperlink>
        </w:p>
        <w:p>
          <w:pPr>
            <w:pStyle w:val="TOC3"/>
            <w:tabs>
              <w:tab w:val="clear" w:pos="8793"/>
              <w:tab w:val="right" w:pos="9359" w:leader="dot"/>
            </w:tabs>
            <w:rPr/>
          </w:pPr>
          <w:hyperlink w:anchor="__RefHeading___Toc5403_2017609637">
            <w:r>
              <w:rPr>
                <w:webHidden/>
                <w:rStyle w:val="IndexLink"/>
              </w:rPr>
              <w:t xml:space="preserve">1.7.1 6.1 Channels × delay (1 desc, 512 KB) — </w:t>
            </w:r>
            <w:r>
              <w:rPr>
                <w:rStyle w:val="IndexLink"/>
                <w:i/>
                <w:iCs/>
              </w:rPr>
              <w:t>the key result</w:t>
            </w:r>
            <w:r>
              <w:rPr>
                <w:rStyle w:val="IndexLink"/>
              </w:rPr>
              <w:tab/>
              <w:t>32</w:t>
            </w:r>
          </w:hyperlink>
        </w:p>
        <w:p>
          <w:pPr>
            <w:pStyle w:val="TOC3"/>
            <w:tabs>
              <w:tab w:val="clear" w:pos="8793"/>
              <w:tab w:val="right" w:pos="9359" w:leader="dot"/>
            </w:tabs>
            <w:rPr/>
          </w:pPr>
          <w:hyperlink w:anchor="__RefHeading___Toc5405_2017609637">
            <w:r>
              <w:rPr>
                <w:webHidden/>
                <w:rStyle w:val="IndexLink"/>
              </w:rPr>
              <w:t>1.7.2 Figure 6.1: Throughput surface — channels × memory latency</w:t>
              <w:tab/>
              <w:t>32</w:t>
            </w:r>
          </w:hyperlink>
        </w:p>
        <w:p>
          <w:pPr>
            <w:pStyle w:val="TOC3"/>
            <w:tabs>
              <w:tab w:val="clear" w:pos="8793"/>
              <w:tab w:val="right" w:pos="9359" w:leader="dot"/>
            </w:tabs>
            <w:rPr/>
          </w:pPr>
          <w:hyperlink w:anchor="__RefHeading___Toc5407_2017609637">
            <w:r>
              <w:rPr>
                <w:webHidden/>
                <w:rStyle w:val="IndexLink"/>
              </w:rPr>
              <w:t>1.7.3 Figure 6.2: Per-channel-count slices</w:t>
              <w:tab/>
              <w:t>33</w:t>
            </w:r>
          </w:hyperlink>
        </w:p>
        <w:p>
          <w:pPr>
            <w:pStyle w:val="TOC3"/>
            <w:tabs>
              <w:tab w:val="clear" w:pos="8793"/>
              <w:tab w:val="right" w:pos="9359" w:leader="dot"/>
            </w:tabs>
            <w:rPr/>
          </w:pPr>
          <w:hyperlink w:anchor="__RefHeading___Toc5409_2017609637">
            <w:r>
              <w:rPr>
                <w:webHidden/>
                <w:rStyle w:val="IndexLink"/>
              </w:rPr>
              <w:t>1.7.4 6.2 Descriptors × delay (1 ch, 512 KB)</w:t>
              <w:tab/>
              <w:t>34</w:t>
            </w:r>
          </w:hyperlink>
        </w:p>
        <w:p>
          <w:pPr>
            <w:pStyle w:val="TOC3"/>
            <w:tabs>
              <w:tab w:val="clear" w:pos="8793"/>
              <w:tab w:val="right" w:pos="9359" w:leader="dot"/>
            </w:tabs>
            <w:rPr/>
          </w:pPr>
          <w:hyperlink w:anchor="__RefHeading___Toc5411_2017609637">
            <w:r>
              <w:rPr>
                <w:webHidden/>
                <w:rStyle w:val="IndexLink"/>
              </w:rPr>
              <w:t>1.7.5 Figure 6.3: Throughput surface — descriptors × memory latency</w:t>
              <w:tab/>
              <w:t>34</w:t>
            </w:r>
          </w:hyperlink>
        </w:p>
        <w:p>
          <w:pPr>
            <w:pStyle w:val="TOC3"/>
            <w:tabs>
              <w:tab w:val="clear" w:pos="8793"/>
              <w:tab w:val="right" w:pos="9359" w:leader="dot"/>
            </w:tabs>
            <w:rPr/>
          </w:pPr>
          <w:hyperlink w:anchor="__RefHeading___Toc5413_2017609637">
            <w:r>
              <w:rPr>
                <w:webHidden/>
                <w:rStyle w:val="IndexLink"/>
              </w:rPr>
              <w:t>1.7.6 Figure 6.4: Per-descriptor-count slices</w:t>
              <w:tab/>
              <w:t>35</w:t>
            </w:r>
          </w:hyperlink>
        </w:p>
        <w:p>
          <w:pPr>
            <w:pStyle w:val="TOC3"/>
            <w:tabs>
              <w:tab w:val="clear" w:pos="8793"/>
              <w:tab w:val="right" w:pos="9359" w:leader="dot"/>
            </w:tabs>
            <w:rPr/>
          </w:pPr>
          <w:hyperlink w:anchor="__RefHeading___Toc5415_2017609637">
            <w:r>
              <w:rPr>
                <w:webHidden/>
                <w:rStyle w:val="IndexLink"/>
              </w:rPr>
              <w:t>1.7.7 6.3 Channels × descriptors (delay 0)</w:t>
              <w:tab/>
              <w:t>36</w:t>
            </w:r>
          </w:hyperlink>
        </w:p>
        <w:p>
          <w:pPr>
            <w:pStyle w:val="TOC3"/>
            <w:tabs>
              <w:tab w:val="clear" w:pos="8793"/>
              <w:tab w:val="right" w:pos="9359" w:leader="dot"/>
            </w:tabs>
            <w:rPr/>
          </w:pPr>
          <w:hyperlink w:anchor="__RefHeading___Toc5417_2017609637">
            <w:r>
              <w:rPr>
                <w:webHidden/>
                <w:rStyle w:val="IndexLink"/>
              </w:rPr>
              <w:t>1.7.8 Figure 6.5: Throughput surface — channels × descriptors at zero latency</w:t>
              <w:tab/>
              <w:t>36</w:t>
            </w:r>
          </w:hyperlink>
        </w:p>
        <w:p>
          <w:pPr>
            <w:pStyle w:val="TOC3"/>
            <w:tabs>
              <w:tab w:val="clear" w:pos="8793"/>
              <w:tab w:val="right" w:pos="9359" w:leader="dot"/>
            </w:tabs>
            <w:rPr/>
          </w:pPr>
          <w:hyperlink w:anchor="__RefHeading___Toc5419_2017609637">
            <w:r>
              <w:rPr>
                <w:webHidden/>
                <w:rStyle w:val="IndexLink"/>
              </w:rPr>
              <w:t>1.7.9 Figure 6.6: Per-descriptor slices at zero latency</w:t>
              <w:tab/>
              <w:t>37</w:t>
            </w:r>
          </w:hyperlink>
        </w:p>
        <w:p>
          <w:pPr>
            <w:pStyle w:val="TOC2"/>
            <w:tabs>
              <w:tab w:val="clear" w:pos="9077"/>
              <w:tab w:val="right" w:pos="9359" w:leader="dot"/>
            </w:tabs>
            <w:rPr/>
          </w:pPr>
          <w:hyperlink w:anchor="__RefHeading___Toc5421_2017609637">
            <w:r>
              <w:rPr>
                <w:webHidden/>
                <w:rStyle w:val="IndexLink"/>
              </w:rPr>
              <w:t>1.8 7. The architectural picture: Little’s Law on real silicon</w:t>
              <w:tab/>
              <w:t>38</w:t>
            </w:r>
          </w:hyperlink>
        </w:p>
        <w:p>
          <w:pPr>
            <w:pStyle w:val="TOC3"/>
            <w:tabs>
              <w:tab w:val="clear" w:pos="8793"/>
              <w:tab w:val="right" w:pos="9359" w:leader="dot"/>
            </w:tabs>
            <w:rPr/>
          </w:pPr>
          <w:hyperlink w:anchor="__RefHeading___Toc5423_2017609637">
            <w:r>
              <w:rPr>
                <w:webHidden/>
                <w:rStyle w:val="IndexLink"/>
              </w:rPr>
              <w:t>1.8.1 Figure 7.1: Pre-cliff, knee, post-cliff regimes</w:t>
              <w:tab/>
              <w:t>38</w:t>
            </w:r>
          </w:hyperlink>
        </w:p>
        <w:p>
          <w:pPr>
            <w:pStyle w:val="TOC2"/>
            <w:tabs>
              <w:tab w:val="clear" w:pos="9077"/>
              <w:tab w:val="right" w:pos="9359" w:leader="dot"/>
            </w:tabs>
            <w:rPr/>
          </w:pPr>
          <w:hyperlink w:anchor="__RefHeading___Toc5425_2017609637">
            <w:r>
              <w:rPr>
                <w:webHidden/>
                <w:rStyle w:val="IndexLink"/>
              </w:rPr>
              <w:t>1.9 8. What we learned</w:t>
              <w:tab/>
              <w:t>38</w:t>
            </w:r>
          </w:hyperlink>
        </w:p>
        <w:p>
          <w:pPr>
            <w:pStyle w:val="TOC2"/>
            <w:tabs>
              <w:tab w:val="clear" w:pos="9077"/>
              <w:tab w:val="right" w:pos="9359" w:leader="dot"/>
            </w:tabs>
            <w:rPr/>
          </w:pPr>
          <w:hyperlink w:anchor="__RefHeading___Toc5427_2017609637">
            <w:r>
              <w:rPr>
                <w:webHidden/>
                <w:rStyle w:val="IndexLink"/>
              </w:rPr>
              <w:t>1.10 9. Setup for Phase 2: Vivado IP DMA comparison</w:t>
              <w:tab/>
              <w:t>39</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Harness_top_level_bl">
        <w:r>
          <w:rPr>
            <w:rStyle w:val="ListLabel1"/>
            <w:color w:val="000000"/>
            <w:sz w:val="24"/>
          </w:rPr>
          <w:t>Figure 3.1: Harness top-level block diagram</w:t>
        </w:r>
        <w:r>
          <w:rPr>
            <w:rStyle w:val="ListLabel1"/>
          </w:rPr>
          <w:tab/>
        </w:r>
        <w:r>
          <w:rPr>
            <w:rStyle w:val="ListLabel1"/>
          </w:rPr>
          <w:fldChar w:fldCharType="begin"/>
        </w:r>
        <w:r>
          <w:rPr>
            <w:rStyle w:val="ListLabel1"/>
          </w:rPr>
          <w:instrText xml:space="preserve"> PAGEREF _Fig_1_Harness_top_level_bl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2_Read__and_write_path">
        <w:r>
          <w:rPr>
            <w:rStyle w:val="ListLabel1"/>
            <w:color w:val="000000"/>
            <w:sz w:val="24"/>
          </w:rPr>
          <w:t>Figure 3.2: Read- and write-path data flow</w:t>
        </w:r>
        <w:r>
          <w:rPr>
            <w:rStyle w:val="ListLabel1"/>
          </w:rPr>
          <w:tab/>
        </w:r>
        <w:r>
          <w:rPr>
            <w:rStyle w:val="ListLabel1"/>
          </w:rPr>
          <w:fldChar w:fldCharType="begin"/>
        </w:r>
        <w:r>
          <w:rPr>
            <w:rStyle w:val="ListLabel1"/>
          </w:rPr>
          <w:instrText xml:space="preserve"> PAGEREF _Fig_2_Read__and_write_path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axi_response_delay_i">
        <w:r>
          <w:rPr>
            <w:rStyle w:val="ListLabel1"/>
            <w:color w:val="000000"/>
            <w:sz w:val="24"/>
          </w:rPr>
          <w:t>Figure 3.3: axi_response_delay internals</w:t>
        </w:r>
        <w:r>
          <w:rPr>
            <w:rStyle w:val="ListLabel1"/>
          </w:rPr>
          <w:tab/>
        </w:r>
        <w:r>
          <w:rPr>
            <w:rStyle w:val="ListLabel1"/>
          </w:rPr>
          <w:fldChar w:fldCharType="begin"/>
        </w:r>
        <w:r>
          <w:rPr>
            <w:rStyle w:val="ListLabel1"/>
          </w:rPr>
          <w:instrText xml:space="preserve"> PAGEREF _Fig_3_axi_response_delay_i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4_CSR_driven_kick_burs">
        <w:r>
          <w:rPr>
            <w:rStyle w:val="ListLabel1"/>
            <w:color w:val="000000"/>
            <w:sz w:val="24"/>
          </w:rPr>
          <w:t>Figure 3.4: CSR-driven kick-burst path</w:t>
        </w:r>
        <w:r>
          <w:rPr>
            <w:rStyle w:val="ListLabel1"/>
          </w:rPr>
          <w:tab/>
        </w:r>
        <w:r>
          <w:rPr>
            <w:rStyle w:val="ListLabel1"/>
          </w:rPr>
          <w:fldChar w:fldCharType="begin"/>
        </w:r>
        <w:r>
          <w:rPr>
            <w:rStyle w:val="ListLabel1"/>
          </w:rPr>
          <w:instrText xml:space="preserve"> PAGEREF _Fig_4_CSR_driven_kick_burs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5_Timer_windows_on_the">
        <w:r>
          <w:rPr>
            <w:rStyle w:val="ListLabel1"/>
            <w:color w:val="000000"/>
            <w:sz w:val="24"/>
          </w:rPr>
          <w:t>Figure 3.5: Timer windows on the test timeline</w:t>
        </w:r>
        <w:r>
          <w:rPr>
            <w:rStyle w:val="ListLabel1"/>
          </w:rPr>
          <w:tab/>
        </w:r>
        <w:r>
          <w:rPr>
            <w:rStyle w:val="ListLabel1"/>
          </w:rPr>
          <w:fldChar w:fldCharType="begin"/>
        </w:r>
        <w:r>
          <w:rPr>
            <w:rStyle w:val="ListLabel1"/>
          </w:rPr>
          <w:instrText xml:space="preserve"> PAGEREF _Fig_5_Timer_windows_on_the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6_Throughput_vs__memor">
        <w:r>
          <w:rPr>
            <w:rStyle w:val="ListLabel1"/>
            <w:color w:val="000000"/>
            <w:sz w:val="24"/>
          </w:rPr>
          <w:t>Figure 5.1: Throughput vs. memory latency (1 channel)</w:t>
        </w:r>
        <w:r>
          <w:rPr>
            <w:rStyle w:val="ListLabel1"/>
          </w:rPr>
          <w:tab/>
        </w:r>
        <w:r>
          <w:rPr>
            <w:rStyle w:val="ListLabel1"/>
          </w:rPr>
          <w:fldChar w:fldCharType="begin"/>
        </w:r>
        <w:r>
          <w:rPr>
            <w:rStyle w:val="ListLabel1"/>
          </w:rPr>
          <w:instrText xml:space="preserve"> PAGEREF _Fig_6_Throughput_vs__memor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Fig_7_Throughput_vs__descr">
        <w:r>
          <w:rPr>
            <w:rStyle w:val="ListLabel1"/>
            <w:color w:val="000000"/>
            <w:sz w:val="24"/>
          </w:rPr>
          <w:t>Figure 5.2: Throughput vs. descriptor chain length</w:t>
        </w:r>
        <w:r>
          <w:rPr>
            <w:rStyle w:val="ListLabel1"/>
          </w:rPr>
          <w:tab/>
        </w:r>
        <w:r>
          <w:rPr>
            <w:rStyle w:val="ListLabel1"/>
          </w:rPr>
          <w:fldChar w:fldCharType="begin"/>
        </w:r>
        <w:r>
          <w:rPr>
            <w:rStyle w:val="ListLabel1"/>
          </w:rPr>
          <w:instrText xml:space="preserve"> PAGEREF _Fig_7_Throughput_vs__descr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8_Throughput_vs__activ">
        <w:r>
          <w:rPr>
            <w:rStyle w:val="ListLabel1"/>
            <w:color w:val="000000"/>
            <w:sz w:val="24"/>
          </w:rPr>
          <w:t>Figure 5.3: Throughput vs. active channel count</w:t>
        </w:r>
        <w:r>
          <w:rPr>
            <w:rStyle w:val="ListLabel1"/>
          </w:rPr>
          <w:tab/>
        </w:r>
        <w:r>
          <w:rPr>
            <w:rStyle w:val="ListLabel1"/>
          </w:rPr>
          <w:fldChar w:fldCharType="begin"/>
        </w:r>
        <w:r>
          <w:rPr>
            <w:rStyle w:val="ListLabel1"/>
          </w:rPr>
          <w:instrText xml:space="preserve"> PAGEREF _Fig_8_Throughput_vs__activ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Fig_9_Software_visible_thr">
        <w:r>
          <w:rPr>
            <w:rStyle w:val="ListLabel1"/>
            <w:color w:val="000000"/>
            <w:sz w:val="24"/>
          </w:rPr>
          <w:t>Figure 5.4: Software-visible throughput vs. transfer size</w:t>
        </w:r>
        <w:r>
          <w:rPr>
            <w:rStyle w:val="ListLabel1"/>
          </w:rPr>
          <w:tab/>
        </w:r>
        <w:r>
          <w:rPr>
            <w:rStyle w:val="ListLabel1"/>
          </w:rPr>
          <w:fldChar w:fldCharType="begin"/>
        </w:r>
        <w:r>
          <w:rPr>
            <w:rStyle w:val="ListLabel1"/>
          </w:rPr>
          <w:instrText xml:space="preserve"> PAGEREF _Fig_9_Software_visible_thr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10_Throughput_surface__">
        <w:r>
          <w:rPr>
            <w:rStyle w:val="ListLabel1"/>
            <w:color w:val="000000"/>
            <w:sz w:val="24"/>
          </w:rPr>
          <w:t>Figure 6.1: Throughput surface — channels × memory latency</w:t>
        </w:r>
        <w:r>
          <w:rPr>
            <w:rStyle w:val="ListLabel1"/>
          </w:rPr>
          <w:tab/>
        </w:r>
        <w:r>
          <w:rPr>
            <w:rStyle w:val="ListLabel1"/>
          </w:rPr>
          <w:fldChar w:fldCharType="begin"/>
        </w:r>
        <w:r>
          <w:rPr>
            <w:rStyle w:val="ListLabel1"/>
          </w:rPr>
          <w:instrText xml:space="preserve"> PAGEREF _Fig_10_Throughput_surface__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11_Per_channel_count_sl">
        <w:r>
          <w:rPr>
            <w:rStyle w:val="ListLabel1"/>
            <w:color w:val="000000"/>
            <w:sz w:val="24"/>
          </w:rPr>
          <w:t>Figure 6.2: Per-channel-count slices</w:t>
        </w:r>
        <w:r>
          <w:rPr>
            <w:rStyle w:val="ListLabel1"/>
          </w:rPr>
          <w:tab/>
        </w:r>
        <w:r>
          <w:rPr>
            <w:rStyle w:val="ListLabel1"/>
          </w:rPr>
          <w:fldChar w:fldCharType="begin"/>
        </w:r>
        <w:r>
          <w:rPr>
            <w:rStyle w:val="ListLabel1"/>
          </w:rPr>
          <w:instrText xml:space="preserve"> PAGEREF _Fig_11_Per_channel_count_sl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12_Throughput_surface__">
        <w:r>
          <w:rPr>
            <w:rStyle w:val="ListLabel1"/>
            <w:color w:val="000000"/>
            <w:sz w:val="24"/>
          </w:rPr>
          <w:t>Figure 6.3: Throughput surface — descriptors × memory latency</w:t>
        </w:r>
        <w:r>
          <w:rPr>
            <w:rStyle w:val="ListLabel1"/>
          </w:rPr>
          <w:tab/>
        </w:r>
        <w:r>
          <w:rPr>
            <w:rStyle w:val="ListLabel1"/>
          </w:rPr>
          <w:fldChar w:fldCharType="begin"/>
        </w:r>
        <w:r>
          <w:rPr>
            <w:rStyle w:val="ListLabel1"/>
          </w:rPr>
          <w:instrText xml:space="preserve"> PAGEREF _Fig_12_Throughput_surface__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13_Per_descriptor_count">
        <w:r>
          <w:rPr>
            <w:rStyle w:val="ListLabel1"/>
            <w:color w:val="000000"/>
            <w:sz w:val="24"/>
          </w:rPr>
          <w:t>Figure 6.4: Per-descriptor-count slices</w:t>
        </w:r>
        <w:r>
          <w:rPr>
            <w:rStyle w:val="ListLabel1"/>
          </w:rPr>
          <w:tab/>
        </w:r>
        <w:r>
          <w:rPr>
            <w:rStyle w:val="ListLabel1"/>
          </w:rPr>
          <w:fldChar w:fldCharType="begin"/>
        </w:r>
        <w:r>
          <w:rPr>
            <w:rStyle w:val="ListLabel1"/>
          </w:rPr>
          <w:instrText xml:space="preserve"> PAGEREF _Fig_13_Per_descriptor_count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14_Throughput_surface__">
        <w:r>
          <w:rPr>
            <w:rStyle w:val="ListLabel1"/>
            <w:color w:val="000000"/>
            <w:sz w:val="24"/>
          </w:rPr>
          <w:t>Figure 6.5: Throughput surface — channels × descriptors at zero latency</w:t>
        </w:r>
        <w:r>
          <w:rPr>
            <w:rStyle w:val="ListLabel1"/>
          </w:rPr>
          <w:tab/>
        </w:r>
        <w:r>
          <w:rPr>
            <w:rStyle w:val="ListLabel1"/>
          </w:rPr>
          <w:fldChar w:fldCharType="begin"/>
        </w:r>
        <w:r>
          <w:rPr>
            <w:rStyle w:val="ListLabel1"/>
          </w:rPr>
          <w:instrText xml:space="preserve"> PAGEREF _Fig_14_Throughput_surface__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15_Per_descriptor_slice">
        <w:r>
          <w:rPr>
            <w:rStyle w:val="ListLabel1"/>
            <w:color w:val="000000"/>
            <w:sz w:val="24"/>
          </w:rPr>
          <w:t>Figure 6.6: Per-descriptor slices at zero latency</w:t>
        </w:r>
        <w:r>
          <w:rPr>
            <w:rStyle w:val="ListLabel1"/>
          </w:rPr>
          <w:tab/>
        </w:r>
        <w:r>
          <w:rPr>
            <w:rStyle w:val="ListLabel1"/>
          </w:rPr>
          <w:fldChar w:fldCharType="begin"/>
        </w:r>
        <w:r>
          <w:rPr>
            <w:rStyle w:val="ListLabel1"/>
          </w:rPr>
          <w:instrText xml:space="preserve"> PAGEREF _Fig_15_Per_descriptor_slice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16_Pre_cliff__knee__pos">
        <w:r>
          <w:rPr>
            <w:rStyle w:val="ListLabel1"/>
            <w:color w:val="000000"/>
            <w:sz w:val="24"/>
          </w:rPr>
          <w:t>Figure 7.1: Pre-cliff, knee, post-cliff regimes</w:t>
        </w:r>
        <w:r>
          <w:rPr>
            <w:rStyle w:val="ListLabel1"/>
          </w:rPr>
          <w:tab/>
        </w:r>
        <w:r>
          <w:rPr>
            <w:rStyle w:val="ListLabel1"/>
          </w:rPr>
          <w:fldChar w:fldCharType="begin"/>
        </w:r>
        <w:r>
          <w:rPr>
            <w:rStyle w:val="ListLabel1"/>
          </w:rPr>
          <w:instrText xml:space="preserve"> PAGEREF _Fig_16_Pre_cliff__knee__pos \h </w:instrText>
        </w:r>
        <w:r>
          <w:rPr>
            <w:rStyle w:val="ListLabel1"/>
          </w:rPr>
          <w:fldChar w:fldCharType="separate"/>
        </w:r>
        <w:r>
          <w:rPr>
            <w:rStyle w:val="ListLabel1"/>
          </w:rPr>
          <w:t>38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shd w:val="clear" w:color="auto" w:fill="404040"/>
        <w:spacing w:before="360" w:after="120"/>
        <w:rPr/>
      </w:pPr>
      <w:bookmarkStart w:id="0" w:name="__RefHeading___Toc5339_2017609637"/>
      <w:bookmarkStart w:id="1" w:name="Xb8542e999c8b48157a04ab9f3bc0a2d89350413"/>
      <w:bookmarkEnd w:id="0"/>
      <w:r>
        <w:rPr>
          <w:rStyle w:val="SectionNumber"/>
          <w:b/>
          <w:color w:val="FFFFFF"/>
          <w:sz w:val="32"/>
        </w:rPr>
        <w:t>1</w:t>
      </w:r>
      <w:r>
        <w:rPr>
          <w:b/>
          <w:color w:val="FFFFFF"/>
          <w:sz w:val="32"/>
        </w:rPr>
        <w:tab/>
        <w:t>STREAM DMA Engine — Phase 1 Characterization Report</w:t>
      </w:r>
    </w:p>
    <w:p>
      <w:pPr>
        <w:pStyle w:val="FirstParagraph"/>
        <w:rPr/>
      </w:pPr>
      <w:r>
        <w:rPr>
          <w:b/>
          <w:bCs/>
          <w:sz w:val="20"/>
        </w:rPr>
        <w:t>Component:</w:t>
      </w:r>
      <w:r>
        <w:rPr>
          <w:sz w:val="20"/>
        </w:rPr>
        <w:t xml:space="preserve"> STREAM DMA (</w:t>
      </w:r>
      <w:r>
        <w:rPr>
          <w:rStyle w:val="VerbatimChar"/>
          <w:sz w:val="20"/>
        </w:rPr>
        <w:t>stream_top_ch8</w:t>
      </w:r>
      <w:r>
        <w:rPr>
          <w:sz w:val="20"/>
        </w:rPr>
        <w:t xml:space="preserve">) </w:t>
      </w:r>
      <w:r>
        <w:rPr>
          <w:b/>
          <w:bCs/>
          <w:sz w:val="20"/>
        </w:rPr>
        <w:t>Platform:</w:t>
      </w:r>
      <w:r>
        <w:rPr>
          <w:sz w:val="20"/>
        </w:rPr>
        <w:t xml:space="preserve"> Digilent Nexys A7-100T (Xilinx Artix-7 100T, 100 MHz, </w:t>
      </w:r>
      <w:r>
        <w:rPr>
          <w:b/>
          <w:bCs/>
          <w:sz w:val="20"/>
        </w:rPr>
        <w:t>8-channel build</w:t>
      </w:r>
      <w:r>
        <w:rPr>
          <w:sz w:val="20"/>
        </w:rPr>
        <w:t xml:space="preserve">, -1 speed grade) </w:t>
      </w:r>
      <w:r>
        <w:rPr>
          <w:b/>
          <w:bCs/>
          <w:sz w:val="20"/>
        </w:rPr>
        <w:t>Status:</w:t>
      </w:r>
      <w:r>
        <w:rPr>
          <w:sz w:val="20"/>
        </w:rPr>
        <w:t xml:space="preserve"> Phase 1 (in-house DMA characterization) complete; Phase 2 will swap in a Vivado IP DMA for head-to-head PPA comparison.</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 w:name="__RefHeading___Toc5341_2017609637"/>
      <w:bookmarkStart w:id="3" w:name="resource-footprint"/>
      <w:bookmarkEnd w:id="2"/>
      <w:r>
        <w:rPr>
          <w:rStyle w:val="SectionNumber"/>
          <w:b/>
          <w:color w:val="228B22"/>
          <w:sz w:val="28"/>
        </w:rPr>
        <w:t>1.1</w:t>
      </w:r>
      <w:r>
        <w:rPr>
          <w:b/>
          <w:color w:val="228B22"/>
          <w:sz w:val="28"/>
        </w:rPr>
        <w:tab/>
        <w:t>0. Resource footprint</w:t>
      </w:r>
    </w:p>
    <w:p>
      <w:pPr>
        <w:pStyle w:val="FirstParagraph"/>
        <w:rPr/>
      </w:pPr>
      <w:r>
        <w:rPr>
          <w:sz w:val="20"/>
        </w:rPr>
        <w:t xml:space="preserve">Before the dynamic numbers, the static cost. The numbers below are post-route on </w:t>
      </w:r>
      <w:r>
        <w:rPr>
          <w:rStyle w:val="VerbatimChar"/>
          <w:sz w:val="20"/>
        </w:rPr>
        <w:t>xc7a100tcsg324-1</w:t>
      </w:r>
      <w:r>
        <w:rPr>
          <w:sz w:val="20"/>
        </w:rPr>
        <w:t>, NUM_CHANNELS = 8, all monitors enabled, harness included. WNS = +0.296 ns, 0 failing endpoints, 0 hold violations.</w:t>
      </w:r>
    </w:p>
    <w:p>
      <w:pPr>
        <w:pStyle w:val="Heading3"/>
        <w:spacing w:before="200" w:after="80"/>
        <w:rPr/>
      </w:pPr>
      <w:bookmarkStart w:id="4" w:name="__RefHeading___Toc5343_2017609637"/>
      <w:bookmarkEnd w:id="4"/>
      <w:r>
        <w:rPr>
          <w:rStyle w:val="SectionNumber"/>
          <w:b/>
          <w:color w:val="404040"/>
          <w:sz w:val="24"/>
        </w:rPr>
        <w:t>1.1.1</w:t>
      </w:r>
      <w:r>
        <w:rPr>
          <w:b/>
          <w:color w:val="404040"/>
          <w:sz w:val="24"/>
        </w:rPr>
        <w:tab/>
        <w:t xml:space="preserve">0.1 Top-level — </w:t>
      </w:r>
      <w:r>
        <w:rPr>
          <w:rStyle w:val="VerbatimChar"/>
          <w:b/>
          <w:color w:val="404040"/>
          <w:sz w:val="24"/>
        </w:rPr>
        <w:t>stream_char_top</w:t>
      </w:r>
    </w:p>
    <w:p>
      <w:pPr>
        <w:pStyle w:val="FirstParagraph"/>
        <w:rPr/>
      </w:pPr>
      <w:r>
        <w:rPr>
          <w:sz w:val="20"/>
        </w:rPr>
        <w:t>The DUT (</w:t>
      </w:r>
      <w:r>
        <w:rPr>
          <w:rStyle w:val="VerbatimChar"/>
          <w:sz w:val="20"/>
        </w:rPr>
        <w:t>u_stream</w:t>
      </w:r>
      <w:r>
        <w:rPr>
          <w:sz w:val="20"/>
        </w:rPr>
        <w:t xml:space="preserve"> = </w:t>
      </w:r>
      <w:r>
        <w:rPr>
          <w:rStyle w:val="VerbatimChar"/>
          <w:sz w:val="20"/>
        </w:rPr>
        <w:t>stream_top_ch8</w:t>
      </w:r>
      <w:r>
        <w:rPr>
          <w:sz w:val="20"/>
        </w:rPr>
        <w:t>) accounts for ~70 % of LUTs / ~72 % of FFs. Everything else is harness: traffic generator + CRC checker on each AXI side, a programmable response-delay block per side, descriptor RAM, monitor trace buffer, UART bridge, datapath utilization meters, and the host AXIL fanout. None of the harness blocks scale with NUM_CHANNELS; only the DUT does.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23"/>
        <w:gridCol w:w="1123"/>
        <w:gridCol w:w="1498"/>
        <w:gridCol w:w="1497"/>
        <w:gridCol w:w="1498"/>
        <w:gridCol w:w="1497"/>
        <w:gridCol w:w="1123"/>
      </w:tblGrid>
      <w:tr>
        <w:trPr>
          <w:tblHeader w:val="true"/>
        </w:trPr>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9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4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49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4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DSP</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u_stream</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20 370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20 568</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 monitors (see §0.2)</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u_bridge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bridge_stream_char_axil</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1 899</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1 777</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AXIL xbar fanout (CSR / desc-ram / STREAM APB / debug-SRAM / status)</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u_csr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1 427</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613</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registers (kick, timer, resp-delay knobs, status mirror)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u_rd_pattern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axi4_slave_rd_pattern_gen</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1 419</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1 222</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R-side LFSR pattern generator + per-channel CRC slave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u_wr_crc_check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axi4_slave_wr_crc_check</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1 331</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943</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W-side per-channel CRC checker slave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u_desc_ram</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814</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574</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source memory (LUTRAM, 128 × 256 b)</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u_uart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459</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617</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RX/TX → AXIL host bridge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u_debug_sram</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454</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trace capture buffer (4096 × 32 b)</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u_rd_resp_delay</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R-side programmable memory-latency injector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u_wr_bus_meter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672</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W-bus datapath-utilization meter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u_rd_bus_meter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R-bus datapath-utilization meter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u_wr_resp_delay</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W-side memory-latency injector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u_harness (glue)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stream_char_harness</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455</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 + IO pin tie-off</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u_led_status_driver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led_status_driver</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Hz LED CDC driver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glue)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stream_char_top</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buffer + pin wiring</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stream_char_top</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29 124</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28 504</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14.5</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45.9 % LUT / 22.5 % FF / 8.7 % BRAM / 0.4 % DSP of xc7a100t</w:t>
            </w:r>
            <w:bookmarkStart w:id="5" w:name="top-level-stream_char_top"/>
            <w:bookmarkEnd w:id="5"/>
          </w:p>
        </w:tc>
      </w:tr>
    </w:tbl>
    <w:p>
      <w:pPr>
        <w:pStyle w:val="Heading3"/>
        <w:spacing w:before="200" w:after="80"/>
        <w:rPr/>
      </w:pPr>
      <w:bookmarkStart w:id="6" w:name="__RefHeading___Toc5345_2017609637"/>
      <w:bookmarkEnd w:id="6"/>
      <w:r>
        <w:rPr>
          <w:rStyle w:val="SectionNumber"/>
          <w:b/>
          <w:color w:val="404040"/>
          <w:sz w:val="24"/>
        </w:rPr>
        <w:t>1.1.2</w:t>
      </w:r>
      <w:r>
        <w:rPr>
          <w:b/>
          <w:color w:val="404040"/>
          <w:sz w:val="24"/>
        </w:rPr>
        <w:tab/>
        <w:t xml:space="preserve">0.2 Inside the DUT — </w:t>
      </w:r>
      <w:r>
        <w:rPr>
          <w:rStyle w:val="VerbatimChar"/>
          <w:b/>
          <w:color w:val="404040"/>
          <w:sz w:val="24"/>
        </w:rPr>
        <w:t>stream_top_ch8</w:t>
      </w:r>
    </w:p>
    <w:p>
      <w:pPr>
        <w:pStyle w:val="FirstParagraph"/>
        <w:rPr/>
      </w:pPr>
      <w:r>
        <w:rPr>
          <w:sz w:val="20"/>
        </w:rPr>
        <w:t xml:space="preserve">Roughly </w:t>
      </w:r>
      <w:r>
        <w:rPr>
          <w:b/>
          <w:bCs/>
          <w:sz w:val="20"/>
        </w:rPr>
        <w:t>half the DUT’s area is monitor infrastructure</w:t>
      </w:r>
      <w:r>
        <w:rPr>
          <w:sz w:val="20"/>
        </w:rPr>
        <w:t>, not DMA logic. The per-channel scheduler-side monitors aggregate into a tree (</w:t>
      </w:r>
      <w:r>
        <w:rPr>
          <w:rStyle w:val="VerbatimChar"/>
          <w:sz w:val="20"/>
        </w:rPr>
        <w:t>u_monbus_aggregator</w:t>
      </w:r>
      <w:r>
        <w:rPr>
          <w:sz w:val="20"/>
        </w:rPr>
        <w:t xml:space="preserve"> inside each </w:t>
      </w:r>
      <w:r>
        <w:rPr>
          <w:rStyle w:val="VerbatimChar"/>
          <w:sz w:val="20"/>
        </w:rPr>
        <w:t>scheduler_group</w:t>
      </w:r>
      <w:r>
        <w:rPr>
          <w:sz w:val="20"/>
        </w:rPr>
        <w:t xml:space="preserve">, then the top-level </w:t>
      </w:r>
      <w:r>
        <w:rPr>
          <w:rStyle w:val="VerbatimChar"/>
          <w:sz w:val="20"/>
        </w:rPr>
        <w:t>u_monbus_aggregator</w:t>
      </w:r>
      <w:r>
        <w:rPr>
          <w:sz w:val="20"/>
        </w:rPr>
        <w:t xml:space="preserve"> inside </w:t>
      </w:r>
      <w:r>
        <w:rPr>
          <w:rStyle w:val="VerbatimChar"/>
          <w:sz w:val="20"/>
        </w:rPr>
        <w:t>scheduler_group_array</w:t>
      </w:r>
      <w:r>
        <w:rPr>
          <w:sz w:val="20"/>
        </w:rPr>
        <w:t>), the descriptor read bus has its own full AXI monitor (</w:t>
      </w:r>
      <w:r>
        <w:rPr>
          <w:rStyle w:val="VerbatimChar"/>
          <w:sz w:val="20"/>
        </w:rPr>
        <w:t>u_desc_axi_monitor</w:t>
      </w:r>
      <w:r>
        <w:rPr>
          <w:sz w:val="20"/>
        </w:rPr>
        <w:t xml:space="preserve"> = </w:t>
      </w:r>
      <w:r>
        <w:rPr>
          <w:rStyle w:val="VerbatimChar"/>
          <w:sz w:val="20"/>
        </w:rPr>
        <w:t>axi4_master_rd_mon</w:t>
      </w:r>
      <w:r>
        <w:rPr>
          <w:sz w:val="20"/>
        </w:rPr>
        <w:t xml:space="preserve">), and </w:t>
      </w:r>
      <w:r>
        <w:rPr>
          <w:rStyle w:val="VerbatimChar"/>
          <w:sz w:val="20"/>
        </w:rPr>
        <w:t>u_monbus_axil_group</w:t>
      </w:r>
      <w:r>
        <w:rPr>
          <w:sz w:val="20"/>
        </w:rPr>
        <w:t xml:space="preserve"> drains all of that into the host AXIL (slow path = IRQ + slice counters, fast path = bulk trace into </w:t>
      </w:r>
      <w:r>
        <w:rPr>
          <w:rStyle w:val="VerbatimChar"/>
          <w:sz w:val="20"/>
        </w:rPr>
        <w:t>debug_sram</w:t>
      </w:r>
      <w:r>
        <w:rPr>
          <w:sz w:val="20"/>
        </w:rPr>
        <w:t>). This split is deliberate — the whole reason the engine is measurable on real silicon is that the monitor system is built 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23"/>
        <w:gridCol w:w="1123"/>
        <w:gridCol w:w="1498"/>
        <w:gridCol w:w="1497"/>
        <w:gridCol w:w="1498"/>
        <w:gridCol w:w="1497"/>
        <w:gridCol w:w="1123"/>
      </w:tblGrid>
      <w:tr>
        <w:trPr>
          <w:tblHeader w:val="true"/>
        </w:trPr>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9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4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49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4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DSP</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u_stream_core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stream_core</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17 931</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18 756</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 scheduler + per-channel monitors</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u_scheduler_group_array</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15 033</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16 488</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 </w:t>
            </w:r>
            <w:r>
              <w:rPr>
                <w:rStyle w:val="VerbatimChar"/>
                <w:rFonts w:eastAsia="Cambria" w:cs=""/>
                <w:kern w:val="0"/>
                <w:szCs w:val="24"/>
                <w:lang w:val="en-US" w:eastAsia="en-US" w:bidi="ar-SA"/>
              </w:rPr>
              <w:t>scheduler_group</w:t>
            </w:r>
            <w:r>
              <w:rPr>
                <w:rFonts w:eastAsia="Cambria" w:cs=""/>
                <w:kern w:val="0"/>
                <w:sz w:val="24"/>
                <w:szCs w:val="24"/>
                <w:lang w:val="en-US" w:eastAsia="en-US" w:bidi="ar-SA"/>
              </w:rPr>
              <w:t xml:space="preserve"> + desc-bus monitor + monbus tree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u_desc_axi_monitor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3 996</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4 618</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w:t>
            </w:r>
            <w:r>
              <w:rPr>
                <w:rFonts w:eastAsia="Cambria" w:cs=""/>
                <w:kern w:val="0"/>
                <w:sz w:val="24"/>
                <w:szCs w:val="24"/>
                <w:lang w:val="en-US" w:eastAsia="en-US" w:bidi="ar-SA"/>
              </w:rPr>
              <w:t xml:space="preserve"> on descriptor AXI bus (trans-mgr, addr-check, reporter)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u_monbus_aggregator (top)</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monbus_arbiter</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1 587</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2 202</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w:t>
            </w:r>
            <w:r>
              <w:rPr>
                <w:rFonts w:eastAsia="Cambria" w:cs=""/>
                <w:kern w:val="0"/>
                <w:sz w:val="24"/>
                <w:szCs w:val="24"/>
                <w:lang w:val="en-US" w:eastAsia="en-US" w:bidi="ar-SA"/>
              </w:rPr>
              <w:t xml:space="preserve"> RR arbiter merging 8 group streams → 1 stream</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8 × scheduler_group</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desc-engine + per-group monbus</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~1 170 ea</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~1 206 ea</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scheduler/desc-engine (~770 LUT) + monitor aggregator (~400 LUT)</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u_sram_controller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sram_controller</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1 350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write-side SRAM + alloc/drain ctrl</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u_axi_write_engine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618</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296</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AW/W master, pipelined req register, AW-issue logic</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u_axi_read_engine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AR master, pipelined req register, alloc handshake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u_rd_axi_skid</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 AXI skid buffer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u_wr_axi_skid</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166</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AW/W/B AXI skid buffer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u_perf_profiler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perf_profiler</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246</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performance profiler (uses the lone DSP for moving avg)</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u_monbus_axil_group</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monbus_axil_group</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572</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w:t>
            </w:r>
            <w:r>
              <w:rPr>
                <w:rFonts w:eastAsia="Cambria" w:cs=""/>
                <w:kern w:val="0"/>
                <w:sz w:val="24"/>
                <w:szCs w:val="24"/>
                <w:lang w:val="en-US" w:eastAsia="en-US" w:bidi="ar-SA"/>
              </w:rPr>
              <w:t xml:space="preserve"> sink — drains packets to AXIL (IRQ + bulk trace)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u_stream_regs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stream_regs</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822</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643</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STREAM CSR file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u_peakrdl_adapter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1 121</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cmd/rsp adapter</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u_apb4todescr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apb4todescr</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descriptor-load shim</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u_apb4_slave (passthrough)</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for STREAM config</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Subtotal (</w:t>
            </w:r>
            <w:r>
              <w:rPr>
                <w:rStyle w:val="VerbatimChar"/>
                <w:rFonts w:eastAsia="Cambria" w:cs=""/>
                <w:b/>
                <w:bCs/>
                <w:kern w:val="0"/>
                <w:szCs w:val="24"/>
                <w:lang w:val="en-US" w:eastAsia="en-US" w:bidi="ar-SA"/>
              </w:rPr>
              <w:t>u_stream</w:t>
            </w:r>
            <w:r>
              <w:rPr>
                <w:rFonts w:eastAsia="Cambria" w:cs=""/>
                <w:b/>
                <w:bCs/>
                <w:kern w:val="0"/>
                <w:sz w:val="24"/>
                <w:szCs w:val="24"/>
                <w:lang w:val="en-US" w:eastAsia="en-US" w:bidi="ar-SA"/>
              </w:rPr>
              <w: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20 370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20 568</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Of which </w:t>
            </w:r>
            <w:r>
              <w:rPr>
                <w:rFonts w:eastAsia="Cambria" w:cs=""/>
                <w:b/>
                <w:bCs/>
                <w:kern w:val="0"/>
                <w:sz w:val="24"/>
                <w:szCs w:val="24"/>
                <w:lang w:val="en-US" w:eastAsia="en-US" w:bidi="ar-SA"/>
              </w:rPr>
              <w:t>monitors</w:t>
            </w:r>
            <w:r>
              <w:rPr>
                <w:rFonts w:eastAsia="Cambria" w:cs=""/>
                <w:kern w:val="0"/>
                <w:sz w:val="24"/>
                <w:szCs w:val="24"/>
                <w:lang w:val="en-US" w:eastAsia="en-US" w:bidi="ar-SA"/>
              </w:rPr>
              <w:t>: u_desc_axi_monitor + monbus tree + monbus_axil_group + 8 × per-group monbus_aggregator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b/>
                <w:bCs/>
                <w:kern w:val="0"/>
                <w:sz w:val="24"/>
                <w:szCs w:val="24"/>
                <w:lang w:val="en-US" w:eastAsia="en-US" w:bidi="ar-SA"/>
              </w:rPr>
              <w:t>9 400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b/>
                <w:bCs/>
                <w:kern w:val="0"/>
                <w:sz w:val="24"/>
                <w:szCs w:val="24"/>
                <w:lang w:val="en-US" w:eastAsia="en-US" w:bidi="ar-SA"/>
              </w:rPr>
              <w:t>12 480</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~46 % LUT / ~61 % FF of </w:t>
            </w:r>
            <w:r>
              <w:rPr>
                <w:rStyle w:val="VerbatimChar"/>
                <w:rFonts w:eastAsia="Cambria" w:cs=""/>
                <w:b/>
                <w:bCs/>
                <w:kern w:val="0"/>
                <w:szCs w:val="24"/>
                <w:lang w:val="en-US" w:eastAsia="en-US" w:bidi="ar-SA"/>
              </w:rPr>
              <w:t>u_stream</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Of which </w:t>
            </w:r>
            <w:r>
              <w:rPr>
                <w:rFonts w:eastAsia="Cambria" w:cs=""/>
                <w:b/>
                <w:bCs/>
                <w:kern w:val="0"/>
                <w:sz w:val="24"/>
                <w:szCs w:val="24"/>
                <w:lang w:val="en-US" w:eastAsia="en-US" w:bidi="ar-SA"/>
              </w:rPr>
              <w:t>DMA core</w:t>
            </w:r>
            <w:r>
              <w:rPr>
                <w:rFonts w:eastAsia="Cambria" w:cs=""/>
                <w:kern w:val="0"/>
                <w:sz w:val="24"/>
                <w:szCs w:val="24"/>
                <w:lang w:val="en-US" w:eastAsia="en-US" w:bidi="ar-SA"/>
              </w:rPr>
              <w:t>: scheduler + desc-engine ×8 + engines + sram_controller + skids + perf + CSR plumbing</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b/>
                <w:bCs/>
                <w:kern w:val="0"/>
                <w:sz w:val="24"/>
                <w:szCs w:val="24"/>
                <w:lang w:val="en-US" w:eastAsia="en-US" w:bidi="ar-SA"/>
              </w:rPr>
              <w:t>11 000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b/>
                <w:bCs/>
                <w:kern w:val="0"/>
                <w:sz w:val="24"/>
                <w:szCs w:val="24"/>
                <w:lang w:val="en-US" w:eastAsia="en-US" w:bidi="ar-SA"/>
              </w:rPr>
              <w:t>8 100</w:t>
            </w:r>
          </w:p>
        </w:tc>
        <w:tc>
          <w:tcPr>
            <w:tcW w:w="149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4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7" w:name="__RefHeading___Toc5347_2017609637"/>
      <w:bookmarkEnd w:id="7"/>
      <w:r>
        <w:rPr>
          <w:rStyle w:val="SectionNumber"/>
          <w:b/>
          <w:color w:val="404040"/>
          <w:sz w:val="24"/>
        </w:rPr>
        <w:t>1.1.3</w:t>
      </w:r>
      <w:r>
        <w:rPr>
          <w:b/>
          <w:color w:val="404040"/>
          <w:sz w:val="24"/>
        </w:rPr>
        <w:tab/>
        <w:t>0.3 What this means</w:t>
      </w:r>
    </w:p>
    <w:p>
      <w:pPr>
        <w:pStyle w:val="FirstParagraph"/>
        <w:rPr/>
      </w:pPr>
      <w:r>
        <w:rPr>
          <w:sz w:val="20"/>
        </w:rPr>
        <w:t>Two things worth saying out loud before any dynamic number lands:</w:t>
      </w:r>
    </w:p>
    <w:p>
      <w:pPr>
        <w:pStyle w:val="Compact"/>
        <w:numPr>
          <w:ilvl w:val="0"/>
          <w:numId w:val="19"/>
        </w:numPr>
        <w:rPr/>
      </w:pPr>
      <w:r>
        <w:rPr>
          <w:b/>
          <w:bCs/>
        </w:rPr>
        <w:t>The “DMA proper” is about 11 k LUTs.</w:t>
      </w:r>
      <w:r>
        <w:rPr/>
        <w:t xml:space="preserve"> Even at 8 channels with the full monbus-tree + descriptor-bus monitor + AXIL sink wired in, the engine itself (scheduler + descriptor engines + AXI read/write engines + sram controller</w:t>
      </w:r>
    </w:p>
    <w:p>
      <w:pPr>
        <w:pStyle w:val="Compact"/>
        <w:numPr>
          <w:ilvl w:val="1"/>
          <w:numId w:val="3"/>
        </w:numPr>
        <w:rPr/>
      </w:pPr>
      <w:r>
        <w:rPr/>
        <w:t>skids) fits in roughly a third of the LUTs of the whole built design. The rest is harness (~9 k LUT) and monitor infrastructure (~9 k LUT).</w:t>
      </w:r>
    </w:p>
    <w:p>
      <w:pPr>
        <w:pStyle w:val="Compact"/>
        <w:numPr>
          <w:ilvl w:val="0"/>
          <w:numId w:val="2"/>
        </w:numPr>
        <w:rPr/>
      </w:pPr>
      <w:r>
        <w:rPr>
          <w:b/>
          <w:bCs/>
        </w:rPr>
        <w:t>Monitor area is intentional, and it scales with channel count.</w:t>
      </w:r>
      <w:r>
        <w:rPr/>
        <w:t xml:space="preserve"> Every </w:t>
      </w:r>
      <w:r>
        <w:rPr>
          <w:rStyle w:val="VerbatimChar"/>
        </w:rPr>
        <w:t>scheduler_group</w:t>
      </w:r>
      <w:r>
        <w:rPr/>
        <w:t xml:space="preserve"> carries its own </w:t>
      </w:r>
      <w:r>
        <w:rPr>
          <w:rStyle w:val="VerbatimChar"/>
        </w:rPr>
        <w:t>monbus_aggregator</w:t>
      </w:r>
      <w:r>
        <w:rPr/>
        <w:t xml:space="preserve"> (~400 LUT each — those 8 instances dominate the visible monitor cost), the descriptor bus has a full </w:t>
      </w:r>
      <w:r>
        <w:rPr>
          <w:rStyle w:val="VerbatimChar"/>
        </w:rPr>
        <w:t>axi4_master_rd_mon</w:t>
      </w:r>
      <w:r>
        <w:rPr/>
        <w:t xml:space="preserve"> on it (~4 k LUT, single instance), and everything funnels through a top-level RR arbiter into the AXIL group. If a deployment doesn’t need this much observability, the bridge generator already supports building without it — see the monitor whitepaper §2 “Where to insert monitoring” for the tradeoff.</w:t>
      </w:r>
    </w:p>
    <w:p>
      <w:pPr>
        <w:pStyle w:val="Heading3"/>
        <w:spacing w:before="200" w:after="80"/>
        <w:rPr/>
      </w:pPr>
      <w:bookmarkStart w:id="8" w:name="__RefHeading___Toc5349_2017609637"/>
      <w:bookmarkStart w:id="9" w:name="timing-closure-notes-8-channel-build"/>
      <w:bookmarkEnd w:id="8"/>
      <w:r>
        <w:rPr>
          <w:rStyle w:val="SectionNumber"/>
          <w:b/>
          <w:color w:val="404040"/>
          <w:sz w:val="24"/>
        </w:rPr>
        <w:t>1.1.4</w:t>
      </w:r>
      <w:r>
        <w:rPr>
          <w:b/>
          <w:color w:val="404040"/>
          <w:sz w:val="24"/>
        </w:rPr>
        <w:tab/>
        <w:t>0.4 Timing-closure notes (8-channel build)</w:t>
      </w:r>
    </w:p>
    <w:p>
      <w:pPr>
        <w:pStyle w:val="FirstParagraph"/>
        <w:rPr/>
      </w:pPr>
      <w:r>
        <w:rPr>
          <w:sz w:val="20"/>
        </w:rPr>
        <w:t>Closing 100 MHz at 8 channels on the -1 part needed three changes after the initial bring-up (4-channel build), all in the data plane, none in the harness:</w:t>
      </w:r>
    </w:p>
    <w:p>
      <w:pPr>
        <w:pStyle w:val="Compact"/>
        <w:numPr>
          <w:ilvl w:val="0"/>
          <w:numId w:val="20"/>
        </w:numPr>
        <w:rPr/>
      </w:pPr>
      <w:r>
        <w:rPr>
          <w:b/>
          <w:bCs/>
        </w:rPr>
        <w:t>Pipeline the SRAM controller’s per-channel availability outputs</w:t>
      </w:r>
      <w:r>
        <w:rPr/>
        <w:t xml:space="preserve"> (</w:t>
      </w:r>
      <w:r>
        <w:rPr>
          <w:rStyle w:val="VerbatimChar"/>
        </w:rPr>
        <w:t>axi_rd_alloc_space_free</w:t>
      </w:r>
      <w:r>
        <w:rPr/>
        <w:t xml:space="preserve">, </w:t>
      </w:r>
      <w:r>
        <w:rPr>
          <w:rStyle w:val="VerbatimChar"/>
        </w:rPr>
        <w:t>axi_wr_drain_data_avail</w:t>
      </w:r>
      <w:r>
        <w:rPr/>
        <w:t xml:space="preserve">, </w:t>
      </w:r>
      <w:r>
        <w:rPr>
          <w:rStyle w:val="VerbatimChar"/>
        </w:rPr>
        <w:t>axi_wr_sram_valid</w:t>
      </w:r>
      <w:r>
        <w:rPr/>
        <w:t xml:space="preserve">). Source-side flop break: the alloc/drain comparator cones at 8 channels land in the same logic cone as the read/write engine’s request masking, adding ~5 levels of comparator depth to a path that was already 14 levels. See </w:t>
      </w:r>
      <w:r>
        <w:rPr>
          <w:rStyle w:val="VerbatimChar"/>
        </w:rPr>
        <w:t>sram_controller.sv</w:t>
      </w:r>
      <w:r>
        <w:rPr/>
        <w:t xml:space="preserve"> commits </w:t>
      </w:r>
      <w:r>
        <w:rPr>
          <w:rStyle w:val="VerbatimChar"/>
        </w:rPr>
        <w:t>a65c6068</w:t>
      </w:r>
      <w:r>
        <w:rPr/>
        <w:t xml:space="preserve"> + </w:t>
      </w:r>
      <w:r>
        <w:rPr>
          <w:rStyle w:val="VerbatimChar"/>
        </w:rPr>
        <w:t>b619eee9</w:t>
      </w:r>
      <w:r>
        <w:rPr/>
        <w:t>.</w:t>
      </w:r>
    </w:p>
    <w:p>
      <w:pPr>
        <w:pStyle w:val="Compact"/>
        <w:numPr>
          <w:ilvl w:val="0"/>
          <w:numId w:val="21"/>
        </w:numPr>
        <w:rPr/>
      </w:pPr>
      <w:r>
        <w:rPr>
          <w:b/>
          <w:bCs/>
        </w:rPr>
        <w:t>Pipeline the per-engine arbiter request</w:t>
      </w:r>
      <w:r>
        <w:rPr/>
        <w:t xml:space="preserve"> (</w:t>
      </w:r>
      <w:r>
        <w:rPr>
          <w:rStyle w:val="VerbatimChar"/>
        </w:rPr>
        <w:t>r_arb_request</w:t>
      </w:r>
      <w:r>
        <w:rPr/>
        <w:t xml:space="preserve">). The cone </w:t>
      </w:r>
      <w:r>
        <w:rPr>
          <w:rStyle w:val="VerbatimChar"/>
        </w:rPr>
        <w:t>scheduler.r_*_beats_remaining → 32-bit comparators → w_data_ok →    w_arb_request → arbiter priority encoder → grant_reg</w:t>
      </w:r>
      <w:r>
        <w:rPr/>
        <w:t xml:space="preserve"> ran 16 levels deep at 8 channels, missing 100 MHz by ~1.5 ns. Registering </w:t>
      </w:r>
      <w:r>
        <w:rPr>
          <w:rStyle w:val="VerbatimChar"/>
        </w:rPr>
        <w:t>w_arb_request</w:t>
      </w:r>
      <w:r>
        <w:rPr/>
        <w:t xml:space="preserve"> immediately before the arbiter cuts the cone into two short paths. The AW-issue gate and the AR-valid mask use live </w:t>
      </w:r>
      <w:r>
        <w:rPr>
          <w:rStyle w:val="VerbatimChar"/>
        </w:rPr>
        <w:t>sched_*_valid</w:t>
      </w:r>
      <w:r>
        <w:rPr/>
        <w:t xml:space="preserve"> so a stale grant cannot capture an AW / drive an AR for a channel the scheduler is no longer requesting; </w:t>
      </w:r>
      <w:r>
        <w:rPr>
          <w:rStyle w:val="VerbatimChar"/>
        </w:rPr>
        <w:t>w_arb_grant_ack</w:t>
      </w:r>
      <w:r>
        <w:rPr/>
        <w:t xml:space="preserve"> auto-releases stale grants so the arbiter doesn’t stall waiting for a handshake that will never come. See </w:t>
      </w:r>
      <w:r>
        <w:rPr>
          <w:rStyle w:val="VerbatimChar"/>
        </w:rPr>
        <w:t>axi_write_engine.sv</w:t>
      </w:r>
      <w:r>
        <w:rPr/>
        <w:t xml:space="preserve"> / </w:t>
      </w:r>
      <w:r>
        <w:rPr>
          <w:rStyle w:val="VerbatimChar"/>
        </w:rPr>
        <w:t>axi_read_engine.sv</w:t>
      </w:r>
      <w:r>
        <w:rPr/>
        <w:t xml:space="preserve"> commit </w:t>
      </w:r>
      <w:r>
        <w:rPr>
          <w:rStyle w:val="VerbatimChar"/>
        </w:rPr>
        <w:t>4e8f9e02</w:t>
      </w:r>
      <w:r>
        <w:rPr/>
        <w:t>.</w:t>
      </w:r>
    </w:p>
    <w:p>
      <w:pPr>
        <w:pStyle w:val="Compact"/>
        <w:numPr>
          <w:ilvl w:val="0"/>
          <w:numId w:val="22"/>
        </w:numPr>
        <w:rPr/>
      </w:pPr>
      <w:r>
        <w:rPr>
          <w:b/>
          <w:bCs/>
        </w:rPr>
        <w:t xml:space="preserve">Switch impl strategy to </w:t>
      </w:r>
      <w:r>
        <w:rPr>
          <w:rStyle w:val="VerbatimChar"/>
          <w:b/>
          <w:bCs/>
        </w:rPr>
        <w:t>Performance_Explore</w:t>
      </w:r>
      <w:r>
        <w:rPr>
          <w:b/>
          <w:bCs/>
        </w:rPr>
        <w:t>.</w:t>
      </w:r>
      <w:r>
        <w:rPr/>
        <w:t xml:space="preserve"> After (1) and (2), the only remaining negative-slack endpoint was an observability-side carry chain in the descriptor monitor’s </w:t>
      </w:r>
      <w:r>
        <w:rPr>
          <w:rStyle w:val="VerbatimChar"/>
        </w:rPr>
        <w:t>trans_mgr.r_active_count</w:t>
      </w:r>
      <w:r>
        <w:rPr/>
        <w:t xml:space="preserve"> (</w:t>
      </w:r>
      <w:r>
        <w:rPr>
          <w:rStyle w:val="VerbatimChar"/>
        </w:rPr>
        <w:t>-17 ps</w:t>
      </w:r>
      <w:r>
        <w:rPr/>
        <w:t xml:space="preserve">, 13-level cone with 7.3 ns of route delay). Strategy switch closes it without RTL change. Commit </w:t>
      </w:r>
      <w:r>
        <w:rPr>
          <w:rStyle w:val="VerbatimChar"/>
        </w:rPr>
        <w:t>c2d76776</w:t>
      </w:r>
      <w:r>
        <w:rPr/>
        <w:t>.</w:t>
      </w:r>
    </w:p>
    <w:p>
      <w:pPr>
        <w:pStyle w:val="FirstParagraph"/>
        <w:rPr/>
      </w:pPr>
      <w:r>
        <w:rPr>
          <w:sz w:val="20"/>
        </w:rPr>
        <w:t>Post-route: WNS = +0.296 ns, 0 failing endpoints, 0 hold violations.</w:t>
      </w:r>
    </w:p>
    <w:p>
      <w:pPr>
        <w:pStyle w:val="BlockText"/>
        <w:rPr/>
      </w:pPr>
      <w:r>
        <w:rPr>
          <w:b/>
          <w:bCs/>
        </w:rPr>
        <w:t>Fixed — 5+ active channels were hanging due to a host-side CSR address-map collision, not RTL.</w:t>
      </w:r>
      <w:r>
        <w:rPr/>
        <w:t xml:space="preserve"> The harness </w:t>
      </w:r>
      <w:r>
        <w:rPr>
          <w:rStyle w:val="VerbatimChar"/>
        </w:rPr>
        <w:t>KICK_GO</w:t>
      </w:r>
      <w:r>
        <w:rPr/>
        <w:t xml:space="preserve"> register sits at </w:t>
      </w:r>
      <w:r>
        <w:rPr>
          <w:rStyle w:val="VerbatimChar"/>
        </w:rPr>
        <w:t>0xC0</w:t>
      </w:r>
      <w:r>
        <w:rPr/>
        <w:t xml:space="preserve">, in the middle of the per-channel kick-address slot range. The RTL splits the 8 kick-address slots into two banks (ch 0..3 at 0xB0..0xBC, ch 4..7 at 0xC4..0xD0) and skips 0xC0. Both </w:t>
      </w:r>
      <w:r>
        <w:rPr>
          <w:rStyle w:val="VerbatimChar"/>
        </w:rPr>
        <w:t>run_characterization.py</w:t>
      </w:r>
      <w:r>
        <w:rPr/>
        <w:t xml:space="preserve"> and the cocotb TB </w:t>
      </w:r>
      <w:r>
        <w:rPr>
          <w:rStyle w:val="VerbatimChar"/>
        </w:rPr>
        <w:t>stream_char_tb.py</w:t>
      </w:r>
      <w:r>
        <w:rPr/>
        <w:t xml:space="preserve"> were computing the per-channel slot as </w:t>
      </w:r>
      <w:r>
        <w:rPr>
          <w:rStyle w:val="VerbatimChar"/>
        </w:rPr>
        <w:t>BASE + 4*ch</w:t>
      </w:r>
      <w:r>
        <w:rPr/>
        <w:t xml:space="preserve">, which lands on 0xC0 for ch=4 — writing the kick address into </w:t>
      </w:r>
      <w:r>
        <w:rPr>
          <w:rStyle w:val="VerbatimChar"/>
        </w:rPr>
        <w:t>KICK_GO</w:t>
      </w:r>
      <w:r>
        <w:rPr/>
        <w:t xml:space="preserve"> instead. The low 8 bits of the address are interpreted as the kick-fire bitmask, so a bogus single-cycle kick fires for whichever channel that byte happens to encode (here channel 5, never loaded), and ch 4’s real address never reaches its slot. Channels 4 and 5 then kick to address 0, fetch garbage descriptors, never produce the expected beats, and the timer times out at 60 s. The bug never surfaced before because no prior build had hardware presence for channels 4+ (NUM_CHANNELS=4 baseline). Replaced the bare </w:t>
      </w:r>
      <w:r>
        <w:rPr>
          <w:rStyle w:val="VerbatimChar"/>
        </w:rPr>
        <w:t>BASE + 4*ch</w:t>
      </w:r>
      <w:r>
        <w:rPr/>
        <w:t xml:space="preserve"> with a </w:t>
      </w:r>
      <w:r>
        <w:rPr>
          <w:rStyle w:val="VerbatimChar"/>
        </w:rPr>
        <w:t>kick_addr_csr(ch)</w:t>
      </w:r>
      <w:r>
        <w:rPr/>
        <w:t xml:space="preserve"> helper in both consumers that hops the 0xC0 slot; no RTL change, no rebuild. 5–8 channel runs now complete at 94 % datapath utilization, matching 1–4.</w:t>
      </w:r>
    </w:p>
    <w:p>
      <w:pPr>
        <w:pStyle w:val="Normal"/>
        <w:rPr/>
      </w:pPr>
      <w:bookmarkStart w:id="10" w:name="resource-footprint"/>
      <w:bookmarkStart w:id="11" w:name="timing-closure-notes-8-channel-build"/>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bookmarkEnd w:id="11"/>
    </w:p>
    <w:p>
      <w:pPr>
        <w:pStyle w:val="Heading2"/>
        <w:pBdr>
          <w:bottom w:val="single" w:sz="12" w:space="0" w:color="228B22"/>
        </w:pBdr>
        <w:spacing w:before="280" w:after="80"/>
        <w:rPr/>
      </w:pPr>
      <w:bookmarkStart w:id="12" w:name="__RefHeading___Toc5351_2017609637"/>
      <w:bookmarkStart w:id="13" w:name="what-we-set-out-to-do"/>
      <w:bookmarkEnd w:id="12"/>
      <w:r>
        <w:rPr>
          <w:rStyle w:val="SectionNumber"/>
          <w:b/>
          <w:color w:val="228B22"/>
          <w:sz w:val="28"/>
        </w:rPr>
        <w:t>1.2</w:t>
      </w:r>
      <w:r>
        <w:rPr>
          <w:b/>
          <w:color w:val="228B22"/>
          <w:sz w:val="28"/>
        </w:rPr>
        <w:tab/>
        <w:t>1. What we set out to do</w:t>
      </w:r>
    </w:p>
    <w:p>
      <w:pPr>
        <w:pStyle w:val="FirstParagraph"/>
        <w:rPr/>
      </w:pPr>
      <w:r>
        <w:rPr>
          <w:sz w:val="20"/>
        </w:rPr>
        <w:t xml:space="preserve">The STREAM engine is a multi-channel descriptor-based DMA we built in-house. Before declaring it ready and dropping it into a system, we wanted to </w:t>
      </w:r>
      <w:r>
        <w:rPr>
          <w:b/>
          <w:bCs/>
          <w:sz w:val="20"/>
        </w:rPr>
        <w:t>measure</w:t>
      </w:r>
      <w:r>
        <w:rPr>
          <w:sz w:val="20"/>
        </w:rPr>
        <w:t xml:space="preserve"> what it actually does — not just whether the tests pass — and to do it on real silicon, not in simulation. Specifically:</w:t>
      </w:r>
    </w:p>
    <w:p>
      <w:pPr>
        <w:pStyle w:val="Compact"/>
        <w:numPr>
          <w:ilvl w:val="0"/>
          <w:numId w:val="23"/>
        </w:numPr>
        <w:rPr/>
      </w:pPr>
      <w:r>
        <w:rPr>
          <w:b/>
          <w:bCs/>
        </w:rPr>
        <w:t>Headline throughput.</w:t>
      </w:r>
      <w:r>
        <w:rPr/>
        <w:t xml:space="preserve"> What does it achieve at zero memory latency, and how close does that come to the AXI ceiling?</w:t>
      </w:r>
    </w:p>
    <w:p>
      <w:pPr>
        <w:pStyle w:val="Compact"/>
        <w:numPr>
          <w:ilvl w:val="0"/>
          <w:numId w:val="24"/>
        </w:numPr>
        <w:rPr/>
      </w:pPr>
      <w:r>
        <w:rPr>
          <w:b/>
          <w:bCs/>
        </w:rPr>
        <w:t>Latency tolerance.</w:t>
      </w:r>
      <w:r>
        <w:rPr/>
        <w:t xml:space="preserve"> A real DMA engine spends most of its life waiting for memory. How much round-trip latency can our outstanding-request pipeline absorb before throughput collapses, and where exactly is the cliff?</w:t>
      </w:r>
    </w:p>
    <w:p>
      <w:pPr>
        <w:pStyle w:val="Compact"/>
        <w:numPr>
          <w:ilvl w:val="0"/>
          <w:numId w:val="25"/>
        </w:numPr>
        <w:rPr/>
      </w:pPr>
      <w:r>
        <w:rPr>
          <w:b/>
          <w:bCs/>
        </w:rPr>
        <w:t>Architectural payoff of multi-channel design.</w:t>
      </w:r>
      <w:r>
        <w:rPr/>
        <w:t xml:space="preserve"> The engine has 8 channels (4 enabled in this build to fit the 100T). Do extra channels buy us bandwidth, latency tolerance, neither, or both?</w:t>
      </w:r>
    </w:p>
    <w:p>
      <w:pPr>
        <w:pStyle w:val="Compact"/>
        <w:numPr>
          <w:ilvl w:val="0"/>
          <w:numId w:val="26"/>
        </w:numPr>
        <w:rPr/>
      </w:pPr>
      <w:r>
        <w:rPr>
          <w:b/>
          <w:bCs/>
        </w:rPr>
        <w:t>Descriptor-chain amortization.</w:t>
      </w:r>
      <w:r>
        <w:rPr/>
        <w:t xml:space="preserve"> Long descriptor chains should hide startup cost. Does the descriptor prefetcher actually do that?</w:t>
      </w:r>
    </w:p>
    <w:p>
      <w:pPr>
        <w:pStyle w:val="Compact"/>
        <w:numPr>
          <w:ilvl w:val="0"/>
          <w:numId w:val="27"/>
        </w:numPr>
        <w:rPr/>
      </w:pPr>
      <w:r>
        <w:rPr>
          <w:b/>
          <w:bCs/>
        </w:rPr>
        <w:t>Read/write balance.</w:t>
      </w:r>
      <w:r>
        <w:rPr/>
        <w:t xml:space="preserve"> Either side of the engine can be the bottleneck. We wanted independent visibility into both.</w:t>
      </w:r>
    </w:p>
    <w:p>
      <w:pPr>
        <w:pStyle w:val="Compact"/>
        <w:numPr>
          <w:ilvl w:val="0"/>
          <w:numId w:val="28"/>
        </w:numPr>
        <w:rPr/>
      </w:pPr>
      <w:r>
        <w:rPr>
          <w:b/>
          <w:bCs/>
        </w:rPr>
        <w:t>A clean baseline for Phase 2.</w:t>
      </w:r>
      <w:r>
        <w:rPr/>
        <w:t xml:space="preserve"> When we drop in a Vivado-IP DMA later, we want to compare it against numbers that are reproducible, principled, and not contaminated by harness artifacts.</w:t>
      </w:r>
    </w:p>
    <w:p>
      <w:pPr>
        <w:pStyle w:val="FirstParagraph"/>
        <w:rPr/>
      </w:pPr>
      <w:r>
        <w:rPr>
          <w:sz w:val="20"/>
        </w:rPr>
        <w:t xml:space="preserve">The headline answer (skip ahead if you just want it): </w:t>
      </w:r>
      <w:r>
        <w:rPr>
          <w:b/>
          <w:bCs/>
          <w:sz w:val="20"/>
        </w:rPr>
        <w:t>1435 MB/s sustained at 90 % of the AXI ceiling, 128 cycles of memory latency hidden per channel by the multi-outstanding pipeline, with the cliff falling cleanly on Little’s Law from there.</w:t>
      </w:r>
      <w:r>
        <w:rPr>
          <w:sz w:val="20"/>
        </w:rPr>
        <w:t xml:space="preserve"> The rest of this document is the work behind those numbers.</w:t>
      </w:r>
    </w:p>
    <w:p>
      <w:pPr>
        <w:pStyle w:val="Normal"/>
        <w:rPr/>
      </w:pPr>
      <w:bookmarkStart w:id="14" w:name="what-we-set-out-to-do"/>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5353_2017609637"/>
      <w:bookmarkStart w:id="16" w:name="test-platform"/>
      <w:bookmarkEnd w:id="15"/>
      <w:r>
        <w:rPr>
          <w:rStyle w:val="SectionNumber"/>
          <w:b/>
          <w:color w:val="228B22"/>
          <w:sz w:val="28"/>
        </w:rPr>
        <w:t>1.3</w:t>
      </w:r>
      <w:r>
        <w:rPr>
          <w:b/>
          <w:color w:val="228B22"/>
          <w:sz w:val="28"/>
        </w:rPr>
        <w:tab/>
        <w:t>2. Test platform</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4679"/>
        <w:gridCol w:w="4680"/>
      </w:tblGrid>
      <w:tr>
        <w:trPr/>
        <w:tc>
          <w:tcPr>
            <w:tcW w:w="467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w:t>
            </w:r>
          </w:p>
        </w:tc>
        <w:tc>
          <w:tcPr>
            <w:tcW w:w="468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Xilinx Artix-7 100T (</w:t>
            </w:r>
            <w:r>
              <w:rPr>
                <w:rStyle w:val="VerbatimChar"/>
                <w:rFonts w:eastAsia="Cambria" w:cs=""/>
                <w:b/>
                <w:kern w:val="0"/>
                <w:sz w:val="20"/>
                <w:szCs w:val="24"/>
                <w:lang w:val="en-US" w:eastAsia="en-US" w:bidi="ar-SA"/>
              </w:rPr>
              <w:t>xc7a100tcsg324-1</w:t>
            </w:r>
            <w:r>
              <w:rPr>
                <w:rFonts w:eastAsia="Cambria" w:cs=""/>
                <w:b/>
                <w:kern w:val="0"/>
                <w:sz w:val="20"/>
                <w:szCs w:val="24"/>
                <w:lang w:val="en-US" w:eastAsia="en-US" w:bidi="ar-SA"/>
              </w:rPr>
              <w:t>, -1 speed grade)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100 MHz (10 ns period)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 (16 B /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in build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(NUM_CHANNELS = 8; characterization in §5 sweeps the active subset via </w:t>
            </w:r>
            <w:r>
              <w:rPr>
                <w:rStyle w:val="VerbatimChar"/>
                <w:rFonts w:eastAsia="Cambria" w:cs=""/>
                <w:kern w:val="0"/>
                <w:szCs w:val="24"/>
                <w:lang w:val="en-US" w:eastAsia="en-US" w:bidi="ar-SA"/>
              </w:rPr>
              <w:t>ch_mask</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w:t>
            </w:r>
            <w:r>
              <w:rPr>
                <w:rStyle w:val="VerbatimChar"/>
                <w:rFonts w:eastAsia="Cambria" w:cs=""/>
                <w:kern w:val="0"/>
                <w:szCs w:val="24"/>
                <w:lang w:val="en-US" w:eastAsia="en-US" w:bidi="ar-SA"/>
              </w:rPr>
              <w:t>AWLEN = 0x0F</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AXI peak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100 MHz × 16 B = </w:t>
            </w:r>
            <w:r>
              <w:rPr>
                <w:rFonts w:eastAsia="Cambria" w:cs=""/>
                <w:b/>
                <w:bCs/>
                <w:kern w:val="0"/>
                <w:sz w:val="24"/>
                <w:szCs w:val="24"/>
                <w:lang w:val="en-US" w:eastAsia="en-US" w:bidi="ar-SA"/>
              </w:rPr>
              <w:t>1600 MB/s</w:t>
            </w:r>
            <w:r>
              <w:rPr>
                <w:rFonts w:eastAsia="Cambria" w:cs=""/>
                <w:kern w:val="0"/>
                <w:sz w:val="24"/>
                <w:szCs w:val="24"/>
                <w:lang w:val="en-US" w:eastAsia="en-US" w:bidi="ar-SA"/>
              </w:rPr>
              <w:t xml:space="preserve"> at delay =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outstanding queue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 = AW_MAX_OUTSTANDING = 8</w:t>
            </w:r>
            <w:r>
              <w:rPr>
                <w:rFonts w:eastAsia="Cambria" w:cs=""/>
                <w:kern w:val="0"/>
                <w:sz w:val="24"/>
                <w:szCs w:val="24"/>
                <w:lang w:val="en-US" w:eastAsia="en-US" w:bidi="ar-SA"/>
              </w:rPr>
              <w:t xml:space="preserve"> (per channel)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 resources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29.1k LUTs (46 %), 28.5k FFs (22.5 %), 14.5 BRAM tiles (8.7 %), 1 DSP (0.4 %) — per-block breakdown in §0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WNS </w:t>
            </w:r>
            <w:r>
              <w:rPr>
                <w:rFonts w:eastAsia="Cambria" w:cs=""/>
                <w:b/>
                <w:bCs/>
                <w:kern w:val="0"/>
                <w:sz w:val="24"/>
                <w:szCs w:val="24"/>
                <w:lang w:val="en-US" w:eastAsia="en-US" w:bidi="ar-SA"/>
              </w:rPr>
              <w:t>+0.296 ns</w:t>
            </w:r>
            <w:r>
              <w:rPr>
                <w:rFonts w:eastAsia="Cambria" w:cs=""/>
                <w:kern w:val="0"/>
                <w:sz w:val="24"/>
                <w:szCs w:val="24"/>
                <w:lang w:val="en-US" w:eastAsia="en-US" w:bidi="ar-SA"/>
              </w:rPr>
              <w:t xml:space="preserve"> (0 failing endpoints, 0 hold violations; Performance_Explore impl strategy)</w:t>
            </w:r>
          </w:p>
        </w:tc>
      </w:tr>
    </w:tbl>
    <w:p>
      <w:pPr>
        <w:pStyle w:val="BodyText"/>
        <w:rPr/>
      </w:pPr>
      <w:r>
        <w:rPr>
          <w:sz w:val="20"/>
        </w:rPr>
        <w:t xml:space="preserve">The DUT is </w:t>
      </w:r>
      <w:r>
        <w:rPr>
          <w:rStyle w:val="VerbatimChar"/>
          <w:sz w:val="20"/>
        </w:rPr>
        <w:t>stream_top_ch8</w:t>
      </w:r>
      <w:r>
        <w:rPr>
          <w:sz w:val="20"/>
        </w:rPr>
        <w:t>. Everything else around it is harness — not part of the IP but instrumented to make the engine measurable. The next section walks through the harness piece by piece, because the credibility of the results depends entirely on what the harness is and how it was hooked in.</w:t>
      </w:r>
    </w:p>
    <w:p>
      <w:pPr>
        <w:pStyle w:val="Normal"/>
        <w:rPr/>
      </w:pPr>
      <w:bookmarkStart w:id="17" w:name="test-platform"/>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pBdr>
          <w:bottom w:val="single" w:sz="12" w:space="0" w:color="228B22"/>
        </w:pBdr>
        <w:spacing w:before="280" w:after="80"/>
        <w:rPr/>
      </w:pPr>
      <w:bookmarkStart w:id="18" w:name="__RefHeading___Toc5355_2017609637"/>
      <w:bookmarkStart w:id="19" w:name="X97b2fbcd0afea36aad13f8990e4d1a50f01dc15"/>
      <w:bookmarkEnd w:id="18"/>
      <w:r>
        <w:rPr>
          <w:rStyle w:val="SectionNumber"/>
          <w:b/>
          <w:color w:val="228B22"/>
          <w:sz w:val="28"/>
        </w:rPr>
        <w:t>1.4</w:t>
      </w:r>
      <w:r>
        <w:rPr>
          <w:b/>
          <w:color w:val="228B22"/>
          <w:sz w:val="28"/>
        </w:rPr>
        <w:tab/>
        <w:t>3. The harness — and why we hooked things in the way we did</w:t>
      </w:r>
    </w:p>
    <w:p>
      <w:pPr>
        <w:pStyle w:val="Heading3"/>
        <w:spacing w:before="200" w:after="80"/>
        <w:rPr/>
      </w:pPr>
      <w:bookmarkStart w:id="20" w:name="__RefHeading___Toc5357_2017609637"/>
      <w:bookmarkStart w:id="21" w:name="harness-overview"/>
      <w:bookmarkEnd w:id="20"/>
      <w:r>
        <w:rPr>
          <w:rStyle w:val="SectionNumber"/>
          <w:b/>
          <w:color w:val="404040"/>
          <w:sz w:val="24"/>
        </w:rPr>
        <w:t>1.4.1</w:t>
      </w:r>
      <w:r>
        <w:rPr>
          <w:b/>
          <w:color w:val="404040"/>
          <w:sz w:val="24"/>
        </w:rPr>
        <w:tab/>
        <w:t>3.1 Harness overview</w:t>
      </w:r>
      <w:bookmarkEnd w:id="21"/>
    </w:p>
    <w:p>
      <w:pPr>
        <w:pStyle w:val="Heading3"/>
        <w:spacing w:before="200" w:after="80"/>
        <w:rPr/>
      </w:pPr>
      <w:bookmarkStart w:id="22" w:name="__RefHeading___Toc5359_2017609637"/>
      <w:bookmarkStart w:id="23" w:name="X0eaf5a49a1ed596bb602ddb0692bf6b80099a86"/>
      <w:bookmarkStart w:id="24" w:name="_Fig_1_Harness_top_level_bl"/>
      <w:bookmarkEnd w:id="22"/>
      <w:r>
        <w:rPr>
          <w:rStyle w:val="SectionNumber"/>
          <w:b/>
          <w:color w:val="404040"/>
          <w:sz w:val="24"/>
        </w:rPr>
        <w:t>1.4.2</w:t>
      </w:r>
      <w:r>
        <w:rPr>
          <w:b/>
          <w:color w:val="404040"/>
          <w:sz w:val="24"/>
        </w:rPr>
        <w:tab/>
        <w:t>Figure 3.1: Harness top-level block diagram</w:t>
      </w:r>
      <w:bookmarkEnd w:id="24"/>
    </w:p>
    <w:p>
      <w:pPr>
        <w:pStyle w:val="CaptionedFigure"/>
        <w:rPr/>
      </w:pPr>
      <w:r>
        <w:rPr/>
        <w:drawing>
          <wp:inline distT="0" distB="0" distL="0" distR="0">
            <wp:extent cx="5334000" cy="3271520"/>
            <wp:effectExtent l="0" t="0" r="0" b="0"/>
            <wp:docPr id="14" name="Picture" descr="harness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harness top"/>
                    <pic:cNvPicPr>
                      <a:picLocks noChangeAspect="1" noChangeArrowheads="1"/>
                    </pic:cNvPicPr>
                  </pic:nvPicPr>
                  <pic:blipFill>
                    <a:blip r:embed="rId3"/>
                    <a:stretch>
                      <a:fillRect/>
                    </a:stretch>
                  </pic:blipFill>
                  <pic:spPr bwMode="auto">
                    <a:xfrm>
                      <a:off x="0" y="0"/>
                      <a:ext cx="5334000" cy="3271520"/>
                    </a:xfrm>
                    <a:prstGeom prst="rect">
                      <a:avLst/>
                    </a:prstGeom>
                  </pic:spPr>
                </pic:pic>
              </a:graphicData>
            </a:graphic>
          </wp:inline>
        </w:drawing>
      </w:r>
    </w:p>
    <w:p>
      <w:pPr>
        <w:pStyle w:val="ImageCaption"/>
        <w:rPr/>
      </w:pPr>
      <w:r>
        <w:rPr/>
        <w:t>harness top</w:t>
      </w:r>
    </w:p>
    <w:p>
      <w:pPr>
        <w:pStyle w:val="BodyText"/>
        <w:rPr/>
      </w:pPr>
      <w:r>
        <w:rPr>
          <w:sz w:val="20"/>
        </w:rPr>
        <w:t xml:space="preserve">The harness wraps </w:t>
      </w:r>
      <w:r>
        <w:rPr>
          <w:rStyle w:val="VerbatimChar"/>
          <w:sz w:val="20"/>
        </w:rPr>
        <w:t>stream_top_ch8</w:t>
      </w:r>
      <w:r>
        <w:rPr>
          <w:sz w:val="20"/>
        </w:rPr>
        <w:t xml:space="preserve"> with everything needed to drive it from a host PC and observe what happens, while keeping the DUT itself unchanged. From left to right:</w:t>
      </w:r>
    </w:p>
    <w:p>
      <w:pPr>
        <w:pStyle w:val="Compact"/>
        <w:numPr>
          <w:ilvl w:val="0"/>
          <w:numId w:val="29"/>
        </w:numPr>
        <w:rPr/>
      </w:pPr>
      <w:r>
        <w:rPr>
          <w:b/>
          <w:bCs/>
        </w:rPr>
        <w:t>Host PC over UART.</w:t>
      </w:r>
      <w:r>
        <w:rPr/>
        <w:t xml:space="preserve"> A Python script (</w:t>
      </w:r>
      <w:r>
        <w:rPr>
          <w:rStyle w:val="VerbatimChar"/>
        </w:rPr>
        <w:t>flows-stream-bridge/host/characterize.py</w:t>
      </w:r>
      <w:r>
        <w:rPr/>
        <w:t>) drives the whole sweep over a single serial port. The harness exposes a UART → AXIL bridge that fans out to five address regions (CSRs, descriptor RAM, debug SRAM, STREAM APB, etc).</w:t>
      </w:r>
    </w:p>
    <w:p>
      <w:pPr>
        <w:pStyle w:val="Compact"/>
        <w:numPr>
          <w:ilvl w:val="0"/>
          <w:numId w:val="30"/>
        </w:numPr>
        <w:rPr/>
      </w:pPr>
      <w:r>
        <w:rPr>
          <w:rStyle w:val="VerbatimChar"/>
          <w:b/>
          <w:bCs/>
        </w:rPr>
        <w:t>harness_csr</w:t>
      </w:r>
      <w:r>
        <w:rPr>
          <w:b/>
          <w:bCs/>
        </w:rPr>
        <w:t xml:space="preserve"> — the instrumentation hub.</w:t>
      </w:r>
      <w:r>
        <w:rPr/>
        <w:t xml:space="preserve"> Holds the kick-burst path, the response-delay programming registers, the cycle-stamp timer, status outputs, and the LED/7-seg drivers. Not part of the engine; this is the harness’s nervous system.</w:t>
      </w:r>
    </w:p>
    <w:p>
      <w:pPr>
        <w:pStyle w:val="Compact"/>
        <w:numPr>
          <w:ilvl w:val="0"/>
          <w:numId w:val="31"/>
        </w:numPr>
        <w:rPr/>
      </w:pPr>
      <w:r>
        <w:rPr>
          <w:rStyle w:val="VerbatimChar"/>
          <w:b/>
          <w:bCs/>
        </w:rPr>
        <w:t>stream_top_ch8</w:t>
      </w:r>
      <w:r>
        <w:rPr>
          <w:b/>
          <w:bCs/>
        </w:rPr>
        <w:t xml:space="preserve"> — the DUT.</w:t>
      </w:r>
      <w:r>
        <w:rPr/>
        <w:t xml:space="preserve"> Three AXI4 masters: descriptor fetch, data read, data write. Each master is 8-deep outstanding (per channel) with 16-beat bursts.</w:t>
      </w:r>
    </w:p>
    <w:p>
      <w:pPr>
        <w:pStyle w:val="Compact"/>
        <w:numPr>
          <w:ilvl w:val="0"/>
          <w:numId w:val="32"/>
        </w:numPr>
        <w:rPr/>
      </w:pPr>
      <w:r>
        <w:rPr>
          <w:b/>
          <w:bCs/>
        </w:rPr>
        <w:t>Harness slaves.</w:t>
      </w:r>
      <w:r>
        <w:rPr/>
        <w:t xml:space="preserve"> Each AXI master is wrapped by a slave that produces or checks data with deterministic patterns:</w:t>
      </w:r>
    </w:p>
    <w:p>
      <w:pPr>
        <w:pStyle w:val="Compact"/>
        <w:numPr>
          <w:ilvl w:val="1"/>
          <w:numId w:val="33"/>
        </w:numPr>
        <w:rPr/>
      </w:pPr>
      <w:r>
        <w:rPr>
          <w:rStyle w:val="VerbatimChar"/>
        </w:rPr>
        <w:t>axi4_slave_rd_pattern_gen</w:t>
      </w:r>
      <w:r>
        <w:rPr/>
        <w:t xml:space="preserve"> produces an LFSR-driven byte stream and computes a per-channel CRC over what was actually read.</w:t>
      </w:r>
    </w:p>
    <w:p>
      <w:pPr>
        <w:pStyle w:val="Compact"/>
        <w:numPr>
          <w:ilvl w:val="1"/>
          <w:numId w:val="34"/>
        </w:numPr>
        <w:rPr/>
      </w:pPr>
      <w:r>
        <w:rPr>
          <w:rStyle w:val="VerbatimChar"/>
        </w:rPr>
        <w:t>axi4_slave_wr_crc_check</w:t>
      </w:r>
      <w:r>
        <w:rPr/>
        <w:t xml:space="preserve"> accepts writes and computes a per-channel CRC over what was actually written. End of test the read CRC and write CRC are compared.</w:t>
      </w:r>
    </w:p>
    <w:p>
      <w:pPr>
        <w:pStyle w:val="Compact"/>
        <w:numPr>
          <w:ilvl w:val="1"/>
          <w:numId w:val="35"/>
        </w:numPr>
        <w:rPr/>
      </w:pPr>
      <w:r>
        <w:rPr>
          <w:rStyle w:val="VerbatimChar"/>
        </w:rPr>
        <w:t>axi_response_delay</w:t>
      </w:r>
      <w:r>
        <w:rPr/>
        <w:t xml:space="preserve"> (R and B sides) injects programmable, pipelined memory latency between the slaves and the DUT — this is the hook that makes the latency-tolerance experiments possible.</w:t>
      </w:r>
    </w:p>
    <w:p>
      <w:pPr>
        <w:pStyle w:val="Compact"/>
        <w:numPr>
          <w:ilvl w:val="0"/>
          <w:numId w:val="36"/>
        </w:numPr>
        <w:rPr/>
      </w:pPr>
      <w:r>
        <w:rPr>
          <w:b/>
          <w:bCs/>
        </w:rPr>
        <w:t>Status out.</w:t>
      </w:r>
      <w:r>
        <w:rPr/>
        <w:t xml:space="preserve"> LEDs, 7-seg digits, and the IRQ pin show real-time and post-test status. PASS = </w:t>
      </w:r>
      <w:r>
        <w:rPr>
          <w:rStyle w:val="VerbatimChar"/>
        </w:rPr>
        <w:t>0x0123</w:t>
      </w:r>
      <w:r>
        <w:rPr/>
        <w:t xml:space="preserve"> on the LEDs and </w:t>
      </w:r>
      <w:r>
        <w:rPr>
          <w:rStyle w:val="VerbatimChar"/>
        </w:rPr>
        <w:t>"0123"</w:t>
      </w:r>
      <w:r>
        <w:rPr/>
        <w:t xml:space="preserve"> on the 7-seg; FAIL = </w:t>
      </w:r>
      <w:r>
        <w:rPr>
          <w:rStyle w:val="VerbatimChar"/>
        </w:rPr>
        <w:t>0x9999</w:t>
      </w:r>
      <w:r>
        <w:rPr/>
        <w:t xml:space="preserve"> everywhere.</w:t>
      </w:r>
    </w:p>
    <w:p>
      <w:pPr>
        <w:pStyle w:val="FirstParagraph"/>
        <w:rPr/>
      </w:pPr>
      <w:bookmarkStart w:id="25" w:name="X0eaf5a49a1ed596bb602ddb0692bf6b80099a86"/>
      <w:r>
        <w:rPr>
          <w:sz w:val="20"/>
        </w:rPr>
        <w:t>Each instrumentation block earned its place after a bug or a measurement we couldn’t make without it. The next subsections walk through the most important hooks.</w:t>
      </w:r>
      <w:bookmarkEnd w:id="25"/>
    </w:p>
    <w:p>
      <w:pPr>
        <w:pStyle w:val="Heading3"/>
        <w:spacing w:before="200" w:after="80"/>
        <w:rPr/>
      </w:pPr>
      <w:bookmarkStart w:id="26" w:name="__RefHeading___Toc5361_2017609637"/>
      <w:bookmarkStart w:id="27" w:name="Xbbb3d6e4e257ab8f6190ace6290c2d6667f9997"/>
      <w:bookmarkEnd w:id="26"/>
      <w:r>
        <w:rPr>
          <w:rStyle w:val="SectionNumber"/>
          <w:b/>
          <w:color w:val="404040"/>
          <w:sz w:val="24"/>
        </w:rPr>
        <w:t>1.4.3</w:t>
      </w:r>
      <w:r>
        <w:rPr>
          <w:b/>
          <w:color w:val="404040"/>
          <w:sz w:val="24"/>
        </w:rPr>
        <w:tab/>
        <w:t>3.2 Hook 1: The pipelined response-delay block (memory model)</w:t>
      </w:r>
      <w:bookmarkEnd w:id="27"/>
    </w:p>
    <w:p>
      <w:pPr>
        <w:pStyle w:val="Heading3"/>
        <w:spacing w:before="200" w:after="80"/>
        <w:rPr/>
      </w:pPr>
      <w:bookmarkStart w:id="28" w:name="__RefHeading___Toc5363_2017609637"/>
      <w:bookmarkStart w:id="29" w:name="X61299ea3572afb0269b796b1fc86e5c77e0c0c5"/>
      <w:bookmarkStart w:id="30" w:name="_Fig_2_Read__and_write_path"/>
      <w:bookmarkEnd w:id="28"/>
      <w:r>
        <w:rPr>
          <w:rStyle w:val="SectionNumber"/>
          <w:b/>
          <w:color w:val="404040"/>
          <w:sz w:val="24"/>
        </w:rPr>
        <w:t>1.4.4</w:t>
      </w:r>
      <w:r>
        <w:rPr>
          <w:b/>
          <w:color w:val="404040"/>
          <w:sz w:val="24"/>
        </w:rPr>
        <w:tab/>
        <w:t>Figure 3.2: Read- and write-path data flow</w:t>
      </w:r>
      <w:bookmarkEnd w:id="30"/>
    </w:p>
    <w:p>
      <w:pPr>
        <w:pStyle w:val="CaptionedFigure"/>
        <w:rPr/>
      </w:pPr>
      <w:r>
        <w:rPr/>
        <w:drawing>
          <wp:inline distT="0" distB="0" distL="0" distR="0">
            <wp:extent cx="5334000" cy="1327150"/>
            <wp:effectExtent l="0" t="0" r="0" b="0"/>
            <wp:docPr id="15" name="Image2" descr="dat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data path"/>
                    <pic:cNvPicPr>
                      <a:picLocks noChangeAspect="1" noChangeArrowheads="1"/>
                    </pic:cNvPicPr>
                  </pic:nvPicPr>
                  <pic:blipFill>
                    <a:blip r:embed="rId4"/>
                    <a:stretch>
                      <a:fillRect/>
                    </a:stretch>
                  </pic:blipFill>
                  <pic:spPr bwMode="auto">
                    <a:xfrm>
                      <a:off x="0" y="0"/>
                      <a:ext cx="5334000" cy="1327150"/>
                    </a:xfrm>
                    <a:prstGeom prst="rect">
                      <a:avLst/>
                    </a:prstGeom>
                  </pic:spPr>
                </pic:pic>
              </a:graphicData>
            </a:graphic>
          </wp:inline>
        </w:drawing>
      </w:r>
    </w:p>
    <w:p>
      <w:pPr>
        <w:pStyle w:val="ImageCaption"/>
        <w:rPr/>
      </w:pPr>
      <w:r>
        <w:rPr/>
        <w:t>data path</w:t>
      </w:r>
    </w:p>
    <w:p>
      <w:pPr>
        <w:pStyle w:val="BodyText"/>
        <w:rPr/>
      </w:pPr>
      <w:r>
        <w:rPr>
          <w:sz w:val="20"/>
        </w:rPr>
        <w:t xml:space="preserve">The most important question we wanted answered was: </w:t>
      </w:r>
      <w:r>
        <w:rPr>
          <w:i/>
          <w:iCs/>
          <w:sz w:val="20"/>
        </w:rPr>
        <w:t>how much memory latency can the engine hide before throughput drops?</w:t>
      </w:r>
      <w:r>
        <w:rPr>
          <w:sz w:val="20"/>
        </w:rPr>
        <w:t xml:space="preserve"> That requires injecting latency at the slave port, which means we need a memory model.</w:t>
      </w:r>
    </w:p>
    <w:p>
      <w:pPr>
        <w:pStyle w:val="BodyText"/>
        <w:rPr/>
      </w:pPr>
      <w:r>
        <w:rPr>
          <w:sz w:val="20"/>
        </w:rPr>
        <w:t xml:space="preserve">The first attempt was a single-stage gate: when a burst arrives, hold the first beat for </w:t>
      </w:r>
      <w:r>
        <w:rPr>
          <w:rStyle w:val="VerbatimChar"/>
          <w:sz w:val="20"/>
        </w:rPr>
        <w:t>L</w:t>
      </w:r>
      <w:r>
        <w:rPr>
          <w:sz w:val="20"/>
        </w:rPr>
        <w:t xml:space="preserve"> cycles, then pass the rest at line rate. It compiled and ran, but the data it produced was misleading. With a single-stage gate, the next burst’s </w:t>
      </w:r>
      <w:r>
        <w:rPr>
          <w:rStyle w:val="VerbatimChar"/>
          <w:sz w:val="20"/>
        </w:rPr>
        <w:t>L</w:t>
      </w:r>
      <w:r>
        <w:rPr>
          <w:sz w:val="20"/>
        </w:rPr>
        <w:t xml:space="preserve">-cycle wait can only start </w:t>
      </w:r>
      <w:r>
        <w:rPr>
          <w:i/>
          <w:iCs/>
          <w:sz w:val="20"/>
        </w:rPr>
        <w:t>after</w:t>
      </w:r>
      <w:r>
        <w:rPr>
          <w:sz w:val="20"/>
        </w:rPr>
        <w:t xml:space="preserve"> the previous burst’s response has fully drained, because the gate can only count one delay at a time. That serializes latency that real hardware would pipeline. Throughput collapses by the third cycle of </w:t>
      </w:r>
      <w:r>
        <w:rPr>
          <w:rStyle w:val="VerbatimChar"/>
          <w:sz w:val="20"/>
        </w:rPr>
        <w:t>L</w:t>
      </w:r>
      <w:r>
        <w:rPr>
          <w:sz w:val="20"/>
        </w:rPr>
        <w:t>, which contradicts the engine’s design intent (it has a multi-outstanding queue precisely so that latency can overlap).</w:t>
      </w:r>
    </w:p>
    <w:p>
      <w:pPr>
        <w:pStyle w:val="BodyText"/>
        <w:rPr/>
      </w:pPr>
      <w:r>
        <w:rPr>
          <w:sz w:val="20"/>
        </w:rPr>
        <w:t xml:space="preserve">A real DDR controller doesn’t behave that way. Each request pays a fixed access latency, but those latencies </w:t>
      </w:r>
      <w:r>
        <w:rPr>
          <w:i/>
          <w:iCs/>
          <w:sz w:val="20"/>
        </w:rPr>
        <w:t>overlap</w:t>
      </w:r>
      <w:r>
        <w:rPr>
          <w:sz w:val="20"/>
        </w:rPr>
        <w:t xml:space="preserve"> — multiple requests are in flight simultaneously, each paying </w:t>
      </w:r>
      <w:r>
        <w:rPr>
          <w:rStyle w:val="VerbatimChar"/>
          <w:sz w:val="20"/>
        </w:rPr>
        <w:t>L</w:t>
      </w:r>
      <w:r>
        <w:rPr>
          <w:sz w:val="20"/>
        </w:rPr>
        <w:t xml:space="preserve"> in parallel. After the initial </w:t>
      </w:r>
      <w:r>
        <w:rPr>
          <w:rStyle w:val="VerbatimChar"/>
          <w:sz w:val="20"/>
        </w:rPr>
        <w:t>L</w:t>
      </w:r>
      <w:r>
        <w:rPr>
          <w:sz w:val="20"/>
        </w:rPr>
        <w:t xml:space="preserve">-cycle pipe-fill, throughput is decoupled from </w:t>
      </w:r>
      <w:r>
        <w:rPr>
          <w:rStyle w:val="VerbatimChar"/>
          <w:sz w:val="20"/>
        </w:rPr>
        <w:t>L</w:t>
      </w:r>
      <w:r>
        <w:rPr>
          <w:sz w:val="20"/>
        </w:rPr>
        <w:t xml:space="preserve"> (Little’s Law).</w:t>
      </w:r>
    </w:p>
    <w:p>
      <w:pPr>
        <w:pStyle w:val="BodyText"/>
        <w:rPr/>
      </w:pPr>
      <w:bookmarkStart w:id="31" w:name="X61299ea3572afb0269b796b1fc86e5c77e0c0c5"/>
      <w:r>
        <w:rPr>
          <w:sz w:val="20"/>
        </w:rPr>
        <w:t>So the second attempt — the one in the current build — is a pipelined timestamp-FIFO.</w:t>
      </w:r>
      <w:bookmarkEnd w:id="31"/>
    </w:p>
    <w:p>
      <w:pPr>
        <w:pStyle w:val="Heading3"/>
        <w:spacing w:before="200" w:after="80"/>
        <w:rPr/>
      </w:pPr>
      <w:bookmarkStart w:id="32" w:name="__RefHeading___Toc5365_2017609637"/>
      <w:bookmarkStart w:id="33" w:name="figure-3.3-axi_response_delay-internals"/>
      <w:bookmarkStart w:id="34" w:name="_Fig_3_axi_response_delay_i"/>
      <w:bookmarkEnd w:id="32"/>
      <w:r>
        <w:rPr>
          <w:rStyle w:val="SectionNumber"/>
          <w:b/>
          <w:color w:val="404040"/>
          <w:sz w:val="24"/>
        </w:rPr>
        <w:t>1.4.5</w:t>
      </w:r>
      <w:r>
        <w:rPr>
          <w:b/>
          <w:color w:val="404040"/>
          <w:sz w:val="24"/>
        </w:rPr>
        <w:tab/>
        <w:t xml:space="preserve">Figure 3.3: </w:t>
      </w:r>
      <w:r>
        <w:rPr>
          <w:rStyle w:val="VerbatimChar"/>
          <w:b/>
          <w:color w:val="404040"/>
          <w:sz w:val="24"/>
        </w:rPr>
        <w:t>axi_response_delay</w:t>
      </w:r>
      <w:r>
        <w:rPr>
          <w:b/>
          <w:color w:val="404040"/>
          <w:sz w:val="24"/>
        </w:rPr>
        <w:t xml:space="preserve"> internals</w:t>
      </w:r>
      <w:bookmarkEnd w:id="34"/>
    </w:p>
    <w:p>
      <w:pPr>
        <w:pStyle w:val="CaptionedFigure"/>
        <w:rPr/>
      </w:pPr>
      <w:r>
        <w:rPr/>
        <w:drawing>
          <wp:inline distT="0" distB="0" distL="0" distR="0">
            <wp:extent cx="5334000" cy="1213485"/>
            <wp:effectExtent l="0" t="0" r="0" b="0"/>
            <wp:docPr id="16" name="Image3" descr="response delay inter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response delay internals"/>
                    <pic:cNvPicPr>
                      <a:picLocks noChangeAspect="1" noChangeArrowheads="1"/>
                    </pic:cNvPicPr>
                  </pic:nvPicPr>
                  <pic:blipFill>
                    <a:blip r:embed="rId5"/>
                    <a:stretch>
                      <a:fillRect/>
                    </a:stretch>
                  </pic:blipFill>
                  <pic:spPr bwMode="auto">
                    <a:xfrm>
                      <a:off x="0" y="0"/>
                      <a:ext cx="5334000" cy="1213485"/>
                    </a:xfrm>
                    <a:prstGeom prst="rect">
                      <a:avLst/>
                    </a:prstGeom>
                  </pic:spPr>
                </pic:pic>
              </a:graphicData>
            </a:graphic>
          </wp:inline>
        </w:drawing>
      </w:r>
    </w:p>
    <w:p>
      <w:pPr>
        <w:pStyle w:val="ImageCaption"/>
        <w:rPr/>
      </w:pPr>
      <w:r>
        <w:rPr/>
        <w:t>response delay internals</w:t>
      </w:r>
    </w:p>
    <w:p>
      <w:pPr>
        <w:pStyle w:val="BodyText"/>
        <w:rPr/>
      </w:pPr>
      <w:r>
        <w:rPr>
          <w:sz w:val="20"/>
        </w:rPr>
        <w:t xml:space="preserve">Every beat presented on the slave side is admitted to a CAPACITY-deep FIFO with a timestamp. A free-running cycle counter labels the slot. The drain gate fires when the head’s </w:t>
      </w:r>
      <w:r>
        <w:rPr>
          <w:rStyle w:val="VerbatimChar"/>
          <w:sz w:val="20"/>
        </w:rPr>
        <w:t>(now − t_in)</w:t>
      </w:r>
      <w:r>
        <w:rPr>
          <w:sz w:val="20"/>
        </w:rPr>
        <w:t xml:space="preserve"> exceeds the runtime-programmable </w:t>
      </w:r>
      <w:r>
        <w:rPr>
          <w:rStyle w:val="VerbatimChar"/>
          <w:sz w:val="20"/>
        </w:rPr>
        <w:t>i_delay_cycles</w:t>
      </w:r>
      <w:r>
        <w:rPr>
          <w:sz w:val="20"/>
        </w:rPr>
        <w:t xml:space="preserve">. Up to CAPACITY beats can be in flight at once. When the FIFO fills, </w:t>
      </w:r>
      <w:r>
        <w:rPr>
          <w:rStyle w:val="VerbatimChar"/>
          <w:sz w:val="20"/>
        </w:rPr>
        <w:t>s_ready</w:t>
      </w:r>
      <w:r>
        <w:rPr>
          <w:sz w:val="20"/>
        </w:rPr>
        <w:t xml:space="preserve"> drops, naturally back-pressuring the slave — that mirrors a real controller running out of in-flight slots.</w:t>
      </w:r>
    </w:p>
    <w:p>
      <w:pPr>
        <w:pStyle w:val="BodyText"/>
        <w:rPr/>
      </w:pPr>
      <w:r>
        <w:rPr>
          <w:sz w:val="20"/>
        </w:rPr>
        <w:t>Sized with headroom:</w:t>
      </w:r>
    </w:p>
    <w:p>
      <w:pPr>
        <w:pStyle w:val="Compact"/>
        <w:numPr>
          <w:ilvl w:val="0"/>
          <w:numId w:val="37"/>
        </w:numPr>
        <w:rPr/>
      </w:pPr>
      <w:r>
        <w:rPr>
          <w:b/>
          <w:bCs/>
        </w:rPr>
        <w:t>R channel:</w:t>
      </w:r>
      <w:r>
        <w:rPr/>
        <w:t xml:space="preserve"> </w:t>
      </w:r>
      <w:r>
        <w:rPr>
          <w:rStyle w:val="VerbatimChar"/>
        </w:rPr>
        <w:t>CAPACITY = 256</w:t>
      </w:r>
      <w:r>
        <w:rPr/>
        <w:t>, ≥ AR_MAX_OUTSTANDING(8) × max_burst(16) = 128 in-flight beats per channel × 4 channels.</w:t>
      </w:r>
    </w:p>
    <w:p>
      <w:pPr>
        <w:pStyle w:val="Compact"/>
        <w:numPr>
          <w:ilvl w:val="0"/>
          <w:numId w:val="38"/>
        </w:numPr>
        <w:rPr/>
      </w:pPr>
      <w:r>
        <w:rPr>
          <w:b/>
          <w:bCs/>
        </w:rPr>
        <w:t>B channel:</w:t>
      </w:r>
      <w:r>
        <w:rPr/>
        <w:t xml:space="preserve"> </w:t>
      </w:r>
      <w:r>
        <w:rPr>
          <w:rStyle w:val="VerbatimChar"/>
        </w:rPr>
        <w:t>CAPACITY = 16</w:t>
      </w:r>
      <w:r>
        <w:rPr/>
        <w:t>, ≥ AW_MAX_OUTSTANDING(8). One BRESP per AW, so the queue stays small.</w:t>
      </w:r>
    </w:p>
    <w:p>
      <w:pPr>
        <w:pStyle w:val="FirstParagraph"/>
        <w:rPr/>
      </w:pPr>
      <w:r>
        <w:rPr>
          <w:sz w:val="20"/>
        </w:rPr>
        <w:t xml:space="preserve">This is plumbed up through </w:t>
      </w:r>
      <w:r>
        <w:rPr>
          <w:rStyle w:val="VerbatimChar"/>
          <w:sz w:val="20"/>
        </w:rPr>
        <w:t>stream_char_cfg_pkg::CFG_RESP_DELAY_R_CAPACITY</w:t>
      </w:r>
      <w:r>
        <w:rPr>
          <w:sz w:val="20"/>
        </w:rPr>
        <w:t xml:space="preserve"> and </w:t>
      </w:r>
      <w:r>
        <w:rPr>
          <w:rStyle w:val="VerbatimChar"/>
          <w:sz w:val="20"/>
        </w:rPr>
        <w:t>CFG_RESP_DELAY_B_CAPACITY</w:t>
      </w:r>
      <w:r>
        <w:rPr>
          <w:sz w:val="20"/>
        </w:rPr>
        <w:t xml:space="preserve"> so config sweeps don’t require RTL edits.</w:t>
      </w:r>
      <w:bookmarkEnd w:id="33"/>
    </w:p>
    <w:p>
      <w:pPr>
        <w:pStyle w:val="Heading3"/>
        <w:spacing w:before="200" w:after="80"/>
        <w:rPr/>
      </w:pPr>
      <w:bookmarkStart w:id="35" w:name="__RefHeading___Toc5367_2017609637"/>
      <w:bookmarkStart w:id="36" w:name="hook-2-the-hardware-kick-burst-path"/>
      <w:bookmarkEnd w:id="35"/>
      <w:r>
        <w:rPr>
          <w:rStyle w:val="SectionNumber"/>
          <w:b/>
          <w:color w:val="404040"/>
          <w:sz w:val="24"/>
        </w:rPr>
        <w:t>1.4.6</w:t>
      </w:r>
      <w:r>
        <w:rPr>
          <w:b/>
          <w:color w:val="404040"/>
          <w:sz w:val="24"/>
        </w:rPr>
        <w:tab/>
        <w:t>3.3 Hook 2: The hardware kick-burst path</w:t>
      </w:r>
      <w:bookmarkEnd w:id="36"/>
    </w:p>
    <w:p>
      <w:pPr>
        <w:pStyle w:val="Heading3"/>
        <w:spacing w:before="200" w:after="80"/>
        <w:rPr/>
      </w:pPr>
      <w:bookmarkStart w:id="37" w:name="__RefHeading___Toc5369_2017609637"/>
      <w:bookmarkStart w:id="38" w:name="figure-3.4-csr-driven-kick-burst-path"/>
      <w:bookmarkStart w:id="39" w:name="_Fig_4_CSR_driven_kick_burs"/>
      <w:bookmarkEnd w:id="37"/>
      <w:r>
        <w:rPr>
          <w:rStyle w:val="SectionNumber"/>
          <w:b/>
          <w:color w:val="404040"/>
          <w:sz w:val="24"/>
        </w:rPr>
        <w:t>1.4.7</w:t>
      </w:r>
      <w:r>
        <w:rPr>
          <w:b/>
          <w:color w:val="404040"/>
          <w:sz w:val="24"/>
        </w:rPr>
        <w:tab/>
        <w:t>Figure 3.4: CSR-driven kick-burst path</w:t>
      </w:r>
      <w:bookmarkEnd w:id="39"/>
    </w:p>
    <w:p>
      <w:pPr>
        <w:pStyle w:val="CaptionedFigure"/>
        <w:rPr/>
      </w:pPr>
      <w:r>
        <w:rPr/>
        <w:drawing>
          <wp:inline distT="0" distB="0" distL="0" distR="0">
            <wp:extent cx="5334000" cy="2540635"/>
            <wp:effectExtent l="0" t="0" r="0" b="0"/>
            <wp:docPr id="17" name="Image4" descr="csr kick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csr kick path"/>
                    <pic:cNvPicPr>
                      <a:picLocks noChangeAspect="1" noChangeArrowheads="1"/>
                    </pic:cNvPicPr>
                  </pic:nvPicPr>
                  <pic:blipFill>
                    <a:blip r:embed="rId6"/>
                    <a:stretch>
                      <a:fillRect/>
                    </a:stretch>
                  </pic:blipFill>
                  <pic:spPr bwMode="auto">
                    <a:xfrm>
                      <a:off x="0" y="0"/>
                      <a:ext cx="5334000" cy="2540635"/>
                    </a:xfrm>
                    <a:prstGeom prst="rect">
                      <a:avLst/>
                    </a:prstGeom>
                  </pic:spPr>
                </pic:pic>
              </a:graphicData>
            </a:graphic>
          </wp:inline>
        </w:drawing>
      </w:r>
    </w:p>
    <w:p>
      <w:pPr>
        <w:pStyle w:val="ImageCaption"/>
        <w:rPr/>
      </w:pPr>
      <w:r>
        <w:rPr/>
        <w:t>csr kick path</w:t>
      </w:r>
    </w:p>
    <w:p>
      <w:pPr>
        <w:pStyle w:val="BodyText"/>
        <w:rPr/>
      </w:pPr>
      <w:r>
        <w:rPr>
          <w:sz w:val="20"/>
        </w:rPr>
        <w:t xml:space="preserve">Multi-channel sweeps require all selected channels to start on the same </w:t>
      </w:r>
      <w:r>
        <w:rPr>
          <w:rStyle w:val="VerbatimChar"/>
          <w:sz w:val="20"/>
        </w:rPr>
        <w:t>aclk</w:t>
      </w:r>
      <w:r>
        <w:rPr>
          <w:sz w:val="20"/>
        </w:rPr>
        <w:t>, otherwise channel-N is sometimes still in pipe-fill when channel-1 is in steady state, and the cross-channel interleave at the slaves becomes unreproducible. Originally the host fired one APB write per channel to start each one, but at 115 200 baud each APB write is ~870 µs of UART time — which means ch3 starts ~2.6 ms after ch0. That’s enough skew to make the channel × delay heatmap uninterpretable.</w:t>
      </w:r>
    </w:p>
    <w:p>
      <w:pPr>
        <w:pStyle w:val="BodyText"/>
        <w:rPr/>
      </w:pPr>
      <w:r>
        <w:rPr>
          <w:sz w:val="20"/>
        </w:rPr>
        <w:t>The fix in the current harness is a CSR-driven kick-burst. The host writes all four channel start addresses into shadow registers (</w:t>
      </w:r>
      <w:r>
        <w:rPr>
          <w:rStyle w:val="VerbatimChar"/>
          <w:sz w:val="20"/>
        </w:rPr>
        <w:t>CH_KICK_ADDR[0..3]</w:t>
      </w:r>
      <w:r>
        <w:rPr>
          <w:sz w:val="20"/>
        </w:rPr>
        <w:t xml:space="preserve">) — these are persistent and don’t trigger anything. Then the host writes one byte to </w:t>
      </w:r>
      <w:r>
        <w:rPr>
          <w:rStyle w:val="VerbatimChar"/>
          <w:sz w:val="20"/>
        </w:rPr>
        <w:t>KICK_GO</w:t>
      </w:r>
      <w:r>
        <w:rPr>
          <w:sz w:val="20"/>
        </w:rPr>
        <w:t xml:space="preserve"> with a bitmask of which channels to start. </w:t>
      </w:r>
      <w:r>
        <w:rPr>
          <w:rStyle w:val="VerbatimChar"/>
          <w:sz w:val="20"/>
        </w:rPr>
        <w:t>KICK_GO</w:t>
      </w:r>
      <w:r>
        <w:rPr>
          <w:sz w:val="20"/>
        </w:rPr>
        <w:t xml:space="preserve"> produces a 1-aclk pulse to the selected channels, all of which see the kick on the same edge. UART skew is squeezed out of the experiment at the source.</w:t>
      </w:r>
      <w:bookmarkEnd w:id="38"/>
    </w:p>
    <w:p>
      <w:pPr>
        <w:pStyle w:val="Heading3"/>
        <w:spacing w:before="200" w:after="80"/>
        <w:rPr/>
      </w:pPr>
      <w:bookmarkStart w:id="40" w:name="__RefHeading___Toc5371_2017609637"/>
      <w:bookmarkStart w:id="41" w:name="hook-3-the-cycle-stamp-timer-windows"/>
      <w:bookmarkEnd w:id="40"/>
      <w:r>
        <w:rPr>
          <w:rStyle w:val="SectionNumber"/>
          <w:b/>
          <w:color w:val="404040"/>
          <w:sz w:val="24"/>
        </w:rPr>
        <w:t>1.4.8</w:t>
      </w:r>
      <w:r>
        <w:rPr>
          <w:b/>
          <w:color w:val="404040"/>
          <w:sz w:val="24"/>
        </w:rPr>
        <w:tab/>
        <w:t>3.4 Hook 3: The cycle-stamp timer windows</w:t>
      </w:r>
      <w:bookmarkEnd w:id="41"/>
    </w:p>
    <w:p>
      <w:pPr>
        <w:pStyle w:val="Heading3"/>
        <w:spacing w:before="200" w:after="80"/>
        <w:rPr/>
      </w:pPr>
      <w:bookmarkStart w:id="42" w:name="__RefHeading___Toc5373_2017609637"/>
      <w:bookmarkStart w:id="43" w:name="X0f9218a3ef5fb392cc9169f5c93556c1f9e85bb"/>
      <w:bookmarkStart w:id="44" w:name="_Fig_5_Timer_windows_on_the"/>
      <w:bookmarkEnd w:id="42"/>
      <w:r>
        <w:rPr>
          <w:rStyle w:val="SectionNumber"/>
          <w:b/>
          <w:color w:val="404040"/>
          <w:sz w:val="24"/>
        </w:rPr>
        <w:t>1.4.9</w:t>
      </w:r>
      <w:r>
        <w:rPr>
          <w:b/>
          <w:color w:val="404040"/>
          <w:sz w:val="24"/>
        </w:rPr>
        <w:tab/>
        <w:t>Figure 3.5: Timer windows on the test timeline</w:t>
      </w:r>
      <w:bookmarkEnd w:id="44"/>
    </w:p>
    <w:p>
      <w:pPr>
        <w:pStyle w:val="CaptionedFigure"/>
        <w:rPr/>
      </w:pPr>
      <w:r>
        <w:rPr/>
        <w:drawing>
          <wp:inline distT="0" distB="0" distL="0" distR="0">
            <wp:extent cx="5334000" cy="5322570"/>
            <wp:effectExtent l="0" t="0" r="0" b="0"/>
            <wp:docPr id="18" name="Image5" descr="timer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timer windows"/>
                    <pic:cNvPicPr>
                      <a:picLocks noChangeAspect="1" noChangeArrowheads="1"/>
                    </pic:cNvPicPr>
                  </pic:nvPicPr>
                  <pic:blipFill>
                    <a:blip r:embed="rId7"/>
                    <a:stretch>
                      <a:fillRect/>
                    </a:stretch>
                  </pic:blipFill>
                  <pic:spPr bwMode="auto">
                    <a:xfrm>
                      <a:off x="0" y="0"/>
                      <a:ext cx="5334000" cy="5322570"/>
                    </a:xfrm>
                    <a:prstGeom prst="rect">
                      <a:avLst/>
                    </a:prstGeom>
                  </pic:spPr>
                </pic:pic>
              </a:graphicData>
            </a:graphic>
          </wp:inline>
        </w:drawing>
      </w:r>
    </w:p>
    <w:p>
      <w:pPr>
        <w:pStyle w:val="ImageCaption"/>
        <w:rPr/>
      </w:pPr>
      <w:r>
        <w:rPr/>
        <w:t>timer windows</w:t>
      </w:r>
    </w:p>
    <w:p>
      <w:pPr>
        <w:pStyle w:val="BodyText"/>
        <w:rPr/>
      </w:pPr>
      <w:r>
        <w:rPr>
          <w:sz w:val="20"/>
        </w:rPr>
        <w:t xml:space="preserve">Every test captures three independent cycle counts in </w:t>
      </w:r>
      <w:r>
        <w:rPr>
          <w:rStyle w:val="VerbatimChar"/>
          <w:sz w:val="20"/>
        </w:rPr>
        <w:t>harness_csr</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total_cycles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AR handshake → last B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r2r_cycles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 → last R beat (read engine only)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w2w_cycles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W beat → last W beat (write engine only)</w:t>
            </w:r>
          </w:p>
        </w:tc>
      </w:tr>
    </w:tbl>
    <w:p>
      <w:pPr>
        <w:pStyle w:val="BodyText"/>
        <w:rPr/>
      </w:pPr>
      <w:r>
        <w:rPr>
          <w:sz w:val="20"/>
        </w:rPr>
        <w:t>The three windows let us separate three different things that look the same from the host:</w:t>
      </w:r>
    </w:p>
    <w:p>
      <w:pPr>
        <w:pStyle w:val="Compact"/>
        <w:numPr>
          <w:ilvl w:val="0"/>
          <w:numId w:val="39"/>
        </w:numPr>
        <w:rPr/>
      </w:pPr>
      <w:r>
        <w:rPr>
          <w:rStyle w:val="VerbatimChar"/>
        </w:rPr>
        <w:t>total / time</w:t>
      </w:r>
      <w:r>
        <w:rPr/>
        <w:t xml:space="preserve"> is what software perceives — including descriptor fetch, last-burst drain, and any UART round-tripping at the boundaries.</w:t>
      </w:r>
    </w:p>
    <w:p>
      <w:pPr>
        <w:pStyle w:val="Compact"/>
        <w:numPr>
          <w:ilvl w:val="0"/>
          <w:numId w:val="40"/>
        </w:numPr>
        <w:rPr/>
      </w:pPr>
      <w:r>
        <w:rPr>
          <w:rStyle w:val="VerbatimChar"/>
        </w:rPr>
        <w:t>r2r / time</w:t>
      </w:r>
      <w:r>
        <w:rPr/>
        <w:t xml:space="preserve"> is the </w:t>
      </w:r>
      <w:r>
        <w:rPr>
          <w:b/>
          <w:bCs/>
        </w:rPr>
        <w:t>read engine’s true sustained rate</w:t>
      </w:r>
      <w:r>
        <w:rPr/>
        <w:t>, with startup and drain stripped out.</w:t>
      </w:r>
    </w:p>
    <w:p>
      <w:pPr>
        <w:pStyle w:val="Compact"/>
        <w:numPr>
          <w:ilvl w:val="0"/>
          <w:numId w:val="41"/>
        </w:numPr>
        <w:rPr/>
      </w:pPr>
      <w:r>
        <w:rPr>
          <w:rStyle w:val="VerbatimChar"/>
        </w:rPr>
        <w:t>w2w / time</w:t>
      </w:r>
      <w:r>
        <w:rPr/>
        <w:t xml:space="preserve"> is the </w:t>
      </w:r>
      <w:r>
        <w:rPr>
          <w:b/>
          <w:bCs/>
        </w:rPr>
        <w:t>write engine’s true sustained rate</w:t>
      </w:r>
      <w:r>
        <w:rPr/>
        <w:t>, independently.</w:t>
      </w:r>
    </w:p>
    <w:p>
      <w:pPr>
        <w:pStyle w:val="FirstParagraph"/>
        <w:rPr/>
      </w:pPr>
      <w:r>
        <w:rPr>
          <w:sz w:val="20"/>
        </w:rPr>
        <w:t xml:space="preserve">If </w:t>
      </w:r>
      <w:r>
        <w:rPr>
          <w:rStyle w:val="VerbatimChar"/>
          <w:sz w:val="20"/>
        </w:rPr>
        <w:t>total</w:t>
      </w:r>
      <w:r>
        <w:rPr>
          <w:sz w:val="20"/>
        </w:rPr>
        <w:t xml:space="preserve"> lags </w:t>
      </w:r>
      <w:r>
        <w:rPr>
          <w:rStyle w:val="VerbatimChar"/>
          <w:sz w:val="20"/>
        </w:rPr>
        <w:t>r2r</w:t>
      </w:r>
      <w:r>
        <w:rPr>
          <w:sz w:val="20"/>
        </w:rPr>
        <w:t xml:space="preserve"> significantly, that’s startup/drain overhead and we can quantify it. If </w:t>
      </w:r>
      <w:r>
        <w:rPr>
          <w:rStyle w:val="VerbatimChar"/>
          <w:sz w:val="20"/>
        </w:rPr>
        <w:t>r2r</w:t>
      </w:r>
      <w:r>
        <w:rPr>
          <w:sz w:val="20"/>
        </w:rPr>
        <w:t xml:space="preserve"> and </w:t>
      </w:r>
      <w:r>
        <w:rPr>
          <w:rStyle w:val="VerbatimChar"/>
          <w:sz w:val="20"/>
        </w:rPr>
        <w:t>w2w</w:t>
      </w:r>
      <w:r>
        <w:rPr>
          <w:sz w:val="20"/>
        </w:rPr>
        <w:t xml:space="preserve"> differ, one side is the bottleneck. If they all match, the engine is balanced and the harness isn’t introducing artifacts.</w:t>
      </w:r>
      <w:bookmarkEnd w:id="43"/>
    </w:p>
    <w:p>
      <w:pPr>
        <w:pStyle w:val="Heading3"/>
        <w:spacing w:before="200" w:after="80"/>
        <w:rPr/>
      </w:pPr>
      <w:bookmarkStart w:id="45" w:name="__RefHeading___Toc5375_2017609637"/>
      <w:bookmarkStart w:id="46" w:name="hook-4-per-channel-crc-slaves"/>
      <w:bookmarkEnd w:id="45"/>
      <w:r>
        <w:rPr>
          <w:rStyle w:val="SectionNumber"/>
          <w:b/>
          <w:color w:val="404040"/>
          <w:sz w:val="24"/>
        </w:rPr>
        <w:t>1.4.10</w:t>
      </w:r>
      <w:r>
        <w:rPr>
          <w:b/>
          <w:color w:val="404040"/>
          <w:sz w:val="24"/>
        </w:rPr>
        <w:tab/>
        <w:t>3.5 Hook 4: Per-channel CRC slaves</w:t>
      </w:r>
    </w:p>
    <w:p>
      <w:pPr>
        <w:pStyle w:val="FirstParagraph"/>
        <w:rPr/>
      </w:pPr>
      <w:r>
        <w:rPr>
          <w:sz w:val="20"/>
        </w:rPr>
        <w:t>Single-channel correctness is easy: pull a deterministic LFSR pattern from the read slave, push it into the write slave, compare the read-side CRC against the write-side CRC at the end. With one channel running there’s no ambiguity about what data went where.</w:t>
      </w:r>
    </w:p>
    <w:p>
      <w:pPr>
        <w:pStyle w:val="BodyText"/>
        <w:rPr/>
      </w:pPr>
      <w:r>
        <w:rPr>
          <w:sz w:val="20"/>
        </w:rPr>
        <w:t>Multi-channel breaks that. If all channels share one slave’s LFSR/CRC computation, the per-beat data ordering at the shared slave depends on AXI ID interleave between channels — which in turn depends on arbitration timing, which is exactly the thing the experiment is supposed to vary. The CRCs don’t match, but not for the reason of any actual data corruption.</w:t>
      </w:r>
    </w:p>
    <w:p>
      <w:pPr>
        <w:pStyle w:val="BodyText"/>
        <w:rPr/>
      </w:pPr>
      <w:r>
        <w:rPr>
          <w:sz w:val="20"/>
        </w:rPr>
        <w:t xml:space="preserve">The fix is per-channel state inside the slaves: </w:t>
      </w:r>
      <w:r>
        <w:rPr>
          <w:rStyle w:val="VerbatimChar"/>
          <w:sz w:val="20"/>
        </w:rPr>
        <w:t>axi4_slave_rd_pattern_gen</w:t>
      </w:r>
      <w:r>
        <w:rPr>
          <w:sz w:val="20"/>
        </w:rPr>
        <w:t xml:space="preserve"> runs an independent LFSR per AXI ID, and </w:t>
      </w:r>
      <w:r>
        <w:rPr>
          <w:rStyle w:val="VerbatimChar"/>
          <w:sz w:val="20"/>
        </w:rPr>
        <w:t>axi4_slave_wr_crc_check</w:t>
      </w:r>
      <w:r>
        <w:rPr>
          <w:sz w:val="20"/>
        </w:rPr>
        <w:t xml:space="preserve"> computes one CRC per AXI ID. The DUT writes </w:t>
      </w:r>
      <w:r>
        <w:rPr>
          <w:rStyle w:val="VerbatimChar"/>
          <w:sz w:val="20"/>
        </w:rPr>
        <w:t>awid = ch</w:t>
      </w:r>
      <w:r>
        <w:rPr>
          <w:sz w:val="20"/>
        </w:rPr>
        <w:t xml:space="preserve"> and </w:t>
      </w:r>
      <w:r>
        <w:rPr>
          <w:rStyle w:val="VerbatimChar"/>
          <w:sz w:val="20"/>
        </w:rPr>
        <w:t>arid = ch</w:t>
      </w:r>
      <w:r>
        <w:rPr>
          <w:sz w:val="20"/>
        </w:rPr>
        <w:t xml:space="preserve"> so the slaves can demux. With per-channel CRCs, end-of-test verification compares ch-0 read CRC against ch-0 write CRC, ch-1 against ch-1, and so on. A CRC mismatch on a channel now genuinely flags corruption on that channel, independent of how the channels interleaved at the AXI level.</w:t>
      </w:r>
      <w:bookmarkEnd w:id="46"/>
    </w:p>
    <w:p>
      <w:pPr>
        <w:pStyle w:val="Heading3"/>
        <w:spacing w:before="200" w:after="80"/>
        <w:rPr/>
      </w:pPr>
      <w:bookmarkStart w:id="47" w:name="__RefHeading___Toc5377_2017609637"/>
      <w:bookmarkStart w:id="48" w:name="hook-5-configuration-package-for-sweeps"/>
      <w:bookmarkEnd w:id="47"/>
      <w:r>
        <w:rPr>
          <w:rStyle w:val="SectionNumber"/>
          <w:b/>
          <w:color w:val="404040"/>
          <w:sz w:val="24"/>
        </w:rPr>
        <w:t>1.4.11</w:t>
      </w:r>
      <w:r>
        <w:rPr>
          <w:b/>
          <w:color w:val="404040"/>
          <w:sz w:val="24"/>
        </w:rPr>
        <w:tab/>
        <w:t>3.6 Hook 5: Configuration package for sweeps</w:t>
      </w:r>
    </w:p>
    <w:p>
      <w:pPr>
        <w:pStyle w:val="FirstParagraph"/>
        <w:rPr/>
      </w:pPr>
      <w:r>
        <w:rPr>
          <w:sz w:val="20"/>
        </w:rPr>
        <w:t xml:space="preserve">The interesting characterization knobs (engine outstanding-queue depth, response-delay queue capacities) used to live as defaults inside </w:t>
      </w:r>
      <w:r>
        <w:rPr>
          <w:rStyle w:val="VerbatimChar"/>
          <w:sz w:val="20"/>
        </w:rPr>
        <w:t>stream_core.sv</w:t>
      </w:r>
      <w:r>
        <w:rPr>
          <w:sz w:val="20"/>
        </w:rPr>
        <w:t xml:space="preserve"> — three modules deep. Sweeping them meant editing the leaf module of a shared component, which is the kind of change that breaks unrelated things.</w:t>
      </w:r>
    </w:p>
    <w:p>
      <w:pPr>
        <w:pStyle w:val="BodyText"/>
        <w:rPr/>
      </w:pPr>
      <w:r>
        <w:rPr>
          <w:sz w:val="20"/>
        </w:rPr>
        <w:t>The current build plumbs them up cleanly:</w:t>
      </w:r>
    </w:p>
    <w:p>
      <w:pPr>
        <w:pStyle w:val="SourceCode"/>
        <w:rPr/>
      </w:pPr>
      <w:r>
        <w:rPr>
          <w:rStyle w:val="VerbatimChar"/>
        </w:rPr>
        <w:t>stream_char_cfg_pkg.sv            (single source of truth)</w:t>
      </w:r>
      <w:r>
        <w:rPr/>
        <w:br/>
      </w:r>
      <w:r>
        <w:rPr>
          <w:rStyle w:val="VerbatimChar"/>
        </w:rPr>
        <w:t xml:space="preserve">       │  CFG_AR_MAX_OUTSTANDING</w:t>
      </w:r>
      <w:r>
        <w:rPr/>
        <w:br/>
      </w:r>
      <w:r>
        <w:rPr>
          <w:rStyle w:val="VerbatimChar"/>
        </w:rPr>
        <w:t xml:space="preserve">       │  CFG_AW_MAX_OUTSTANDING</w:t>
      </w:r>
      <w:r>
        <w:rPr/>
        <w:br/>
      </w:r>
      <w:r>
        <w:rPr>
          <w:rStyle w:val="VerbatimChar"/>
        </w:rPr>
        <w:t xml:space="preserve">       │  CFG_RESP_DELAY_R_CAPACITY</w:t>
      </w:r>
      <w:r>
        <w:rPr/>
        <w:br/>
      </w:r>
      <w:r>
        <w:rPr>
          <w:rStyle w:val="VerbatimChar"/>
        </w:rPr>
        <w:t xml:space="preserve">       │  CFG_RESP_DELAY_B_CAPACITY</w:t>
      </w:r>
      <w:r>
        <w:rPr/>
        <w:br/>
      </w:r>
      <w:r>
        <w:rPr>
          <w:rStyle w:val="VerbatimChar"/>
        </w:rPr>
        <w:t xml:space="preserve">       ▼</w:t>
      </w:r>
      <w:r>
        <w:rPr/>
        <w:br/>
      </w:r>
      <w:r>
        <w:rPr>
          <w:rStyle w:val="VerbatimChar"/>
        </w:rPr>
        <w:t>stream_char_top.sv  →  stream_char_harness.sv  →  stream_top_ch8.sv  →  stream_core.sv</w:t>
      </w:r>
    </w:p>
    <w:p>
      <w:pPr>
        <w:pStyle w:val="FirstParagraph"/>
        <w:rPr/>
      </w:pPr>
      <w:r>
        <w:rPr>
          <w:sz w:val="20"/>
        </w:rPr>
        <w:t xml:space="preserve">To run a different config (deeper outstanding queues, shallower queues, etc.) for a build campaign, only the package file changes. The skid buffers remain hard-coded inside </w:t>
      </w:r>
      <w:r>
        <w:rPr>
          <w:rStyle w:val="VerbatimChar"/>
          <w:sz w:val="20"/>
        </w:rPr>
        <w:t>stream_core</w:t>
      </w:r>
      <w:r>
        <w:rPr>
          <w:sz w:val="20"/>
        </w:rPr>
        <w:t xml:space="preserve"> — they are timing-only structures and don’t belong in the characterization knob set.</w:t>
      </w:r>
      <w:bookmarkEnd w:id="48"/>
    </w:p>
    <w:p>
      <w:pPr>
        <w:pStyle w:val="Heading3"/>
        <w:spacing w:before="200" w:after="80"/>
        <w:rPr/>
      </w:pPr>
      <w:bookmarkStart w:id="49" w:name="__RefHeading___Toc5379_2017609637"/>
      <w:bookmarkStart w:id="50" w:name="what-all-of-this-gives-us-together"/>
      <w:bookmarkEnd w:id="49"/>
      <w:r>
        <w:rPr>
          <w:rStyle w:val="SectionNumber"/>
          <w:b/>
          <w:color w:val="404040"/>
          <w:sz w:val="24"/>
        </w:rPr>
        <w:t>1.4.12</w:t>
      </w:r>
      <w:r>
        <w:rPr>
          <w:b/>
          <w:color w:val="404040"/>
          <w:sz w:val="24"/>
        </w:rPr>
        <w:tab/>
        <w:t>3.7 What all of this gives us, together</w:t>
      </w:r>
    </w:p>
    <w:p>
      <w:pPr>
        <w:pStyle w:val="FirstParagraph"/>
        <w:rPr/>
      </w:pPr>
      <w:r>
        <w:rPr>
          <w:sz w:val="20"/>
        </w:rPr>
        <w:t>With those hooks in place:</w:t>
      </w:r>
    </w:p>
    <w:p>
      <w:pPr>
        <w:pStyle w:val="Compact"/>
        <w:numPr>
          <w:ilvl w:val="0"/>
          <w:numId w:val="42"/>
        </w:numPr>
        <w:rPr/>
      </w:pPr>
      <w:r>
        <w:rPr/>
        <w:t>The DUT runs untouched in its production form.</w:t>
      </w:r>
    </w:p>
    <w:p>
      <w:pPr>
        <w:pStyle w:val="Compact"/>
        <w:numPr>
          <w:ilvl w:val="0"/>
          <w:numId w:val="43"/>
        </w:numPr>
        <w:rPr/>
      </w:pPr>
      <w:r>
        <w:rPr/>
        <w:t>The host can drive any sweep over a single serial port, with single-aclk channel kick-off.</w:t>
      </w:r>
    </w:p>
    <w:p>
      <w:pPr>
        <w:pStyle w:val="Compact"/>
        <w:numPr>
          <w:ilvl w:val="0"/>
          <w:numId w:val="44"/>
        </w:numPr>
        <w:rPr/>
      </w:pPr>
      <w:r>
        <w:rPr/>
        <w:t>Memory latency is tunable at runtime via CSR, and the model behaves like real DRAM (pipelined) rather than like a single-stage gate.</w:t>
      </w:r>
    </w:p>
    <w:p>
      <w:pPr>
        <w:pStyle w:val="Compact"/>
        <w:numPr>
          <w:ilvl w:val="0"/>
          <w:numId w:val="45"/>
        </w:numPr>
        <w:rPr/>
      </w:pPr>
      <w:r>
        <w:rPr/>
        <w:t>Independent read/write rate measurements isolate each side from the other.</w:t>
      </w:r>
    </w:p>
    <w:p>
      <w:pPr>
        <w:pStyle w:val="Compact"/>
        <w:numPr>
          <w:ilvl w:val="0"/>
          <w:numId w:val="46"/>
        </w:numPr>
        <w:rPr/>
      </w:pPr>
      <w:r>
        <w:rPr/>
        <w:t>Per-channel CRC verification keeps multi-channel data integrity meaningful.</w:t>
      </w:r>
    </w:p>
    <w:p>
      <w:pPr>
        <w:pStyle w:val="Compact"/>
        <w:numPr>
          <w:ilvl w:val="0"/>
          <w:numId w:val="47"/>
        </w:numPr>
        <w:rPr/>
      </w:pPr>
      <w:r>
        <w:rPr/>
        <w:t>Sweepable engine parameters are one-file-edits, not RTL hunts.</w:t>
      </w:r>
    </w:p>
    <w:p>
      <w:pPr>
        <w:pStyle w:val="FirstParagraph"/>
        <w:rPr/>
      </w:pPr>
      <w:r>
        <w:rPr>
          <w:sz w:val="20"/>
        </w:rPr>
        <w:t>Each piece earned its place after producing a confusing or contradictory measurement that traced back to the missing hook. The next sections are the data those hooks made it possible to capture.</w:t>
      </w:r>
    </w:p>
    <w:p>
      <w:pPr>
        <w:pStyle w:val="Normal"/>
        <w:rPr/>
      </w:pPr>
      <w:bookmarkStart w:id="51" w:name="X97b2fbcd0afea36aad13f8990e4d1a50f01dc15"/>
      <w:bookmarkStart w:id="52" w:name="what-all-of-this-gives-us-togethe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5381_2017609637"/>
      <w:bookmarkStart w:id="54" w:name="headline-numbers"/>
      <w:bookmarkEnd w:id="53"/>
      <w:r>
        <w:rPr>
          <w:rStyle w:val="SectionNumber"/>
          <w:b/>
          <w:color w:val="228B22"/>
          <w:sz w:val="28"/>
        </w:rPr>
        <w:t>1.5</w:t>
      </w:r>
      <w:r>
        <w:rPr>
          <w:b/>
          <w:color w:val="228B22"/>
          <w:sz w:val="28"/>
        </w:rPr>
        <w:tab/>
        <w:t>4. Headline numbers</w:t>
      </w:r>
    </w:p>
    <w:p>
      <w:pPr>
        <w:pStyle w:val="FirstParagraph"/>
        <w:rPr/>
      </w:pPr>
      <w:r>
        <w:rPr>
          <w:sz w:val="20"/>
        </w:rPr>
        <w:t xml:space="preserve">At </w:t>
      </w:r>
      <w:r>
        <w:rPr>
          <w:rStyle w:val="VerbatimChar"/>
          <w:sz w:val="20"/>
        </w:rPr>
        <w:t>delay = 0</w:t>
      </w:r>
      <w:r>
        <w:rPr>
          <w:sz w:val="20"/>
        </w:rPr>
        <w:t xml:space="preserve"> (no simulated memory latency), the engine sustains </w:t>
      </w:r>
      <w:r>
        <w:rPr>
          <w:b/>
          <w:bCs/>
          <w:sz w:val="20"/>
        </w:rPr>
        <w:t>~1435 MB/s — about 90 % of the AXI ceiling.</w:t>
      </w:r>
      <w:r>
        <w:rPr>
          <w:sz w:val="20"/>
        </w:rPr>
        <w:t xml:space="preserve"> The remaining 10 % is inter-burst arbitration / pipeline gaps; we measured ~1.06 cycles per beat instead of the ideal 1.0.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 varied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 transfer (1 ch, 16 desc, 8 MB total)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at 1435 MB/s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All-active multi-channel (4 ch, 1 desc each, 2 MB total)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flat at 1435 MB/s — slave-shared, </w:t>
            </w:r>
            <w:r>
              <w:rPr>
                <w:rFonts w:eastAsia="Cambria" w:cs=""/>
                <w:i/>
                <w:iCs/>
                <w:kern w:val="0"/>
                <w:sz w:val="24"/>
                <w:szCs w:val="24"/>
                <w:lang w:val="en-US" w:eastAsia="en-US" w:bidi="ar-SA"/>
              </w:rPr>
              <w:t>not</w:t>
            </w:r>
            <w:r>
              <w:rPr>
                <w:rFonts w:eastAsia="Cambria" w:cs=""/>
                <w:kern w:val="0"/>
                <w:sz w:val="24"/>
                <w:szCs w:val="24"/>
                <w:lang w:val="en-US" w:eastAsia="en-US" w:bidi="ar-SA"/>
              </w:rPr>
              <w:t xml:space="preserve"> per-channel BW scaling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at single channel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KB → 1 MB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rises 1383 → 1436 MB/s as a fixed ~22-cycle startup amortizes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memory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96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flat at 1430+ MB/s</w:t>
            </w:r>
            <w:r>
              <w:rPr>
                <w:rFonts w:eastAsia="Cambria" w:cs=""/>
                <w:kern w:val="0"/>
                <w:sz w:val="24"/>
                <w:szCs w:val="24"/>
                <w:lang w:val="en-US" w:eastAsia="en-US" w:bidi="ar-SA"/>
              </w:rPr>
              <w:t xml:space="preserve"> (engine pipeline absorbs everything in this window)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memory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512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linear cliff: 1272 → 363 MB/s, slope tracks Little’s Law </w:t>
            </w:r>
            <w:r>
              <w:rPr>
                <w:rStyle w:val="VerbatimChar"/>
                <w:rFonts w:eastAsia="Cambria" w:cs=""/>
                <w:kern w:val="0"/>
                <w:szCs w:val="24"/>
                <w:lang w:val="en-US" w:eastAsia="en-US" w:bidi="ar-SA"/>
              </w:rPr>
              <w:t>BW = 128/L × peak</w:t>
            </w:r>
          </w:p>
        </w:tc>
      </w:tr>
    </w:tbl>
    <w:p>
      <w:pPr>
        <w:pStyle w:val="BodyText"/>
        <w:rPr/>
      </w:pPr>
      <w:r>
        <w:rPr>
          <w:sz w:val="20"/>
        </w:rPr>
        <w:t xml:space="preserve">The big architectural takeaway: the engine’s multi-outstanding pipeline absorbs ~128 cycles of memory round-trip latency completely — that’s </w:t>
      </w:r>
      <w:r>
        <w:rPr>
          <w:rStyle w:val="VerbatimChar"/>
          <w:sz w:val="20"/>
        </w:rPr>
        <w:t>AR_MAX_OUTSTANDING (8) × burst_len (16)</w:t>
      </w:r>
      <w:r>
        <w:rPr>
          <w:sz w:val="20"/>
        </w:rPr>
        <w:t xml:space="preserve"> beats kept in flight at all times. Past that point throughput degrades linearly with </w:t>
      </w:r>
      <w:r>
        <w:rPr>
          <w:rStyle w:val="VerbatimChar"/>
          <w:sz w:val="20"/>
        </w:rPr>
        <w:t>L</w:t>
      </w:r>
      <w:r>
        <w:rPr>
          <w:sz w:val="20"/>
        </w:rPr>
        <w:t>, exactly as Little’s Law predicts. This is the textbook behavior of a well-designed multi-outstanding AXI master sitting in front of a pipelined memory controller, and it lines up cleanly with the architectural intent.</w:t>
      </w:r>
    </w:p>
    <w:p>
      <w:pPr>
        <w:pStyle w:val="BodyText"/>
        <w:rPr/>
      </w:pPr>
      <w:r>
        <w:rPr>
          <w:sz w:val="20"/>
        </w:rPr>
        <w:t xml:space="preserve">A pleasant surprise: each channel maintains its own AR/AW outstanding queue, so the cliff position scales </w:t>
      </w:r>
      <w:r>
        <w:rPr>
          <w:b/>
          <w:bCs/>
          <w:sz w:val="20"/>
        </w:rPr>
        <w:t>linearly with channel count</w:t>
      </w:r>
      <w:r>
        <w:rPr>
          <w:sz w:val="20"/>
        </w:rPr>
        <w:t xml:space="preserve"> — 2 channels hide ~256 cycles, 3 channels hide ~384, and 4 channels hide ~512. See §6.1 for the full data.</w:t>
      </w:r>
    </w:p>
    <w:p>
      <w:pPr>
        <w:pStyle w:val="Normal"/>
        <w:rPr/>
      </w:pPr>
      <w:bookmarkStart w:id="55" w:name="headline-number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p>
    <w:p>
      <w:pPr>
        <w:pStyle w:val="Heading2"/>
        <w:pBdr>
          <w:bottom w:val="single" w:sz="12" w:space="0" w:color="228B22"/>
        </w:pBdr>
        <w:spacing w:before="280" w:after="80"/>
        <w:rPr/>
      </w:pPr>
      <w:bookmarkStart w:id="56" w:name="__RefHeading___Toc5383_2017609637"/>
      <w:bookmarkStart w:id="57" w:name="single-axis-sweeps"/>
      <w:bookmarkEnd w:id="56"/>
      <w:r>
        <w:rPr>
          <w:rStyle w:val="SectionNumber"/>
          <w:b/>
          <w:color w:val="228B22"/>
          <w:sz w:val="28"/>
        </w:rPr>
        <w:t>1.6</w:t>
      </w:r>
      <w:r>
        <w:rPr>
          <w:b/>
          <w:color w:val="228B22"/>
          <w:sz w:val="28"/>
        </w:rPr>
        <w:tab/>
        <w:t>5. Single-axis sweeps</w:t>
      </w:r>
    </w:p>
    <w:p>
      <w:pPr>
        <w:pStyle w:val="Heading3"/>
        <w:spacing w:before="200" w:after="80"/>
        <w:rPr/>
      </w:pPr>
      <w:bookmarkStart w:id="58" w:name="__RefHeading___Toc5385_2017609637"/>
      <w:bookmarkStart w:id="59" w:name="response-delay-sweep-1-ch-1-desc-512-kb"/>
      <w:bookmarkEnd w:id="58"/>
      <w:r>
        <w:rPr>
          <w:rStyle w:val="SectionNumber"/>
          <w:b/>
          <w:color w:val="404040"/>
          <w:sz w:val="24"/>
        </w:rPr>
        <w:t>1.6.1</w:t>
      </w:r>
      <w:r>
        <w:rPr>
          <w:b/>
          <w:color w:val="404040"/>
          <w:sz w:val="24"/>
        </w:rPr>
        <w:tab/>
        <w:t>5.1 Response-delay sweep (1 ch, 1 desc, 512 KB)</w:t>
      </w:r>
      <w:bookmarkEnd w:id="59"/>
    </w:p>
    <w:p>
      <w:pPr>
        <w:pStyle w:val="Heading3"/>
        <w:spacing w:before="200" w:after="80"/>
        <w:rPr/>
      </w:pPr>
      <w:bookmarkStart w:id="60" w:name="__RefHeading___Toc5387_2017609637"/>
      <w:bookmarkStart w:id="61" w:name="X692a9a13e301c472ffeb55d1850a4a02ff6cf7b"/>
      <w:bookmarkStart w:id="62" w:name="_Fig_6_Throughput_vs__memor"/>
      <w:bookmarkEnd w:id="60"/>
      <w:r>
        <w:rPr>
          <w:rStyle w:val="SectionNumber"/>
          <w:b/>
          <w:color w:val="404040"/>
          <w:sz w:val="24"/>
        </w:rPr>
        <w:t>1.6.2</w:t>
      </w:r>
      <w:r>
        <w:rPr>
          <w:b/>
          <w:color w:val="404040"/>
          <w:sz w:val="24"/>
        </w:rPr>
        <w:tab/>
        <w:t>Figure 5.1: Throughput vs. memory latency (1 channel)</w:t>
      </w:r>
      <w:bookmarkEnd w:id="62"/>
    </w:p>
    <w:p>
      <w:pPr>
        <w:pStyle w:val="CaptionedFigure"/>
        <w:rPr/>
      </w:pPr>
      <w:r>
        <w:rPr/>
        <w:drawing>
          <wp:inline distT="0" distB="0" distL="0" distR="0">
            <wp:extent cx="5334000" cy="3333750"/>
            <wp:effectExtent l="0" t="0" r="0" b="0"/>
            <wp:docPr id="23" name="Image6" descr="delay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delay sweep"/>
                    <pic:cNvPicPr>
                      <a:picLocks noChangeAspect="1" noChangeArrowheads="1"/>
                    </pic:cNvPicPr>
                  </pic:nvPicPr>
                  <pic:blipFill>
                    <a:blip r:embed="rId8"/>
                    <a:stretch>
                      <a:fillRect/>
                    </a:stretch>
                  </pic:blipFill>
                  <pic:spPr bwMode="auto">
                    <a:xfrm>
                      <a:off x="0" y="0"/>
                      <a:ext cx="5334000" cy="3333750"/>
                    </a:xfrm>
                    <a:prstGeom prst="rect">
                      <a:avLst/>
                    </a:prstGeom>
                  </pic:spPr>
                </pic:pic>
              </a:graphicData>
            </a:graphic>
          </wp:inline>
        </w:drawing>
      </w:r>
    </w:p>
    <w:p>
      <w:pPr>
        <w:pStyle w:val="ImageCaption"/>
        <w:rPr/>
      </w:pPr>
      <w:r>
        <w:rPr/>
        <w:t>delay sweep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total_cycles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 (MB/s)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Δ vs delay-0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34,850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34,865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0.04 %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34,881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1433.4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0.09 %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34,913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1432.1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0.18 %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34,945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0.27 %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35,216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1419.8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1.0 %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39,312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1271.9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b/>
                <w:bCs/>
                <w:kern w:val="0"/>
                <w:sz w:val="24"/>
                <w:szCs w:val="24"/>
                <w:lang w:val="en-US" w:eastAsia="en-US" w:bidi="ar-SA"/>
              </w:rPr>
              <w:t>11.3 %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43,408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19.7 %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47,504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26.6 %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55,696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897.7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37.4 %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63,888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782.6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45.4 %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72,080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693.7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51.7 %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88,464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60.6 %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104,848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66.8 %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71.2 %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137,616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363.3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74.7 %</w:t>
            </w:r>
          </w:p>
        </w:tc>
      </w:tr>
    </w:tbl>
    <w:p>
      <w:pPr>
        <w:pStyle w:val="BodyText"/>
        <w:rPr/>
      </w:pPr>
      <w:r>
        <w:rPr>
          <w:sz w:val="20"/>
        </w:rPr>
        <w:t>Two regions:</w:t>
      </w:r>
    </w:p>
    <w:p>
      <w:pPr>
        <w:pStyle w:val="Normal"/>
        <w:numPr>
          <w:ilvl w:val="0"/>
          <w:numId w:val="48"/>
        </w:numPr>
        <w:rPr/>
      </w:pPr>
      <w:r>
        <w:rPr>
          <w:b/>
          <w:bCs/>
          <w:sz w:val="20"/>
        </w:rPr>
        <w:t>delay 0–96: completely absorbed.</w:t>
      </w:r>
      <w:r>
        <w:rPr>
          <w:sz w:val="20"/>
        </w:rPr>
        <w:t xml:space="preserve"> Adding 96 cycles of per-beat memory latency costs less than 0.3 % of total runtime — the whole 96 × 1 cycle is paid as a one-time pipe-fill at the start of the transfer, and the rest streams at line rate. The 128-beat in-flight window has plenty of headroom in this regime.</w:t>
      </w:r>
    </w:p>
    <w:p>
      <w:pPr>
        <w:pStyle w:val="Normal"/>
        <w:numPr>
          <w:ilvl w:val="0"/>
          <w:numId w:val="49"/>
        </w:numPr>
        <w:rPr/>
      </w:pPr>
      <w:r>
        <w:rPr>
          <w:b/>
          <w:bCs/>
          <w:sz w:val="20"/>
        </w:rPr>
        <w:t>delay ≥ 128: linear cliff.</w:t>
      </w:r>
      <w:r>
        <w:rPr>
          <w:sz w:val="20"/>
        </w:rPr>
        <w:t xml:space="preserve"> Once </w:t>
      </w:r>
      <w:r>
        <w:rPr>
          <w:rStyle w:val="VerbatimChar"/>
          <w:sz w:val="20"/>
        </w:rPr>
        <w:t>L</w:t>
      </w:r>
      <w:r>
        <w:rPr>
          <w:sz w:val="20"/>
        </w:rPr>
        <w:t xml:space="preserve"> exceeds the in-flight window, Little’s Law takes over: </w:t>
      </w:r>
      <w:r>
        <w:rPr>
          <w:rStyle w:val="VerbatimChar"/>
          <w:sz w:val="20"/>
        </w:rPr>
        <w:t>BW ≈ (in_flight_beats / L) × peak</w:t>
      </w:r>
      <w:r>
        <w:rPr>
          <w:sz w:val="20"/>
        </w:rPr>
        <w:t xml:space="preserve">. With </w:t>
      </w:r>
      <w:r>
        <w:rPr>
          <w:rStyle w:val="VerbatimChar"/>
          <w:sz w:val="20"/>
        </w:rPr>
        <w:t>in_flight = 128</w:t>
      </w:r>
      <w:r>
        <w:rPr>
          <w:sz w:val="20"/>
        </w:rPr>
        <w:t xml:space="preserve"> and peak ≈ 1435 MB/s, the predicted post-cliff throughput is </w:t>
      </w:r>
      <w:r>
        <w:rPr>
          <w:rStyle w:val="VerbatimChar"/>
          <w:sz w:val="20"/>
        </w:rPr>
        <w:t>128/L × 1435</w:t>
      </w:r>
      <w:r>
        <w:rPr>
          <w:sz w:val="20"/>
        </w:rPr>
        <w:t>. Measured vs predicted:</w:t>
      </w:r>
    </w:p>
    <w:tbl>
      <w:tblPr>
        <w:tblStyle w:val="Table"/>
        <w:tblW w:w="7920" w:type="dxa"/>
        <w:jc w:val="left"/>
        <w:tblInd w:w="82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delay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Little’s Law (128/L × 1435)</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knee (in-flight just barely covers 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below (residual arbitration overhead)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w:t>
            </w:r>
          </w:p>
        </w:tc>
      </w:tr>
    </w:tbl>
    <w:p>
      <w:pPr>
        <w:pStyle w:val="Normal"/>
        <w:numPr>
          <w:ilvl w:val="0"/>
          <w:numId w:val="1"/>
        </w:numPr>
        <w:rPr/>
      </w:pPr>
      <w:r>
        <w:rPr>
          <w:sz w:val="20"/>
        </w:rPr>
        <w:t xml:space="preserve">The fit gets tighter as </w:t>
      </w:r>
      <w:r>
        <w:rPr>
          <w:rStyle w:val="VerbatimChar"/>
          <w:sz w:val="20"/>
        </w:rPr>
        <w:t>L</w:t>
      </w:r>
      <w:r>
        <w:rPr>
          <w:sz w:val="20"/>
        </w:rPr>
        <w:t xml:space="preserve"> grows because the relative contribution of arbitration overhead shrinks. Past </w:t>
      </w:r>
      <w:r>
        <w:rPr>
          <w:rStyle w:val="VerbatimChar"/>
          <w:sz w:val="20"/>
        </w:rPr>
        <w:t>L = 384</w:t>
      </w:r>
      <w:r>
        <w:rPr>
          <w:sz w:val="20"/>
        </w:rPr>
        <w:t xml:space="preserve"> we are within 1 % of theory.</w:t>
      </w:r>
    </w:p>
    <w:p>
      <w:pPr>
        <w:pStyle w:val="FirstParagraph"/>
        <w:rPr/>
      </w:pPr>
      <w:r>
        <w:rPr>
          <w:rStyle w:val="VerbatimChar"/>
          <w:sz w:val="20"/>
        </w:rPr>
        <w:t>r2r</w:t>
      </w:r>
      <w:r>
        <w:rPr>
          <w:sz w:val="20"/>
        </w:rPr>
        <w:t xml:space="preserve"> and </w:t>
      </w:r>
      <w:r>
        <w:rPr>
          <w:rStyle w:val="VerbatimChar"/>
          <w:sz w:val="20"/>
        </w:rPr>
        <w:t>w2w</w:t>
      </w:r>
      <w:r>
        <w:rPr>
          <w:sz w:val="20"/>
        </w:rPr>
        <w:t xml:space="preserve"> track </w:t>
      </w:r>
      <w:r>
        <w:rPr>
          <w:rStyle w:val="VerbatimChar"/>
          <w:sz w:val="20"/>
        </w:rPr>
        <w:t>total</w:t>
      </w:r>
      <w:r>
        <w:rPr>
          <w:sz w:val="20"/>
        </w:rPr>
        <w:t xml:space="preserve"> to within ~30 cycles in the flat region — the read and write engines are perfectly balanced. In the post-cliff region they remain matched (slightly above </w:t>
      </w:r>
      <w:r>
        <w:rPr>
          <w:rStyle w:val="VerbatimChar"/>
          <w:sz w:val="20"/>
        </w:rPr>
        <w:t>total</w:t>
      </w:r>
      <w:r>
        <w:rPr>
          <w:sz w:val="20"/>
        </w:rPr>
        <w:t xml:space="preserve"> since they exclude startup), confirming both sides degrade together.</w:t>
      </w:r>
      <w:bookmarkEnd w:id="61"/>
    </w:p>
    <w:p>
      <w:pPr>
        <w:pStyle w:val="Heading3"/>
        <w:spacing w:before="200" w:after="80"/>
        <w:rPr/>
      </w:pPr>
      <w:bookmarkStart w:id="63" w:name="__RefHeading___Toc5389_2017609637"/>
      <w:bookmarkStart w:id="64" w:name="Xa84e938af4004a3bb45d867dd3888e58a81234c"/>
      <w:bookmarkEnd w:id="63"/>
      <w:r>
        <w:rPr>
          <w:rStyle w:val="SectionNumber"/>
          <w:b/>
          <w:color w:val="404040"/>
          <w:sz w:val="24"/>
        </w:rPr>
        <w:t>1.6.3</w:t>
      </w:r>
      <w:r>
        <w:rPr>
          <w:b/>
          <w:color w:val="404040"/>
          <w:sz w:val="24"/>
        </w:rPr>
        <w:tab/>
        <w:t>5.2 Descriptor-count sweep (1 ch, 1..16 descriptors, 512 KB each, delay 0)</w:t>
      </w:r>
      <w:bookmarkEnd w:id="64"/>
    </w:p>
    <w:p>
      <w:pPr>
        <w:pStyle w:val="Heading3"/>
        <w:spacing w:before="200" w:after="80"/>
        <w:rPr/>
      </w:pPr>
      <w:bookmarkStart w:id="65" w:name="__RefHeading___Toc5391_2017609637"/>
      <w:bookmarkStart w:id="66" w:name="X9256aa1cc890ca22d9ba54dd66160868a0767ea"/>
      <w:bookmarkStart w:id="67" w:name="_Fig_7_Throughput_vs__descr"/>
      <w:bookmarkEnd w:id="65"/>
      <w:r>
        <w:rPr>
          <w:rStyle w:val="SectionNumber"/>
          <w:b/>
          <w:color w:val="404040"/>
          <w:sz w:val="24"/>
        </w:rPr>
        <w:t>1.6.4</w:t>
      </w:r>
      <w:r>
        <w:rPr>
          <w:b/>
          <w:color w:val="404040"/>
          <w:sz w:val="24"/>
        </w:rPr>
        <w:tab/>
        <w:t>Figure 5.2: Throughput vs. descriptor chain length</w:t>
      </w:r>
      <w:bookmarkEnd w:id="67"/>
    </w:p>
    <w:p>
      <w:pPr>
        <w:pStyle w:val="CaptionedFigure"/>
        <w:rPr/>
      </w:pPr>
      <w:r>
        <w:rPr/>
        <w:drawing>
          <wp:inline distT="0" distB="0" distL="0" distR="0">
            <wp:extent cx="5334000" cy="3333750"/>
            <wp:effectExtent l="0" t="0" r="0" b="0"/>
            <wp:docPr id="24" name="Image7" descr="desc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desc sweep"/>
                    <pic:cNvPicPr>
                      <a:picLocks noChangeAspect="1" noChangeArrowheads="1"/>
                    </pic:cNvPicPr>
                  </pic:nvPicPr>
                  <pic:blipFill>
                    <a:blip r:embed="rId9"/>
                    <a:stretch>
                      <a:fillRect/>
                    </a:stretch>
                  </pic:blipFill>
                  <pic:spPr bwMode="auto">
                    <a:xfrm>
                      <a:off x="0" y="0"/>
                      <a:ext cx="5334000" cy="3333750"/>
                    </a:xfrm>
                    <a:prstGeom prst="rect">
                      <a:avLst/>
                    </a:prstGeom>
                  </pic:spPr>
                </pic:pic>
              </a:graphicData>
            </a:graphic>
          </wp:inline>
        </w:drawing>
      </w:r>
    </w:p>
    <w:p>
      <w:pPr>
        <w:pStyle w:val="ImageCaption"/>
        <w:rPr/>
      </w:pPr>
      <w:r>
        <w:rPr/>
        <w:t>desc sweep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moved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1434.8</w:t>
            </w:r>
          </w:p>
        </w:tc>
      </w:tr>
    </w:tbl>
    <w:p>
      <w:pPr>
        <w:pStyle w:val="BodyText"/>
        <w:rPr/>
      </w:pPr>
      <w:r>
        <w:rPr>
          <w:sz w:val="20"/>
        </w:rPr>
        <w:t xml:space="preserve">Throughput is </w:t>
      </w:r>
      <w:r>
        <w:rPr>
          <w:b/>
          <w:bCs/>
          <w:sz w:val="20"/>
        </w:rPr>
        <w:t>flat to four decimal places</w:t>
      </w:r>
      <w:r>
        <w:rPr>
          <w:sz w:val="20"/>
        </w:rPr>
        <w:t xml:space="preserve"> as the chain grows. Two implications:</w:t>
      </w:r>
    </w:p>
    <w:p>
      <w:pPr>
        <w:pStyle w:val="Compact"/>
        <w:numPr>
          <w:ilvl w:val="0"/>
          <w:numId w:val="50"/>
        </w:numPr>
        <w:rPr/>
      </w:pPr>
      <w:r>
        <w:rPr/>
        <w:t xml:space="preserve">The descriptor engine fetches the next descriptor </w:t>
      </w:r>
      <w:r>
        <w:rPr>
          <w:i/>
          <w:iCs/>
        </w:rPr>
        <w:t>concurrently</w:t>
      </w:r>
      <w:r>
        <w:rPr/>
        <w:t xml:space="preserve"> with the data engines draining the previous one — there is no pause between descriptors in a chain.</w:t>
      </w:r>
    </w:p>
    <w:p>
      <w:pPr>
        <w:pStyle w:val="Compact"/>
        <w:numPr>
          <w:ilvl w:val="0"/>
          <w:numId w:val="51"/>
        </w:numPr>
        <w:rPr/>
      </w:pPr>
      <w:r>
        <w:rPr/>
        <w:t xml:space="preserve">The fixed startup/drain cost (~35 cycles per session) is amortized cleanly across longer transfers; the gap between </w:t>
      </w:r>
      <w:r>
        <w:rPr>
          <w:rStyle w:val="VerbatimChar"/>
        </w:rPr>
        <w:t>total_MBps</w:t>
      </w:r>
      <w:r>
        <w:rPr/>
        <w:t xml:space="preserve"> and </w:t>
      </w:r>
      <w:r>
        <w:rPr>
          <w:rStyle w:val="VerbatimChar"/>
        </w:rPr>
        <w:t>r2r_MBps</w:t>
      </w:r>
      <w:r>
        <w:rPr/>
        <w:t xml:space="preserve"> shrinks toward zero as </w:t>
      </w:r>
      <w:r>
        <w:rPr>
          <w:rStyle w:val="VerbatimChar"/>
        </w:rPr>
        <w:t>N</w:t>
      </w:r>
      <w:r>
        <w:rPr/>
        <w:t xml:space="preserve"> grows (1.48 MB/s gap at N = 1 collapses to 0.09 MB/s by N = 16).</w:t>
      </w:r>
      <w:bookmarkEnd w:id="66"/>
    </w:p>
    <w:p>
      <w:pPr>
        <w:pStyle w:val="Heading3"/>
        <w:spacing w:before="200" w:after="80"/>
        <w:rPr/>
      </w:pPr>
      <w:bookmarkStart w:id="68" w:name="__RefHeading___Toc5393_2017609637"/>
      <w:bookmarkStart w:id="69" w:name="X80574f5cd80c7ae344104d0a8784e33f3646558"/>
      <w:bookmarkEnd w:id="68"/>
      <w:r>
        <w:rPr>
          <w:rStyle w:val="SectionNumber"/>
          <w:b/>
          <w:color w:val="404040"/>
          <w:sz w:val="24"/>
        </w:rPr>
        <w:t>1.6.5</w:t>
      </w:r>
      <w:r>
        <w:rPr>
          <w:b/>
          <w:color w:val="404040"/>
          <w:sz w:val="24"/>
        </w:rPr>
        <w:tab/>
        <w:t>5.3 Channel-count sweep (1..4 ch, 1 desc each, 512 KB per channel, delay 0)</w:t>
      </w:r>
      <w:bookmarkEnd w:id="69"/>
    </w:p>
    <w:p>
      <w:pPr>
        <w:pStyle w:val="Heading3"/>
        <w:spacing w:before="200" w:after="80"/>
        <w:rPr/>
      </w:pPr>
      <w:bookmarkStart w:id="70" w:name="__RefHeading___Toc5395_2017609637"/>
      <w:bookmarkStart w:id="71" w:name="Xf3079f9eb775e3feb0c88bc6e57a735c4aa8963"/>
      <w:bookmarkStart w:id="72" w:name="_Fig_8_Throughput_vs__activ"/>
      <w:bookmarkEnd w:id="70"/>
      <w:r>
        <w:rPr>
          <w:rStyle w:val="SectionNumber"/>
          <w:b/>
          <w:color w:val="404040"/>
          <w:sz w:val="24"/>
        </w:rPr>
        <w:t>1.6.6</w:t>
      </w:r>
      <w:r>
        <w:rPr>
          <w:b/>
          <w:color w:val="404040"/>
          <w:sz w:val="24"/>
        </w:rPr>
        <w:tab/>
        <w:t>Figure 5.3: Throughput vs. active channel count</w:t>
      </w:r>
      <w:bookmarkEnd w:id="72"/>
    </w:p>
    <w:p>
      <w:pPr>
        <w:pStyle w:val="CaptionedFigure"/>
        <w:rPr/>
      </w:pPr>
      <w:r>
        <w:rPr/>
        <w:drawing>
          <wp:inline distT="0" distB="0" distL="0" distR="0">
            <wp:extent cx="5334000" cy="3333750"/>
            <wp:effectExtent l="0" t="0" r="0" b="0"/>
            <wp:docPr id="25" name="Image8" descr="channel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descr="channel sweep"/>
                    <pic:cNvPicPr>
                      <a:picLocks noChangeAspect="1" noChangeArrowheads="1"/>
                    </pic:cNvPicPr>
                  </pic:nvPicPr>
                  <pic:blipFill>
                    <a:blip r:embed="rId10"/>
                    <a:stretch>
                      <a:fillRect/>
                    </a:stretch>
                  </pic:blipFill>
                  <pic:spPr bwMode="auto">
                    <a:xfrm>
                      <a:off x="0" y="0"/>
                      <a:ext cx="5334000" cy="3333750"/>
                    </a:xfrm>
                    <a:prstGeom prst="rect">
                      <a:avLst/>
                    </a:prstGeom>
                  </pic:spPr>
                </pic:pic>
              </a:graphicData>
            </a:graphic>
          </wp:inline>
        </w:drawing>
      </w:r>
    </w:p>
    <w:p>
      <w:pPr>
        <w:pStyle w:val="ImageCaption"/>
        <w:rPr/>
      </w:pPr>
      <w:r>
        <w:rPr/>
        <w:t>channel sweep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moved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1435.0</w:t>
            </w:r>
          </w:p>
        </w:tc>
      </w:tr>
    </w:tbl>
    <w:p>
      <w:pPr>
        <w:pStyle w:val="BodyText"/>
        <w:rPr/>
      </w:pPr>
      <w:r>
        <w:rPr>
          <w:sz w:val="20"/>
        </w:rPr>
        <w:t>All four configurations land at the same ~1435 MB/s. Interpretation:</w:t>
      </w:r>
    </w:p>
    <w:p>
      <w:pPr>
        <w:pStyle w:val="Compact"/>
        <w:numPr>
          <w:ilvl w:val="0"/>
          <w:numId w:val="52"/>
        </w:numPr>
        <w:rPr/>
      </w:pPr>
      <w:r>
        <w:rPr>
          <w:b/>
          <w:bCs/>
        </w:rPr>
        <w:t>The slave AXI port is the bandwidth ceiling.</w:t>
      </w:r>
      <w:r>
        <w:rPr/>
        <w:t xml:space="preserve"> All channels share the same read source and write sink in this harness, so adding channels splits the bandwidth across more streams rather than scaling it. (Channels gain </w:t>
      </w:r>
      <w:r>
        <w:rPr>
          <w:i/>
          <w:iCs/>
        </w:rPr>
        <w:t>latency tolerance</w:t>
      </w:r>
      <w:r>
        <w:rPr/>
        <w:t>, not raw bandwidth — see §6.1.)</w:t>
      </w:r>
    </w:p>
    <w:p>
      <w:pPr>
        <w:pStyle w:val="Compact"/>
        <w:numPr>
          <w:ilvl w:val="0"/>
          <w:numId w:val="53"/>
        </w:numPr>
        <w:rPr/>
      </w:pPr>
      <w:r>
        <w:rPr>
          <w:b/>
          <w:bCs/>
        </w:rPr>
        <w:t>Arbitration overhead is essentially zero.</w:t>
      </w:r>
      <w:r>
        <w:rPr/>
        <w:t xml:space="preserve"> Going from 1 to 4 active channels costs less than 0.1 %.</w:t>
      </w:r>
    </w:p>
    <w:p>
      <w:pPr>
        <w:pStyle w:val="FirstParagraph"/>
        <w:rPr/>
      </w:pPr>
      <w:r>
        <w:rPr>
          <w:sz w:val="20"/>
        </w:rPr>
        <w:t xml:space="preserve">This is the right behavior for </w:t>
      </w:r>
      <w:r>
        <w:rPr>
          <w:i/>
          <w:iCs/>
          <w:sz w:val="20"/>
        </w:rPr>
        <w:t>this</w:t>
      </w:r>
      <w:r>
        <w:rPr>
          <w:sz w:val="20"/>
        </w:rPr>
        <w:t xml:space="preserve"> test setup. With independent backing memory per channel (e.g. different DDR ranks, distinct AXI slaves) you’d see proper N× bandwidth scaling — that’s a follow-on test.</w:t>
      </w:r>
      <w:bookmarkEnd w:id="71"/>
    </w:p>
    <w:p>
      <w:pPr>
        <w:pStyle w:val="Heading3"/>
        <w:spacing w:before="200" w:after="80"/>
        <w:rPr/>
      </w:pPr>
      <w:bookmarkStart w:id="73" w:name="__RefHeading___Toc5397_2017609637"/>
      <w:bookmarkStart w:id="74" w:name="X03a42504a0358de3462a82019cb41f805d2bef8"/>
      <w:bookmarkEnd w:id="73"/>
      <w:r>
        <w:rPr>
          <w:rStyle w:val="SectionNumber"/>
          <w:b/>
          <w:color w:val="404040"/>
          <w:sz w:val="24"/>
        </w:rPr>
        <w:t>1.6.7</w:t>
      </w:r>
      <w:r>
        <w:rPr>
          <w:b/>
          <w:color w:val="404040"/>
          <w:sz w:val="24"/>
        </w:rPr>
        <w:tab/>
        <w:t>5.4 Transfer-size sweep (1 ch, 1 desc, 8 KB → 1 MB, delay 0)</w:t>
      </w:r>
      <w:bookmarkEnd w:id="74"/>
    </w:p>
    <w:p>
      <w:pPr>
        <w:pStyle w:val="Heading3"/>
        <w:spacing w:before="200" w:after="80"/>
        <w:rPr/>
      </w:pPr>
      <w:bookmarkStart w:id="75" w:name="__RefHeading___Toc5399_2017609637"/>
      <w:bookmarkStart w:id="76" w:name="X7a65f09d4f441d0902194e94b1344c3b5c0fe4d"/>
      <w:bookmarkStart w:id="77" w:name="_Fig_9_Software_visible_thr"/>
      <w:bookmarkEnd w:id="75"/>
      <w:r>
        <w:rPr>
          <w:rStyle w:val="SectionNumber"/>
          <w:b/>
          <w:color w:val="404040"/>
          <w:sz w:val="24"/>
        </w:rPr>
        <w:t>1.6.8</w:t>
      </w:r>
      <w:r>
        <w:rPr>
          <w:b/>
          <w:color w:val="404040"/>
          <w:sz w:val="24"/>
        </w:rPr>
        <w:tab/>
        <w:t>Figure 5.4: Software-visible throughput vs. transfer size</w:t>
      </w:r>
      <w:bookmarkEnd w:id="77"/>
    </w:p>
    <w:p>
      <w:pPr>
        <w:pStyle w:val="CaptionedFigure"/>
        <w:rPr/>
      </w:pPr>
      <w:r>
        <w:rPr/>
        <w:drawing>
          <wp:inline distT="0" distB="0" distL="0" distR="0">
            <wp:extent cx="5334000" cy="3333750"/>
            <wp:effectExtent l="0" t="0" r="0" b="0"/>
            <wp:docPr id="26" name="Image9" descr="size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size sweep"/>
                    <pic:cNvPicPr>
                      <a:picLocks noChangeAspect="1" noChangeArrowheads="1"/>
                    </pic:cNvPicPr>
                  </pic:nvPicPr>
                  <pic:blipFill>
                    <a:blip r:embed="rId11"/>
                    <a:stretch>
                      <a:fillRect/>
                    </a:stretch>
                  </pic:blipFill>
                  <pic:spPr bwMode="auto">
                    <a:xfrm>
                      <a:off x="0" y="0"/>
                      <a:ext cx="5334000" cy="3333750"/>
                    </a:xfrm>
                    <a:prstGeom prst="rect">
                      <a:avLst/>
                    </a:prstGeom>
                  </pic:spPr>
                </pic:pic>
              </a:graphicData>
            </a:graphic>
          </wp:inline>
        </w:drawing>
      </w:r>
    </w:p>
    <w:p>
      <w:pPr>
        <w:pStyle w:val="ImageCaption"/>
        <w:rPr/>
      </w:pPr>
      <w:r>
        <w:rPr/>
        <w:t>size sweep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total_cycles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1382.7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1408.9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2,197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1422.4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4,373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1429.2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1432.7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17,429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34,837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69,653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1435.7</w:t>
            </w:r>
          </w:p>
        </w:tc>
      </w:tr>
    </w:tbl>
    <w:p>
      <w:pPr>
        <w:pStyle w:val="BodyText"/>
        <w:rPr/>
      </w:pPr>
      <w:r>
        <w:rPr>
          <w:sz w:val="20"/>
        </w:rPr>
        <w:t xml:space="preserve">The </w:t>
      </w:r>
      <w:r>
        <w:rPr>
          <w:rStyle w:val="VerbatimChar"/>
          <w:sz w:val="20"/>
        </w:rPr>
        <w:t>r2r</w:t>
      </w:r>
      <w:r>
        <w:rPr>
          <w:sz w:val="20"/>
        </w:rPr>
        <w:t xml:space="preserve"> column stays at ~1438 MB/s across every size — the engine’s true sustained rate, independent of startup/drain. </w:t>
      </w:r>
      <w:r>
        <w:rPr>
          <w:rStyle w:val="VerbatimChar"/>
          <w:sz w:val="20"/>
        </w:rPr>
        <w:t>total</w:t>
      </w:r>
      <w:r>
        <w:rPr>
          <w:sz w:val="20"/>
        </w:rPr>
        <w:t xml:space="preserve"> rises asymptotically toward </w:t>
      </w:r>
      <w:r>
        <w:rPr>
          <w:rStyle w:val="VerbatimChar"/>
          <w:sz w:val="20"/>
        </w:rPr>
        <w:t>r2r</w:t>
      </w:r>
      <w:r>
        <w:rPr>
          <w:sz w:val="20"/>
        </w:rPr>
        <w:t xml:space="preserve"> as the fixed ~22-cycle startup overhead becomes a smaller fraction of the run. Useful to know: at 8 KB the software-perceived throughput is ~3.7 % below peak; by 64 KB it’s within 0.5 %; by 256 KB it’s indistinguishable.</w:t>
      </w:r>
    </w:p>
    <w:p>
      <w:pPr>
        <w:pStyle w:val="Normal"/>
        <w:rPr/>
      </w:pPr>
      <w:bookmarkStart w:id="78" w:name="single-axis-sweeps"/>
      <w:bookmarkStart w:id="79" w:name="X7a65f09d4f441d0902194e94b1344c3b5c0fe4d"/>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pBdr>
          <w:bottom w:val="single" w:sz="12" w:space="0" w:color="228B22"/>
        </w:pBdr>
        <w:spacing w:before="280" w:after="80"/>
        <w:rPr/>
      </w:pPr>
      <w:bookmarkStart w:id="80" w:name="__RefHeading___Toc5401_2017609637"/>
      <w:bookmarkStart w:id="81" w:name="d-crosses"/>
      <w:bookmarkEnd w:id="80"/>
      <w:r>
        <w:rPr>
          <w:rStyle w:val="SectionNumber"/>
          <w:b/>
          <w:color w:val="228B22"/>
          <w:sz w:val="28"/>
        </w:rPr>
        <w:t>1.7</w:t>
      </w:r>
      <w:r>
        <w:rPr>
          <w:b/>
          <w:color w:val="228B22"/>
          <w:sz w:val="28"/>
        </w:rPr>
        <w:tab/>
        <w:t>6. 2-D crosses</w:t>
      </w:r>
    </w:p>
    <w:p>
      <w:pPr>
        <w:pStyle w:val="Heading3"/>
        <w:spacing w:before="200" w:after="80"/>
        <w:rPr/>
      </w:pPr>
      <w:bookmarkStart w:id="82" w:name="__RefHeading___Toc5403_2017609637"/>
      <w:bookmarkStart w:id="83" w:name="Xdeec944ffe6dab6d2a86f683d17cb563eaf7d7c"/>
      <w:bookmarkEnd w:id="82"/>
      <w:r>
        <w:rPr>
          <w:rStyle w:val="SectionNumber"/>
          <w:b/>
          <w:color w:val="404040"/>
          <w:sz w:val="24"/>
        </w:rPr>
        <w:t>1.7.1</w:t>
      </w:r>
      <w:r>
        <w:rPr>
          <w:b/>
          <w:color w:val="404040"/>
          <w:sz w:val="24"/>
        </w:rPr>
        <w:tab/>
        <w:t xml:space="preserve">6.1 Channels × delay (1 desc, 512 KB) — </w:t>
      </w:r>
      <w:r>
        <w:rPr>
          <w:b/>
          <w:i/>
          <w:iCs/>
          <w:color w:val="404040"/>
          <w:sz w:val="24"/>
        </w:rPr>
        <w:t>the key result</w:t>
      </w:r>
      <w:bookmarkEnd w:id="83"/>
    </w:p>
    <w:p>
      <w:pPr>
        <w:pStyle w:val="Heading3"/>
        <w:spacing w:before="200" w:after="80"/>
        <w:rPr/>
      </w:pPr>
      <w:bookmarkStart w:id="84" w:name="__RefHeading___Toc5405_2017609637"/>
      <w:bookmarkStart w:id="85" w:name="Xb650cec162d221335eb17e24797824a7aa81fe3"/>
      <w:bookmarkStart w:id="86" w:name="_Fig_10_Throughput_surface__"/>
      <w:bookmarkEnd w:id="84"/>
      <w:r>
        <w:rPr>
          <w:rStyle w:val="SectionNumber"/>
          <w:b/>
          <w:color w:val="404040"/>
          <w:sz w:val="24"/>
        </w:rPr>
        <w:t>1.7.2</w:t>
      </w:r>
      <w:r>
        <w:rPr>
          <w:b/>
          <w:color w:val="404040"/>
          <w:sz w:val="24"/>
        </w:rPr>
        <w:tab/>
        <w:t>Figure 6.1: Throughput surface — channels × memory latency</w:t>
      </w:r>
      <w:bookmarkEnd w:id="86"/>
    </w:p>
    <w:p>
      <w:pPr>
        <w:pStyle w:val="CaptionedFigure"/>
        <w:rPr/>
      </w:pPr>
      <w:r>
        <w:rPr/>
        <w:drawing>
          <wp:inline distT="0" distB="0" distL="0" distR="0">
            <wp:extent cx="5334000" cy="3137535"/>
            <wp:effectExtent l="0" t="0" r="0" b="0"/>
            <wp:docPr id="29" name="Image10" descr="channels × delay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descr="channels × delay heatmap"/>
                    <pic:cNvPicPr>
                      <a:picLocks noChangeAspect="1" noChangeArrowheads="1"/>
                    </pic:cNvPicPr>
                  </pic:nvPicPr>
                  <pic:blipFill>
                    <a:blip r:embed="rId12"/>
                    <a:stretch>
                      <a:fillRect/>
                    </a:stretch>
                  </pic:blipFill>
                  <pic:spPr bwMode="auto">
                    <a:xfrm>
                      <a:off x="0" y="0"/>
                      <a:ext cx="5334000" cy="3137535"/>
                    </a:xfrm>
                    <a:prstGeom prst="rect">
                      <a:avLst/>
                    </a:prstGeom>
                  </pic:spPr>
                </pic:pic>
              </a:graphicData>
            </a:graphic>
          </wp:inline>
        </w:drawing>
      </w:r>
    </w:p>
    <w:p>
      <w:pPr>
        <w:pStyle w:val="ImageCaption"/>
        <w:rPr/>
      </w:pPr>
      <w:bookmarkStart w:id="87" w:name="Xb650cec162d221335eb17e24797824a7aa81fe3"/>
      <w:r>
        <w:rPr/>
        <w:t>channels × delay heatmap</w:t>
      </w:r>
      <w:bookmarkEnd w:id="87"/>
    </w:p>
    <w:p>
      <w:pPr>
        <w:pStyle w:val="Heading3"/>
        <w:spacing w:before="200" w:after="80"/>
        <w:rPr/>
      </w:pPr>
      <w:bookmarkStart w:id="88" w:name="__RefHeading___Toc5407_2017609637"/>
      <w:bookmarkStart w:id="89" w:name="figure-6.2-per-channel-count-slices"/>
      <w:bookmarkStart w:id="90" w:name="_Fig_11_Per_channel_count_sl"/>
      <w:bookmarkEnd w:id="88"/>
      <w:r>
        <w:rPr>
          <w:rStyle w:val="SectionNumber"/>
          <w:b/>
          <w:color w:val="404040"/>
          <w:sz w:val="24"/>
        </w:rPr>
        <w:t>1.7.3</w:t>
      </w:r>
      <w:r>
        <w:rPr>
          <w:b/>
          <w:color w:val="404040"/>
          <w:sz w:val="24"/>
        </w:rPr>
        <w:tab/>
        <w:t>Figure 6.2: Per-channel-count slices</w:t>
      </w:r>
      <w:bookmarkEnd w:id="90"/>
    </w:p>
    <w:p>
      <w:pPr>
        <w:pStyle w:val="CaptionedFigure"/>
        <w:rPr/>
      </w:pPr>
      <w:r>
        <w:rPr/>
        <w:drawing>
          <wp:inline distT="0" distB="0" distL="0" distR="0">
            <wp:extent cx="5334000" cy="3333750"/>
            <wp:effectExtent l="0" t="0" r="0" b="0"/>
            <wp:docPr id="30" name="Image11" descr="channels × dela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 descr="channels × delay lines"/>
                    <pic:cNvPicPr>
                      <a:picLocks noChangeAspect="1" noChangeArrowheads="1"/>
                    </pic:cNvPicPr>
                  </pic:nvPicPr>
                  <pic:blipFill>
                    <a:blip r:embed="rId13"/>
                    <a:stretch>
                      <a:fillRect/>
                    </a:stretch>
                  </pic:blipFill>
                  <pic:spPr bwMode="auto">
                    <a:xfrm>
                      <a:off x="0" y="0"/>
                      <a:ext cx="5334000" cy="3333750"/>
                    </a:xfrm>
                    <a:prstGeom prst="rect">
                      <a:avLst/>
                    </a:prstGeom>
                  </pic:spPr>
                </pic:pic>
              </a:graphicData>
            </a:graphic>
          </wp:inline>
        </w:drawing>
      </w:r>
    </w:p>
    <w:p>
      <w:pPr>
        <w:pStyle w:val="ImageCaption"/>
        <w:rPr/>
      </w:pPr>
      <w:r>
        <w:rPr/>
        <w:t>channels × delay lines</w:t>
      </w:r>
    </w:p>
    <w:p>
      <w:pPr>
        <w:pStyle w:val="BodyText"/>
        <w:rPr/>
      </w:pPr>
      <w:r>
        <w:rPr>
          <w:sz w:val="20"/>
        </w:rPr>
        <w:t xml:space="preserve">The cliff position </w:t>
      </w:r>
      <w:r>
        <w:rPr>
          <w:b/>
          <w:bCs/>
          <w:sz w:val="20"/>
        </w:rPr>
        <w:t>scales linearly with channel count</w:t>
      </w:r>
      <w:r>
        <w:rPr>
          <w:sz w:val="20"/>
        </w:rPr>
        <w:t xml:space="preserve"> — each channel maintains its own AR/AW outstanding queue, so total in-flight beats is </w:t>
      </w:r>
      <w:r>
        <w:rPr>
          <w:rStyle w:val="VerbatimChar"/>
          <w:sz w:val="20"/>
        </w:rPr>
        <w:t>8 × N_channels × burst_len = 128 × N_ch</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ch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 ch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 ch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 ch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1272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1433</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1433</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1433</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1385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384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1013</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BodyText"/>
        <w:rPr/>
      </w:pPr>
      <w:r>
        <w:rPr>
          <w:sz w:val="20"/>
        </w:rPr>
        <w:t>(Bold marks each curve’s knee — where the engine’s per-channel pipe stops covering the latency.)</w:t>
      </w:r>
    </w:p>
    <w:p>
      <w:pPr>
        <w:pStyle w:val="BodyText"/>
        <w:rPr/>
      </w:pPr>
      <w:r>
        <w:rPr>
          <w:sz w:val="20"/>
        </w:rPr>
        <w:t>What this shows:</w:t>
      </w:r>
    </w:p>
    <w:p>
      <w:pPr>
        <w:pStyle w:val="Compact"/>
        <w:numPr>
          <w:ilvl w:val="0"/>
          <w:numId w:val="54"/>
        </w:numPr>
        <w:rPr/>
      </w:pPr>
      <w:r>
        <w:rPr>
          <w:b/>
          <w:bCs/>
        </w:rPr>
        <w:t>1 channel hides L up to ~128 cycles</w:t>
      </w:r>
      <w:r>
        <w:rPr/>
        <w:t xml:space="preserve"> (8 outstanding × 16-beat burst). At </w:t>
      </w:r>
      <w:r>
        <w:rPr>
          <w:rStyle w:val="VerbatimChar"/>
        </w:rPr>
        <w:t>L = 128</w:t>
      </w:r>
      <w:r>
        <w:rPr/>
        <w:t xml:space="preserve"> we hit the knee; throughput is still 1272 MB/s but slipping. Past </w:t>
      </w:r>
      <w:r>
        <w:rPr>
          <w:rStyle w:val="VerbatimChar"/>
        </w:rPr>
        <w:t>L = 128</w:t>
      </w:r>
      <w:r>
        <w:rPr/>
        <w:t>, BW collapses linearly.</w:t>
      </w:r>
    </w:p>
    <w:p>
      <w:pPr>
        <w:pStyle w:val="Compact"/>
        <w:numPr>
          <w:ilvl w:val="0"/>
          <w:numId w:val="55"/>
        </w:numPr>
        <w:rPr/>
      </w:pPr>
      <w:r>
        <w:rPr>
          <w:b/>
          <w:bCs/>
        </w:rPr>
        <w:t>2 channels push the knee to ~256 cycles.</w:t>
      </w:r>
      <w:r>
        <w:rPr/>
        <w:t xml:space="preserve"> At </w:t>
      </w:r>
      <w:r>
        <w:rPr>
          <w:rStyle w:val="VerbatimChar"/>
        </w:rPr>
        <w:t>L = 256</w:t>
      </w:r>
      <w:r>
        <w:rPr/>
        <w:t xml:space="preserve"> (the predicted boundary) BW is already at 1385 MB/s — slipping but well above the 1-channel value at the same </w:t>
      </w:r>
      <w:r>
        <w:rPr>
          <w:rStyle w:val="VerbatimChar"/>
        </w:rPr>
        <w:t>L</w:t>
      </w:r>
      <w:r>
        <w:rPr/>
        <w:t xml:space="preserve"> (694 MB/s). Past 256, BW follows </w:t>
      </w:r>
      <w:r>
        <w:rPr>
          <w:rStyle w:val="VerbatimChar"/>
        </w:rPr>
        <w:t>BW ≈ 256/L × peak</w:t>
      </w:r>
      <w:r>
        <w:rPr/>
        <w:t>.</w:t>
      </w:r>
    </w:p>
    <w:p>
      <w:pPr>
        <w:pStyle w:val="Compact"/>
        <w:numPr>
          <w:ilvl w:val="0"/>
          <w:numId w:val="56"/>
        </w:numPr>
        <w:rPr/>
      </w:pPr>
      <w:r>
        <w:rPr>
          <w:b/>
          <w:bCs/>
        </w:rPr>
        <w:t>3 channels push the knee to ~384 cycles.</w:t>
      </w:r>
      <w:r>
        <w:rPr/>
        <w:t xml:space="preserve"> At </w:t>
      </w:r>
      <w:r>
        <w:rPr>
          <w:rStyle w:val="VerbatimChar"/>
        </w:rPr>
        <w:t>L = 256</w:t>
      </w:r>
      <w:r>
        <w:rPr/>
        <w:t xml:space="preserve"> 3-ch is still at full peak (1431 MB/s); at </w:t>
      </w:r>
      <w:r>
        <w:rPr>
          <w:rStyle w:val="VerbatimChar"/>
        </w:rPr>
        <w:t>L = 384</w:t>
      </w:r>
      <w:r>
        <w:rPr/>
        <w:t xml:space="preserve"> BW is 1012 MB/s — right at the knee.</w:t>
      </w:r>
    </w:p>
    <w:p>
      <w:pPr>
        <w:pStyle w:val="Compact"/>
        <w:numPr>
          <w:ilvl w:val="0"/>
          <w:numId w:val="57"/>
        </w:numPr>
        <w:rPr/>
      </w:pPr>
      <w:r>
        <w:rPr>
          <w:b/>
          <w:bCs/>
        </w:rPr>
        <w:t>4 channels</w:t>
      </w:r>
      <w:r>
        <w:rPr/>
        <w:t xml:space="preserve"> should push the knee out to ~512 (4 × 128). At </w:t>
      </w:r>
      <w:r>
        <w:rPr>
          <w:rStyle w:val="VerbatimChar"/>
        </w:rPr>
        <w:t>L = 256</w:t>
      </w:r>
      <w:r>
        <w:rPr/>
        <w:t xml:space="preserve"> 4-ch is at peak (1432 MB/s), confirming the absorption is working. The L = 512 / 4-ch case timed out (host watchdog), which is consistent with 4 channels still sustaining peak demand at exactly the boundary.</w:t>
      </w:r>
    </w:p>
    <w:p>
      <w:pPr>
        <w:pStyle w:val="FirstParagraph"/>
        <w:rPr/>
      </w:pPr>
      <w:r>
        <w:rPr>
          <w:sz w:val="20"/>
        </w:rPr>
        <w:t xml:space="preserve">This is </w:t>
      </w:r>
      <w:r>
        <w:rPr>
          <w:b/>
          <w:bCs/>
          <w:sz w:val="20"/>
        </w:rPr>
        <w:t>the architectural payoff of multi-channel design with per-channel outstanding queues</w:t>
      </w:r>
      <w:r>
        <w:rPr>
          <w:sz w:val="20"/>
        </w:rPr>
        <w:t xml:space="preserve"> — channel parallelism doesn’t increase peak bandwidth in a slave-shared setup, but it directly multiplies </w:t>
      </w:r>
      <w:r>
        <w:rPr>
          <w:b/>
          <w:bCs/>
          <w:sz w:val="20"/>
        </w:rPr>
        <w:t>latency tolerance</w:t>
      </w:r>
      <w:r>
        <w:rPr>
          <w:sz w:val="20"/>
        </w:rPr>
        <w:t>. A 4-channel transfer can hide DDR-class round trips (say, 100–200 cycles) without losing any throughput at all.</w:t>
      </w:r>
      <w:bookmarkEnd w:id="89"/>
    </w:p>
    <w:p>
      <w:pPr>
        <w:pStyle w:val="Heading3"/>
        <w:spacing w:before="200" w:after="80"/>
        <w:rPr/>
      </w:pPr>
      <w:bookmarkStart w:id="91" w:name="__RefHeading___Toc5409_2017609637"/>
      <w:bookmarkStart w:id="92" w:name="descriptors-delay-1-ch-512-kb"/>
      <w:bookmarkEnd w:id="91"/>
      <w:r>
        <w:rPr>
          <w:rStyle w:val="SectionNumber"/>
          <w:b/>
          <w:color w:val="404040"/>
          <w:sz w:val="24"/>
        </w:rPr>
        <w:t>1.7.4</w:t>
      </w:r>
      <w:r>
        <w:rPr>
          <w:b/>
          <w:color w:val="404040"/>
          <w:sz w:val="24"/>
        </w:rPr>
        <w:tab/>
        <w:t>6.2 Descriptors × delay (1 ch, 512 KB)</w:t>
      </w:r>
      <w:bookmarkEnd w:id="92"/>
    </w:p>
    <w:p>
      <w:pPr>
        <w:pStyle w:val="Heading3"/>
        <w:spacing w:before="200" w:after="80"/>
        <w:rPr/>
      </w:pPr>
      <w:bookmarkStart w:id="93" w:name="__RefHeading___Toc5411_2017609637"/>
      <w:bookmarkStart w:id="94" w:name="X91430e51cd34e266493e4c12b6f63508d913eef"/>
      <w:bookmarkStart w:id="95" w:name="_Fig_12_Throughput_surface__"/>
      <w:bookmarkEnd w:id="93"/>
      <w:r>
        <w:rPr>
          <w:rStyle w:val="SectionNumber"/>
          <w:b/>
          <w:color w:val="404040"/>
          <w:sz w:val="24"/>
        </w:rPr>
        <w:t>1.7.5</w:t>
      </w:r>
      <w:r>
        <w:rPr>
          <w:b/>
          <w:color w:val="404040"/>
          <w:sz w:val="24"/>
        </w:rPr>
        <w:tab/>
        <w:t>Figure 6.3: Throughput surface — descriptors × memory latency</w:t>
      </w:r>
      <w:bookmarkEnd w:id="95"/>
    </w:p>
    <w:p>
      <w:pPr>
        <w:pStyle w:val="CaptionedFigure"/>
        <w:rPr/>
      </w:pPr>
      <w:r>
        <w:rPr/>
        <w:drawing>
          <wp:inline distT="0" distB="0" distL="0" distR="0">
            <wp:extent cx="5334000" cy="3137535"/>
            <wp:effectExtent l="0" t="0" r="0" b="0"/>
            <wp:docPr id="31" name="Image12" descr="descriptors × delay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 descr="descriptors × delay heatmap"/>
                    <pic:cNvPicPr>
                      <a:picLocks noChangeAspect="1" noChangeArrowheads="1"/>
                    </pic:cNvPicPr>
                  </pic:nvPicPr>
                  <pic:blipFill>
                    <a:blip r:embed="rId14"/>
                    <a:stretch>
                      <a:fillRect/>
                    </a:stretch>
                  </pic:blipFill>
                  <pic:spPr bwMode="auto">
                    <a:xfrm>
                      <a:off x="0" y="0"/>
                      <a:ext cx="5334000" cy="3137535"/>
                    </a:xfrm>
                    <a:prstGeom prst="rect">
                      <a:avLst/>
                    </a:prstGeom>
                  </pic:spPr>
                </pic:pic>
              </a:graphicData>
            </a:graphic>
          </wp:inline>
        </w:drawing>
      </w:r>
    </w:p>
    <w:p>
      <w:pPr>
        <w:pStyle w:val="ImageCaption"/>
        <w:rPr/>
      </w:pPr>
      <w:bookmarkStart w:id="96" w:name="X91430e51cd34e266493e4c12b6f63508d913eef"/>
      <w:r>
        <w:rPr/>
        <w:t>descriptors × delay heatmap</w:t>
      </w:r>
      <w:bookmarkEnd w:id="96"/>
    </w:p>
    <w:p>
      <w:pPr>
        <w:pStyle w:val="Heading3"/>
        <w:spacing w:before="200" w:after="80"/>
        <w:rPr/>
      </w:pPr>
      <w:bookmarkStart w:id="97" w:name="__RefHeading___Toc5413_2017609637"/>
      <w:bookmarkStart w:id="98" w:name="figure-6.4-per-descriptor-count-slices"/>
      <w:bookmarkStart w:id="99" w:name="_Fig_13_Per_descriptor_count"/>
      <w:bookmarkEnd w:id="97"/>
      <w:r>
        <w:rPr>
          <w:rStyle w:val="SectionNumber"/>
          <w:b/>
          <w:color w:val="404040"/>
          <w:sz w:val="24"/>
        </w:rPr>
        <w:t>1.7.6</w:t>
      </w:r>
      <w:r>
        <w:rPr>
          <w:b/>
          <w:color w:val="404040"/>
          <w:sz w:val="24"/>
        </w:rPr>
        <w:tab/>
        <w:t>Figure 6.4: Per-descriptor-count slices</w:t>
      </w:r>
      <w:bookmarkEnd w:id="99"/>
    </w:p>
    <w:p>
      <w:pPr>
        <w:pStyle w:val="CaptionedFigure"/>
        <w:rPr/>
      </w:pPr>
      <w:r>
        <w:rPr/>
        <w:drawing>
          <wp:inline distT="0" distB="0" distL="0" distR="0">
            <wp:extent cx="5334000" cy="3333750"/>
            <wp:effectExtent l="0" t="0" r="0" b="0"/>
            <wp:docPr id="32" name="Image13" descr="descriptors × dela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 descr="descriptors × delay lines"/>
                    <pic:cNvPicPr>
                      <a:picLocks noChangeAspect="1" noChangeArrowheads="1"/>
                    </pic:cNvPicPr>
                  </pic:nvPicPr>
                  <pic:blipFill>
                    <a:blip r:embed="rId15"/>
                    <a:stretch>
                      <a:fillRect/>
                    </a:stretch>
                  </pic:blipFill>
                  <pic:spPr bwMode="auto">
                    <a:xfrm>
                      <a:off x="0" y="0"/>
                      <a:ext cx="5334000" cy="3333750"/>
                    </a:xfrm>
                    <a:prstGeom prst="rect">
                      <a:avLst/>
                    </a:prstGeom>
                  </pic:spPr>
                </pic:pic>
              </a:graphicData>
            </a:graphic>
          </wp:inline>
        </w:drawing>
      </w:r>
    </w:p>
    <w:p>
      <w:pPr>
        <w:pStyle w:val="ImageCaption"/>
        <w:rPr/>
      </w:pPr>
      <w:r>
        <w:rPr/>
        <w:t>descriptors × delay lines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desc</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 desc</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 desc</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desc</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desc</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1435.3</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1432.7</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1430.8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1430.4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1430.3</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1272.3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1270.3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1269.2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1268.5</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693.8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692.6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692.0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691.7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691.5</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363.4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362.7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362.4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362.2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362.1</w:t>
            </w:r>
          </w:p>
        </w:tc>
      </w:tr>
    </w:tbl>
    <w:p>
      <w:pPr>
        <w:pStyle w:val="BodyText"/>
        <w:rPr/>
      </w:pPr>
      <w:r>
        <w:rPr>
          <w:sz w:val="20"/>
        </w:rPr>
        <w:t xml:space="preserve">Cliff position is </w:t>
      </w:r>
      <w:r>
        <w:rPr>
          <w:b/>
          <w:bCs/>
          <w:sz w:val="20"/>
        </w:rPr>
        <w:t>invariant under descriptor count</w:t>
      </w:r>
      <w:r>
        <w:rPr>
          <w:sz w:val="20"/>
        </w:rPr>
        <w:t xml:space="preserve"> — exactly as expected. Descriptor chaining is about amortizing startup/drain overhead, not about hiding memory latency. The engines’ AR/AW outstanding queues span across descriptor boundaries (the descriptor engine prefetches concurrently), so the once-per-transfer pipe-fill cost is paid once per chain regardless of how many descriptors live inside it.</w:t>
      </w:r>
    </w:p>
    <w:p>
      <w:pPr>
        <w:pStyle w:val="BodyText"/>
        <w:rPr/>
      </w:pPr>
      <w:r>
        <w:rPr>
          <w:sz w:val="20"/>
        </w:rPr>
        <w:t xml:space="preserve">The (small) gap between </w:t>
      </w:r>
      <w:r>
        <w:rPr>
          <w:rStyle w:val="VerbatimChar"/>
          <w:sz w:val="20"/>
        </w:rPr>
        <w:t>r2r/w2w</w:t>
      </w:r>
      <w:r>
        <w:rPr>
          <w:sz w:val="20"/>
        </w:rPr>
        <w:t xml:space="preserve"> and </w:t>
      </w:r>
      <w:r>
        <w:rPr>
          <w:rStyle w:val="VerbatimChar"/>
          <w:sz w:val="20"/>
        </w:rPr>
        <w:t>total</w:t>
      </w:r>
      <w:r>
        <w:rPr>
          <w:sz w:val="20"/>
        </w:rPr>
        <w:t xml:space="preserve"> shrinks with chain length at every delay value — that’s the chain-amortization signal. For example, at </w:t>
      </w:r>
      <w:r>
        <w:rPr>
          <w:rStyle w:val="VerbatimChar"/>
          <w:sz w:val="20"/>
        </w:rPr>
        <w:t>L = 0</w:t>
      </w:r>
      <w:r>
        <w:rPr>
          <w:sz w:val="20"/>
        </w:rPr>
        <w:t xml:space="preserve"> the 1-desc gap is 1.48 MB/s and the 16-desc gap is 0.09 MB/s.</w:t>
      </w:r>
      <w:bookmarkEnd w:id="98"/>
    </w:p>
    <w:p>
      <w:pPr>
        <w:pStyle w:val="Heading3"/>
        <w:spacing w:before="200" w:after="80"/>
        <w:rPr/>
      </w:pPr>
      <w:bookmarkStart w:id="100" w:name="__RefHeading___Toc5415_2017609637"/>
      <w:bookmarkStart w:id="101" w:name="channels-descriptors-delay-0"/>
      <w:bookmarkEnd w:id="100"/>
      <w:r>
        <w:rPr>
          <w:rStyle w:val="SectionNumber"/>
          <w:b/>
          <w:color w:val="404040"/>
          <w:sz w:val="24"/>
        </w:rPr>
        <w:t>1.7.7</w:t>
      </w:r>
      <w:r>
        <w:rPr>
          <w:b/>
          <w:color w:val="404040"/>
          <w:sz w:val="24"/>
        </w:rPr>
        <w:tab/>
        <w:t>6.3 Channels × descriptors (delay 0)</w:t>
      </w:r>
      <w:bookmarkEnd w:id="101"/>
    </w:p>
    <w:p>
      <w:pPr>
        <w:pStyle w:val="Heading3"/>
        <w:spacing w:before="200" w:after="80"/>
        <w:rPr/>
      </w:pPr>
      <w:bookmarkStart w:id="102" w:name="__RefHeading___Toc5417_2017609637"/>
      <w:bookmarkStart w:id="103" w:name="X24219c2037622258fd3b7ca469cd6a8ef8c4a0f"/>
      <w:bookmarkStart w:id="104" w:name="_Fig_14_Throughput_surface__"/>
      <w:bookmarkEnd w:id="102"/>
      <w:r>
        <w:rPr>
          <w:rStyle w:val="SectionNumber"/>
          <w:b/>
          <w:color w:val="404040"/>
          <w:sz w:val="24"/>
        </w:rPr>
        <w:t>1.7.8</w:t>
      </w:r>
      <w:r>
        <w:rPr>
          <w:b/>
          <w:color w:val="404040"/>
          <w:sz w:val="24"/>
        </w:rPr>
        <w:tab/>
        <w:t>Figure 6.5: Throughput surface — channels × descriptors at zero latency</w:t>
      </w:r>
      <w:bookmarkEnd w:id="104"/>
    </w:p>
    <w:p>
      <w:pPr>
        <w:pStyle w:val="CaptionedFigure"/>
        <w:rPr/>
      </w:pPr>
      <w:r>
        <w:rPr/>
        <w:drawing>
          <wp:inline distT="0" distB="0" distL="0" distR="0">
            <wp:extent cx="5334000" cy="3137535"/>
            <wp:effectExtent l="0" t="0" r="0" b="0"/>
            <wp:docPr id="33" name="Image14" descr="ch × desc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 descr="ch × desc heatmap"/>
                    <pic:cNvPicPr>
                      <a:picLocks noChangeAspect="1" noChangeArrowheads="1"/>
                    </pic:cNvPicPr>
                  </pic:nvPicPr>
                  <pic:blipFill>
                    <a:blip r:embed="rId16"/>
                    <a:stretch>
                      <a:fillRect/>
                    </a:stretch>
                  </pic:blipFill>
                  <pic:spPr bwMode="auto">
                    <a:xfrm>
                      <a:off x="0" y="0"/>
                      <a:ext cx="5334000" cy="3137535"/>
                    </a:xfrm>
                    <a:prstGeom prst="rect">
                      <a:avLst/>
                    </a:prstGeom>
                  </pic:spPr>
                </pic:pic>
              </a:graphicData>
            </a:graphic>
          </wp:inline>
        </w:drawing>
      </w:r>
    </w:p>
    <w:p>
      <w:pPr>
        <w:pStyle w:val="ImageCaption"/>
        <w:rPr/>
      </w:pPr>
      <w:bookmarkStart w:id="105" w:name="X24219c2037622258fd3b7ca469cd6a8ef8c4a0f"/>
      <w:r>
        <w:rPr/>
        <w:t>ch × desc heatmap</w:t>
      </w:r>
      <w:bookmarkEnd w:id="105"/>
    </w:p>
    <w:p>
      <w:pPr>
        <w:pStyle w:val="Heading3"/>
        <w:spacing w:before="200" w:after="80"/>
        <w:rPr/>
      </w:pPr>
      <w:bookmarkStart w:id="106" w:name="__RefHeading___Toc5419_2017609637"/>
      <w:bookmarkStart w:id="107" w:name="Xdd5f4796e556cbbb71aadb5ba4fb45408351eec"/>
      <w:bookmarkStart w:id="108" w:name="_Fig_15_Per_descriptor_slice"/>
      <w:bookmarkEnd w:id="106"/>
      <w:r>
        <w:rPr>
          <w:rStyle w:val="SectionNumber"/>
          <w:b/>
          <w:color w:val="404040"/>
          <w:sz w:val="24"/>
        </w:rPr>
        <w:t>1.7.9</w:t>
      </w:r>
      <w:r>
        <w:rPr>
          <w:b/>
          <w:color w:val="404040"/>
          <w:sz w:val="24"/>
        </w:rPr>
        <w:tab/>
        <w:t>Figure 6.6: Per-descriptor slices at zero latency</w:t>
      </w:r>
      <w:bookmarkEnd w:id="108"/>
    </w:p>
    <w:p>
      <w:pPr>
        <w:pStyle w:val="CaptionedFigure"/>
        <w:rPr/>
      </w:pPr>
      <w:r>
        <w:rPr/>
        <w:drawing>
          <wp:inline distT="0" distB="0" distL="0" distR="0">
            <wp:extent cx="5334000" cy="3333750"/>
            <wp:effectExtent l="0" t="0" r="0" b="0"/>
            <wp:docPr id="34" name="Image15" descr="ch × desc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5" descr="ch × desc lines"/>
                    <pic:cNvPicPr>
                      <a:picLocks noChangeAspect="1" noChangeArrowheads="1"/>
                    </pic:cNvPicPr>
                  </pic:nvPicPr>
                  <pic:blipFill>
                    <a:blip r:embed="rId17"/>
                    <a:stretch>
                      <a:fillRect/>
                    </a:stretch>
                  </pic:blipFill>
                  <pic:spPr bwMode="auto">
                    <a:xfrm>
                      <a:off x="0" y="0"/>
                      <a:ext cx="5334000" cy="3333750"/>
                    </a:xfrm>
                    <a:prstGeom prst="rect">
                      <a:avLst/>
                    </a:prstGeom>
                  </pic:spPr>
                </pic:pic>
              </a:graphicData>
            </a:graphic>
          </wp:inline>
        </w:drawing>
      </w:r>
    </w:p>
    <w:p>
      <w:pPr>
        <w:pStyle w:val="ImageCaption"/>
        <w:rPr/>
      </w:pPr>
      <w:r>
        <w:rPr/>
        <w:t>ch × desc lines</w:t>
      </w:r>
    </w:p>
    <w:p>
      <w:pPr>
        <w:pStyle w:val="BodyText"/>
        <w:rPr/>
      </w:pPr>
      <w:r>
        <w:rPr>
          <w:sz w:val="20"/>
        </w:rPr>
        <w:t xml:space="preserve">The “ideal-system” reference plane. Every </w:t>
      </w:r>
      <w:r>
        <w:rPr>
          <w:rStyle w:val="VerbatimChar"/>
          <w:sz w:val="20"/>
        </w:rPr>
        <w:t>(channels, descriptors)</w:t>
      </w:r>
      <w:r>
        <w:rPr>
          <w:sz w:val="20"/>
        </w:rPr>
        <w:t xml:space="preserve"> combination at delay = 0 lands within 0.1 % of 1435 MB/s — a clean 2-D rectangle confirming the engine is well-balanced and not sensitive to either knob in isolation.</w:t>
      </w:r>
    </w:p>
    <w:p>
      <w:pPr>
        <w:pStyle w:val="BodyText"/>
        <w:rPr/>
      </w:pPr>
      <w:r>
        <w:rPr>
          <w:sz w:val="20"/>
        </w:rPr>
        <w:t>(The 4-channel rows in this sweep tripped the host-side watchdog because the campaign script ran them after the L = 512 timeout in §6.1. Re-running standalone gives the same flat ~1435 MB/s as §5.3 already showed for 4 channels at delay = 0.)</w:t>
      </w:r>
    </w:p>
    <w:p>
      <w:pPr>
        <w:pStyle w:val="Normal"/>
        <w:rPr/>
      </w:pPr>
      <w:bookmarkStart w:id="109" w:name="d-crosses"/>
      <w:bookmarkStart w:id="110" w:name="Xdd5f4796e556cbbb71aadb5ba4fb45408351eec"/>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p>
    <w:p>
      <w:pPr>
        <w:pStyle w:val="Heading2"/>
        <w:pBdr>
          <w:bottom w:val="single" w:sz="12" w:space="0" w:color="228B22"/>
        </w:pBdr>
        <w:spacing w:before="280" w:after="80"/>
        <w:rPr/>
      </w:pPr>
      <w:bookmarkStart w:id="111" w:name="__RefHeading___Toc5421_2017609637"/>
      <w:bookmarkStart w:id="112" w:name="X6e353295950eb04a495bce145ed209affd375ab"/>
      <w:bookmarkEnd w:id="111"/>
      <w:r>
        <w:rPr>
          <w:rStyle w:val="SectionNumber"/>
          <w:b/>
          <w:color w:val="228B22"/>
          <w:sz w:val="28"/>
        </w:rPr>
        <w:t>1.8</w:t>
      </w:r>
      <w:r>
        <w:rPr>
          <w:b/>
          <w:color w:val="228B22"/>
          <w:sz w:val="28"/>
        </w:rPr>
        <w:tab/>
        <w:t>7. The architectural picture: Little’s Law on real silicon</w:t>
      </w:r>
    </w:p>
    <w:p>
      <w:pPr>
        <w:pStyle w:val="Heading3"/>
        <w:spacing w:before="200" w:after="80"/>
        <w:rPr/>
      </w:pPr>
      <w:bookmarkStart w:id="113" w:name="__RefHeading___Toc5423_2017609637"/>
      <w:bookmarkStart w:id="114" w:name="X8bb49e787defd07b958e18b0d4fe3d841bd8fde"/>
      <w:bookmarkStart w:id="115" w:name="_Fig_16_Pre_cliff__knee__pos"/>
      <w:bookmarkEnd w:id="113"/>
      <w:r>
        <w:rPr>
          <w:rStyle w:val="SectionNumber"/>
          <w:b/>
          <w:color w:val="404040"/>
          <w:sz w:val="24"/>
        </w:rPr>
        <w:t>1.8.1</w:t>
      </w:r>
      <w:r>
        <w:rPr>
          <w:b/>
          <w:color w:val="404040"/>
          <w:sz w:val="24"/>
        </w:rPr>
        <w:tab/>
        <w:t>Figure 7.1: Pre-cliff, knee, post-cliff regimes</w:t>
      </w:r>
      <w:bookmarkEnd w:id="115"/>
    </w:p>
    <w:p>
      <w:pPr>
        <w:pStyle w:val="CaptionedFigure"/>
        <w:rPr/>
      </w:pPr>
      <w:r>
        <w:rPr/>
        <w:drawing>
          <wp:inline distT="0" distB="0" distL="0" distR="0">
            <wp:extent cx="5334000" cy="1666875"/>
            <wp:effectExtent l="0" t="0" r="0" b="0"/>
            <wp:docPr id="37" name="Image16" descr="cliff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6" descr="cliff math"/>
                    <pic:cNvPicPr>
                      <a:picLocks noChangeAspect="1" noChangeArrowheads="1"/>
                    </pic:cNvPicPr>
                  </pic:nvPicPr>
                  <pic:blipFill>
                    <a:blip r:embed="rId18"/>
                    <a:stretch>
                      <a:fillRect/>
                    </a:stretch>
                  </pic:blipFill>
                  <pic:spPr bwMode="auto">
                    <a:xfrm>
                      <a:off x="0" y="0"/>
                      <a:ext cx="5334000" cy="1666875"/>
                    </a:xfrm>
                    <a:prstGeom prst="rect">
                      <a:avLst/>
                    </a:prstGeom>
                  </pic:spPr>
                </pic:pic>
              </a:graphicData>
            </a:graphic>
          </wp:inline>
        </w:drawing>
      </w:r>
    </w:p>
    <w:p>
      <w:pPr>
        <w:pStyle w:val="ImageCaption"/>
        <w:rPr/>
      </w:pPr>
      <w:r>
        <w:rPr/>
        <w:t>cliff math</w:t>
      </w:r>
    </w:p>
    <w:p>
      <w:pPr>
        <w:pStyle w:val="BodyText"/>
        <w:rPr/>
      </w:pPr>
      <w:r>
        <w:rPr>
          <w:sz w:val="20"/>
        </w:rPr>
        <w:t>The cleanest way to summarize the latency-tolerance result is in three regimes:</w:t>
      </w:r>
    </w:p>
    <w:p>
      <w:pPr>
        <w:pStyle w:val="Normal"/>
        <w:numPr>
          <w:ilvl w:val="0"/>
          <w:numId w:val="58"/>
        </w:numPr>
        <w:rPr/>
      </w:pPr>
      <w:r>
        <w:rPr>
          <w:b/>
          <w:bCs/>
          <w:sz w:val="20"/>
        </w:rPr>
        <w:t>Pre-cliff (</w:t>
      </w:r>
      <w:r>
        <w:rPr>
          <w:rStyle w:val="VerbatimChar"/>
          <w:b/>
          <w:bCs/>
          <w:sz w:val="20"/>
        </w:rPr>
        <w:t>L ≤ in_flight × cycles_per_beat</w:t>
      </w:r>
      <w:r>
        <w:rPr>
          <w:b/>
          <w:bCs/>
          <w:sz w:val="20"/>
        </w:rPr>
        <w:t>).</w:t>
      </w:r>
      <w:r>
        <w:rPr>
          <w:sz w:val="20"/>
        </w:rPr>
        <w:t xml:space="preserve"> The engine keeps the slave’s response pipe full. Adding </w:t>
      </w:r>
      <w:r>
        <w:rPr>
          <w:rStyle w:val="VerbatimChar"/>
          <w:sz w:val="20"/>
        </w:rPr>
        <w:t>L</w:t>
      </w:r>
      <w:r>
        <w:rPr>
          <w:sz w:val="20"/>
        </w:rPr>
        <w:t xml:space="preserve"> cycles of latency only shifts total runtime by </w:t>
      </w:r>
      <w:r>
        <w:rPr>
          <w:rStyle w:val="VerbatimChar"/>
          <w:sz w:val="20"/>
        </w:rPr>
        <w:t>L</w:t>
      </w:r>
      <w:r>
        <w:rPr>
          <w:sz w:val="20"/>
        </w:rPr>
        <w:t xml:space="preserve"> cycles total — that’s the one-time pipe-fill cost. Throughput stays at peak.</w:t>
      </w:r>
    </w:p>
    <w:p>
      <w:pPr>
        <w:pStyle w:val="Normal"/>
        <w:numPr>
          <w:ilvl w:val="0"/>
          <w:numId w:val="59"/>
        </w:numPr>
        <w:rPr/>
      </w:pPr>
      <w:r>
        <w:rPr>
          <w:b/>
          <w:bCs/>
          <w:sz w:val="20"/>
        </w:rPr>
        <w:t>At the knee (</w:t>
      </w:r>
      <w:r>
        <w:rPr>
          <w:rStyle w:val="VerbatimChar"/>
          <w:b/>
          <w:bCs/>
          <w:sz w:val="20"/>
        </w:rPr>
        <w:t>L ≈ in_flight</w:t>
      </w:r>
      <w:r>
        <w:rPr>
          <w:b/>
          <w:bCs/>
          <w:sz w:val="20"/>
        </w:rPr>
        <w:t>).</w:t>
      </w:r>
      <w:r>
        <w:rPr>
          <w:sz w:val="20"/>
        </w:rPr>
        <w:t xml:space="preserve"> The pipe is just barely enough to cover </w:t>
      </w:r>
      <w:r>
        <w:rPr>
          <w:rStyle w:val="VerbatimChar"/>
          <w:sz w:val="20"/>
        </w:rPr>
        <w:t>L</w:t>
      </w:r>
      <w:r>
        <w:rPr>
          <w:sz w:val="20"/>
        </w:rPr>
        <w:t>. Throughput begins to slip; we measure ~−11 % at L = 128 for 1 channel.</w:t>
      </w:r>
    </w:p>
    <w:p>
      <w:pPr>
        <w:pStyle w:val="Normal"/>
        <w:numPr>
          <w:ilvl w:val="0"/>
          <w:numId w:val="60"/>
        </w:numPr>
        <w:rPr/>
      </w:pPr>
      <w:r>
        <w:rPr>
          <w:b/>
          <w:bCs/>
          <w:sz w:val="20"/>
        </w:rPr>
        <w:t>Post-cliff (</w:t>
      </w:r>
      <w:r>
        <w:rPr>
          <w:rStyle w:val="VerbatimChar"/>
          <w:b/>
          <w:bCs/>
          <w:sz w:val="20"/>
        </w:rPr>
        <w:t>L &gt; in_flight</w:t>
      </w:r>
      <w:r>
        <w:rPr>
          <w:b/>
          <w:bCs/>
          <w:sz w:val="20"/>
        </w:rPr>
        <w:t>).</w:t>
      </w:r>
      <w:r>
        <w:rPr>
          <w:sz w:val="20"/>
        </w:rPr>
        <w:t xml:space="preserve"> The engine has to wait for responses. By Little’s Law, sustained throughput is </w:t>
      </w:r>
      <w:r>
        <w:rPr>
          <w:rStyle w:val="VerbatimChar"/>
          <w:sz w:val="20"/>
        </w:rPr>
        <w:t>BW = (in_flight / L) × peak</w:t>
      </w:r>
      <w:r>
        <w:rPr>
          <w:sz w:val="20"/>
        </w:rPr>
        <w:t>. We measured this within 1 % across L = 384–512.</w:t>
      </w:r>
    </w:p>
    <w:p>
      <w:pPr>
        <w:pStyle w:val="FirstParagraph"/>
        <w:rPr/>
      </w:pPr>
      <w:r>
        <w:rPr>
          <w:sz w:val="20"/>
        </w:rPr>
        <w:t xml:space="preserve">Multi-channel scales the cliff position because each channel has its own AR/AW outstanding queue: </w:t>
      </w:r>
      <w:r>
        <w:rPr>
          <w:rStyle w:val="VerbatimChar"/>
          <w:sz w:val="20"/>
        </w:rPr>
        <w:t>total_in_flight = N_ch × 8 × 16 = 128 × N_ch</w:t>
      </w:r>
      <w:r>
        <w:rPr>
          <w:sz w:val="20"/>
        </w:rPr>
        <w:t>. The 4-channel build can hide up to 512 cycles of latency without throughput loss — comfortably more than the typical DDR4 round-trip in a real system.</w:t>
      </w:r>
    </w:p>
    <w:p>
      <w:pPr>
        <w:pStyle w:val="BodyText"/>
        <w:rPr/>
      </w:pPr>
      <w:r>
        <w:rPr>
          <w:sz w:val="20"/>
        </w:rPr>
        <w:t>This is the result we hoped for and the harness was built to measure: the engine behaves on real silicon exactly the way the architecture predicted. There’s no hidden bottleneck, no bookkeeping cost we missed, no surprise non-linearity. The engine is doing what it says on the box.</w:t>
      </w:r>
    </w:p>
    <w:p>
      <w:pPr>
        <w:pStyle w:val="Normal"/>
        <w:rPr/>
      </w:pPr>
      <w:bookmarkStart w:id="116" w:name="X6e353295950eb04a495bce145ed209affd375ab"/>
      <w:bookmarkStart w:id="117" w:name="X8bb49e787defd07b958e18b0d4fe3d841bd8fde"/>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p>
    <w:p>
      <w:pPr>
        <w:pStyle w:val="Heading2"/>
        <w:pBdr>
          <w:bottom w:val="single" w:sz="12" w:space="0" w:color="228B22"/>
        </w:pBdr>
        <w:spacing w:before="280" w:after="80"/>
        <w:rPr/>
      </w:pPr>
      <w:bookmarkStart w:id="118" w:name="__RefHeading___Toc5425_2017609637"/>
      <w:bookmarkStart w:id="119" w:name="what-we-learned"/>
      <w:bookmarkEnd w:id="118"/>
      <w:r>
        <w:rPr>
          <w:rStyle w:val="SectionNumber"/>
          <w:b/>
          <w:color w:val="228B22"/>
          <w:sz w:val="28"/>
        </w:rPr>
        <w:t>1.9</w:t>
      </w:r>
      <w:r>
        <w:rPr>
          <w:b/>
          <w:color w:val="228B22"/>
          <w:sz w:val="28"/>
        </w:rPr>
        <w:tab/>
        <w:t>8. What we learned</w:t>
      </w:r>
    </w:p>
    <w:p>
      <w:pPr>
        <w:pStyle w:val="Normal"/>
        <w:numPr>
          <w:ilvl w:val="0"/>
          <w:numId w:val="61"/>
        </w:numPr>
        <w:rPr/>
      </w:pPr>
      <w:r>
        <w:rPr>
          <w:b/>
          <w:bCs/>
          <w:sz w:val="20"/>
        </w:rPr>
        <w:t>The engine hits 90 % of the AXI ceiling at zero memory latency.</w:t>
      </w:r>
      <w:r>
        <w:rPr>
          <w:sz w:val="20"/>
        </w:rPr>
        <w:t xml:space="preserve"> ~1435 MB/s vs the 1600 MB/s theoretical peak. That’s a clean number to compare a vendor IP against.</w:t>
      </w:r>
    </w:p>
    <w:p>
      <w:pPr>
        <w:pStyle w:val="Normal"/>
        <w:numPr>
          <w:ilvl w:val="0"/>
          <w:numId w:val="62"/>
        </w:numPr>
        <w:rPr/>
      </w:pPr>
      <w:r>
        <w:rPr>
          <w:b/>
          <w:bCs/>
          <w:sz w:val="20"/>
        </w:rPr>
        <w:t>The multi-outstanding pipeline absorbs ~128 cycles of memory latency per channel.</w:t>
      </w:r>
      <w:r>
        <w:rPr>
          <w:sz w:val="20"/>
        </w:rPr>
        <w:t xml:space="preserve"> This matches the engine’s design parameters exactly: </w:t>
      </w:r>
      <w:r>
        <w:rPr>
          <w:rStyle w:val="VerbatimChar"/>
          <w:sz w:val="20"/>
        </w:rPr>
        <w:t>AR_MAX_OUTSTANDING (8) × burst_len (16) = 128</w:t>
      </w:r>
      <w:r>
        <w:rPr>
          <w:sz w:val="20"/>
        </w:rPr>
        <w:t xml:space="preserve"> in-flight beats. The architectural intent is delivered.</w:t>
      </w:r>
    </w:p>
    <w:p>
      <w:pPr>
        <w:pStyle w:val="Normal"/>
        <w:numPr>
          <w:ilvl w:val="0"/>
          <w:numId w:val="63"/>
        </w:numPr>
        <w:rPr/>
      </w:pPr>
      <w:r>
        <w:rPr>
          <w:b/>
          <w:bCs/>
          <w:sz w:val="20"/>
        </w:rPr>
        <w:t>Past the cliff, throughput follows Little’s Law.</w:t>
      </w:r>
      <w:r>
        <w:rPr>
          <w:sz w:val="20"/>
        </w:rPr>
        <w:t xml:space="preserve"> </w:t>
      </w:r>
      <w:r>
        <w:rPr>
          <w:rStyle w:val="VerbatimChar"/>
          <w:sz w:val="20"/>
        </w:rPr>
        <w:t>BW ≈ (N_in_flight / L) × peak</w:t>
      </w:r>
      <w:r>
        <w:rPr>
          <w:sz w:val="20"/>
        </w:rPr>
        <w:t xml:space="preserve">, with measured values within 1 % of theory at </w:t>
      </w:r>
      <w:r>
        <w:rPr>
          <w:rStyle w:val="VerbatimChar"/>
          <w:sz w:val="20"/>
        </w:rPr>
        <w:t>L ≥ 384</w:t>
      </w:r>
      <w:r>
        <w:rPr>
          <w:sz w:val="20"/>
        </w:rPr>
        <w:t>. There is no exotic non-linearity — the design is pipeline-bound in exactly the way it should be.</w:t>
      </w:r>
    </w:p>
    <w:p>
      <w:pPr>
        <w:pStyle w:val="Normal"/>
        <w:numPr>
          <w:ilvl w:val="0"/>
          <w:numId w:val="64"/>
        </w:numPr>
        <w:rPr/>
      </w:pPr>
      <w:r>
        <w:rPr>
          <w:b/>
          <w:bCs/>
          <w:sz w:val="20"/>
        </w:rPr>
        <w:t>Multi-channel scales latency tolerance, not bandwidth, in a slave-shared system.</w:t>
      </w:r>
      <w:r>
        <w:rPr>
          <w:sz w:val="20"/>
        </w:rPr>
        <w:t xml:space="preserve"> Each channel has its own AR/AW outstanding queue, so 4 channels = 4 × 128 = 512 cycles of latency hidden without throughput loss. A real architectural lever for tolerating slow memory.</w:t>
      </w:r>
    </w:p>
    <w:p>
      <w:pPr>
        <w:pStyle w:val="Normal"/>
        <w:numPr>
          <w:ilvl w:val="0"/>
          <w:numId w:val="65"/>
        </w:numPr>
        <w:rPr/>
      </w:pPr>
      <w:r>
        <w:rPr>
          <w:b/>
          <w:bCs/>
          <w:sz w:val="20"/>
        </w:rPr>
        <w:t>Read and write engines are matched.</w:t>
      </w:r>
      <w:r>
        <w:rPr>
          <w:sz w:val="20"/>
        </w:rPr>
        <w:t xml:space="preserve"> </w:t>
      </w:r>
      <w:r>
        <w:rPr>
          <w:rStyle w:val="VerbatimChar"/>
          <w:sz w:val="20"/>
        </w:rPr>
        <w:t>r2r_MBps</w:t>
      </w:r>
      <w:r>
        <w:rPr>
          <w:sz w:val="20"/>
        </w:rPr>
        <w:t xml:space="preserve"> and </w:t>
      </w:r>
      <w:r>
        <w:rPr>
          <w:rStyle w:val="VerbatimChar"/>
          <w:sz w:val="20"/>
        </w:rPr>
        <w:t>w2w_MBps</w:t>
      </w:r>
      <w:r>
        <w:rPr>
          <w:sz w:val="20"/>
        </w:rPr>
        <w:t xml:space="preserve"> track each other within tenths of a MB/s across every sweep. Neither side is the bottleneck individually.</w:t>
      </w:r>
    </w:p>
    <w:p>
      <w:pPr>
        <w:pStyle w:val="Normal"/>
        <w:numPr>
          <w:ilvl w:val="0"/>
          <w:numId w:val="66"/>
        </w:numPr>
        <w:rPr/>
      </w:pPr>
      <w:r>
        <w:rPr>
          <w:b/>
          <w:bCs/>
          <w:sz w:val="20"/>
        </w:rPr>
        <w:t>Long descriptor chains cost essentially nothing.</w:t>
      </w:r>
      <w:r>
        <w:rPr>
          <w:sz w:val="20"/>
        </w:rPr>
        <w:t xml:space="preserve"> The descriptor engine prefetches concurrently with data movement, and the engines’ outstanding queues span descriptor boundaries — so chaining is for software convenience, not performance.</w:t>
      </w:r>
    </w:p>
    <w:p>
      <w:pPr>
        <w:pStyle w:val="Normal"/>
        <w:numPr>
          <w:ilvl w:val="0"/>
          <w:numId w:val="67"/>
        </w:numPr>
        <w:rPr/>
      </w:pPr>
      <w:r>
        <w:rPr>
          <w:b/>
          <w:bCs/>
          <w:sz w:val="20"/>
        </w:rPr>
        <w:t>Software-visible (</w:t>
      </w:r>
      <w:r>
        <w:rPr>
          <w:rStyle w:val="VerbatimChar"/>
          <w:b/>
          <w:bCs/>
          <w:sz w:val="20"/>
        </w:rPr>
        <w:t>total</w:t>
      </w:r>
      <w:r>
        <w:rPr>
          <w:b/>
          <w:bCs/>
          <w:sz w:val="20"/>
        </w:rPr>
        <w:t>) vs sustained (</w:t>
      </w:r>
      <w:r>
        <w:rPr>
          <w:rStyle w:val="VerbatimChar"/>
          <w:b/>
          <w:bCs/>
          <w:sz w:val="20"/>
        </w:rPr>
        <w:t>r2r/w2w</w:t>
      </w:r>
      <w:r>
        <w:rPr>
          <w:b/>
          <w:bCs/>
          <w:sz w:val="20"/>
        </w:rPr>
        <w:t>) gap is purely startup/drain.</w:t>
      </w:r>
      <w:r>
        <w:rPr>
          <w:sz w:val="20"/>
        </w:rPr>
        <w:t xml:space="preserve"> ~22–35 cycles fixed cost at session boundaries, amortized to invisibility above ~256 KB transfers.</w:t>
      </w:r>
    </w:p>
    <w:p>
      <w:pPr>
        <w:pStyle w:val="Normal"/>
        <w:rPr/>
      </w:pPr>
      <w:bookmarkStart w:id="120" w:name="what-we-learned"/>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p>
    <w:p>
      <w:pPr>
        <w:pStyle w:val="Heading2"/>
        <w:pBdr>
          <w:bottom w:val="single" w:sz="12" w:space="0" w:color="228B22"/>
        </w:pBdr>
        <w:spacing w:before="280" w:after="80"/>
        <w:rPr/>
      </w:pPr>
      <w:bookmarkStart w:id="121" w:name="__RefHeading___Toc5427_2017609637"/>
      <w:bookmarkStart w:id="122" w:name="Xe42ef3dbdf63e93247dd92e0f262b135f1285c7"/>
      <w:bookmarkEnd w:id="121"/>
      <w:r>
        <w:rPr>
          <w:rStyle w:val="SectionNumber"/>
          <w:b/>
          <w:color w:val="228B22"/>
          <w:sz w:val="28"/>
        </w:rPr>
        <w:t>1.10</w:t>
      </w:r>
      <w:r>
        <w:rPr>
          <w:b/>
          <w:color w:val="228B22"/>
          <w:sz w:val="28"/>
        </w:rPr>
        <w:tab/>
        <w:t>9. Setup for Phase 2: Vivado IP DMA comparison</w:t>
      </w:r>
    </w:p>
    <w:p>
      <w:pPr>
        <w:pStyle w:val="FirstParagraph"/>
        <w:rPr/>
      </w:pPr>
      <w:r>
        <w:rPr>
          <w:sz w:val="20"/>
        </w:rPr>
        <w:t xml:space="preserve">For the head-to-head with a Vivado-IP DMA of comparable capability (scatter-gather, multi-channel, AXI4 slave-side memory, descriptor chaining), we’ll repeat the same five sweep CSVs and the same 2-D crosses. The harness, plot script, CSV format, and PDF/DOCX generation pipeline all stay the same — the only thing that changes is the DUT instantiated inside </w:t>
      </w:r>
      <w:r>
        <w:rPr>
          <w:rStyle w:val="VerbatimChar"/>
          <w:sz w:val="20"/>
        </w:rPr>
        <w:t>stream_top_ch8</w:t>
      </w:r>
      <w:r>
        <w:rPr>
          <w:sz w:val="20"/>
        </w:rPr>
        <w:t>’s footprint. That should let us drop both designs onto the same heatmap and compare cell-by-cell.</w:t>
      </w:r>
    </w:p>
    <w:p>
      <w:pPr>
        <w:pStyle w:val="BodyText"/>
        <w:rPr/>
      </w:pPr>
      <w:r>
        <w:rPr>
          <w:sz w:val="20"/>
        </w:rPr>
        <w:t>The PPA dimensions to compare: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to measure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throughput curves above — peak, cliff position, post-cliff slope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LUT / FF / BRAM / DSP utilization from </w:t>
            </w:r>
            <w:r>
              <w:rPr>
                <w:rStyle w:val="VerbatimChar"/>
                <w:rFonts w:eastAsia="Cambria" w:cs=""/>
                <w:kern w:val="0"/>
                <w:szCs w:val="24"/>
                <w:lang w:val="en-US" w:eastAsia="en-US" w:bidi="ar-SA"/>
              </w:rPr>
              <w:t>reports/utilization_impl.txt</w:t>
            </w:r>
            <w:r>
              <w:rPr>
                <w:rFonts w:eastAsia="Cambria" w:cs=""/>
                <w:kern w:val="0"/>
                <w:sz w:val="24"/>
                <w:szCs w:val="24"/>
                <w:lang w:val="en-US" w:eastAsia="en-US" w:bidi="ar-SA"/>
              </w:rPr>
              <w:t xml:space="preserve"> (this build: 15.9k LUTs, 14.6k FFs, 9.5 BRAM, 0 DSP)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reports/power.txt</w:t>
            </w:r>
            <w:r>
              <w:rPr>
                <w:rFonts w:eastAsia="Cambria" w:cs=""/>
                <w:kern w:val="0"/>
                <w:sz w:val="24"/>
                <w:szCs w:val="24"/>
                <w:lang w:val="en-US" w:eastAsia="en-US" w:bidi="ar-SA"/>
              </w:rPr>
              <w:t xml:space="preserve"> total + per-clock-domain breakdown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reports/timing_summary.txt</w:t>
            </w:r>
            <w:r>
              <w:rPr>
                <w:rFonts w:eastAsia="Cambria" w:cs=""/>
                <w:kern w:val="0"/>
                <w:sz w:val="24"/>
                <w:szCs w:val="24"/>
                <w:lang w:val="en-US" w:eastAsia="en-US" w:bidi="ar-SA"/>
              </w:rPr>
              <w:t xml:space="preserve"> WNS / WHS — does the IP close timing at the same fmax on the same part?</w:t>
            </w:r>
          </w:p>
        </w:tc>
      </w:tr>
    </w:tbl>
    <w:p>
      <w:pPr>
        <w:pStyle w:val="BodyText"/>
        <w:rPr/>
      </w:pPr>
      <w:r>
        <w:rPr>
          <w:sz w:val="20"/>
        </w:rPr>
        <w:t>The most interesting comparison points will be:</w:t>
      </w:r>
    </w:p>
    <w:p>
      <w:pPr>
        <w:pStyle w:val="Compact"/>
        <w:numPr>
          <w:ilvl w:val="0"/>
          <w:numId w:val="68"/>
        </w:numPr>
        <w:rPr/>
      </w:pPr>
      <w:r>
        <w:rPr>
          <w:b/>
          <w:bCs/>
        </w:rPr>
        <w:t>Cliff position vs configured outstanding count.</w:t>
      </w:r>
      <w:r>
        <w:rPr/>
        <w:t xml:space="preserve"> Does the Vivado IP let you trade outstanding-queue depth for area? At what BRAM / LUT cost?</w:t>
      </w:r>
    </w:p>
    <w:p>
      <w:pPr>
        <w:pStyle w:val="Compact"/>
        <w:numPr>
          <w:ilvl w:val="0"/>
          <w:numId w:val="69"/>
        </w:numPr>
        <w:rPr/>
      </w:pPr>
      <w:r>
        <w:rPr>
          <w:b/>
          <w:bCs/>
        </w:rPr>
        <w:t>Post-cliff slope.</w:t>
      </w:r>
      <w:r>
        <w:rPr/>
        <w:t xml:space="preserve"> Does it follow </w:t>
      </w:r>
      <w:r>
        <w:rPr>
          <w:rStyle w:val="VerbatimChar"/>
        </w:rPr>
        <w:t>N/L × peak</w:t>
      </w:r>
      <w:r>
        <w:rPr/>
        <w:t xml:space="preserve"> cleanly, or does arbitration overhead dominate?</w:t>
      </w:r>
    </w:p>
    <w:p>
      <w:pPr>
        <w:pStyle w:val="Compact"/>
        <w:numPr>
          <w:ilvl w:val="0"/>
          <w:numId w:val="70"/>
        </w:numPr>
        <w:rPr/>
      </w:pPr>
      <w:r>
        <w:rPr>
          <w:b/>
          <w:bCs/>
        </w:rPr>
        <w:t>Multi-channel latency tolerance.</w:t>
      </w:r>
      <w:r>
        <w:rPr/>
        <w:t xml:space="preserve"> Does the vendor IP also use per-channel outstanding queues, or is the queue shared across channels (which would flatten the channel × delay benefit observed here)?</w:t>
      </w:r>
    </w:p>
    <w:p>
      <w:pPr>
        <w:pStyle w:val="Compact"/>
        <w:numPr>
          <w:ilvl w:val="0"/>
          <w:numId w:val="71"/>
        </w:numPr>
        <w:spacing w:before="36" w:after="36"/>
        <w:rPr/>
      </w:pPr>
      <w:r>
        <w:rPr>
          <w:b/>
          <w:bCs/>
        </w:rPr>
        <w:t>Area efficiency.</w:t>
      </w:r>
      <w:r>
        <w:rPr/>
        <w:t xml:space="preserve"> </w:t>
      </w:r>
      <w:r>
        <w:rPr>
          <w:rStyle w:val="VerbatimChar"/>
        </w:rPr>
        <w:t>MB/s / (LUT + FF) at L = 0</w:t>
      </w:r>
      <w:r>
        <w:rPr/>
        <w:t xml:space="preserve"> and </w:t>
      </w:r>
      <w:r>
        <w:rPr>
          <w:rStyle w:val="VerbatimChar"/>
        </w:rPr>
        <w:t>(LUT + FF) per cycle of latency hidden</w:t>
      </w:r>
      <w:r>
        <w:rPr/>
        <w:t>. Two single numbers that capture the PPA story.</w:t>
      </w:r>
      <w:bookmarkEnd w:id="1"/>
      <w:bookmarkEnd w:id="122"/>
    </w:p>
    <w:sectPr>
      <w:footerReference w:type="even" r:id="rId19"/>
      <w:footerReference w:type="default" r:id="rId20"/>
      <w:footerReference w:type="first" r:id="rId2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DMA Engine Phase 1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DMA Engine Phase 1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2"/>
    <w:lvlOverride w:ilvl="0">
      <w:startOverride w:val="1"/>
    </w:lvlOverride>
  </w:num>
  <w:num w:numId="20">
    <w:abstractNumId w:val="2"/>
    <w:lvlOverride w:ilvl="0">
      <w:startOverride w:val="1"/>
    </w:lvlOverride>
  </w:num>
  <w:num w:numId="21">
    <w:abstractNumId w:val="2"/>
  </w:num>
  <w:num w:numId="22">
    <w:abstractNumId w:val="2"/>
  </w:num>
  <w:num w:numId="23">
    <w:abstractNumId w:val="2"/>
    <w:lvlOverride w:ilvl="0">
      <w:startOverride w:val="1"/>
    </w:lvlOverride>
  </w:num>
  <w:num w:numId="24">
    <w:abstractNumId w:val="2"/>
  </w:num>
  <w:num w:numId="25">
    <w:abstractNumId w:val="2"/>
  </w:num>
  <w:num w:numId="26">
    <w:abstractNumId w:val="2"/>
  </w:num>
  <w:num w:numId="27">
    <w:abstractNumId w:val="2"/>
  </w:num>
  <w:num w:numId="28">
    <w:abstractNumId w:val="2"/>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2"/>
    <w:lvlOverride w:ilvl="0">
      <w:startOverride w:val="1"/>
    </w:lvlOverride>
  </w:num>
  <w:num w:numId="51">
    <w:abstractNumId w:val="2"/>
  </w:num>
  <w:num w:numId="52">
    <w:abstractNumId w:val="3"/>
  </w:num>
  <w:num w:numId="53">
    <w:abstractNumId w:val="3"/>
  </w:num>
  <w:num w:numId="54">
    <w:abstractNumId w:val="3"/>
  </w:num>
  <w:num w:numId="55">
    <w:abstractNumId w:val="3"/>
  </w:num>
  <w:num w:numId="56">
    <w:abstractNumId w:val="3"/>
  </w:num>
  <w:num w:numId="57">
    <w:abstractNumId w:val="3"/>
  </w:num>
  <w:num w:numId="58">
    <w:abstractNumId w:val="2"/>
    <w:lvlOverride w:ilvl="0">
      <w:startOverride w:val="1"/>
    </w:lvlOverride>
  </w:num>
  <w:num w:numId="59">
    <w:abstractNumId w:val="2"/>
  </w:num>
  <w:num w:numId="60">
    <w:abstractNumId w:val="2"/>
  </w:num>
  <w:num w:numId="61">
    <w:abstractNumId w:val="2"/>
    <w:lvlOverride w:ilvl="0">
      <w:startOverride w:val="1"/>
    </w:lvlOverride>
  </w:num>
  <w:num w:numId="62">
    <w:abstractNumId w:val="2"/>
  </w:num>
  <w:num w:numId="63">
    <w:abstractNumId w:val="2"/>
  </w:num>
  <w:num w:numId="64">
    <w:abstractNumId w:val="2"/>
  </w:num>
  <w:num w:numId="65">
    <w:abstractNumId w:val="2"/>
  </w:num>
  <w:num w:numId="66">
    <w:abstractNumId w:val="2"/>
  </w:num>
  <w:num w:numId="67">
    <w:abstractNumId w:val="2"/>
  </w:num>
  <w:num w:numId="68">
    <w:abstractNumId w:val="3"/>
  </w:num>
  <w:num w:numId="69">
    <w:abstractNumId w:val="3"/>
  </w:num>
  <w:num w:numId="70">
    <w:abstractNumId w:val="3"/>
  </w:num>
  <w:num w:numId="71">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2026-08-15T01:14:41Z</dcterms:created>
  <dc:creator/>
  <dc:description/>
  <dc:language>en-US</dc:language>
  <cp:lastModifiedBy/>
  <dcterms:modified xsi:type="dcterms:W3CDTF">2026-08-14T18:14:45Z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