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Hardware Architecture Specification 0.1</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041_811569930">
            <w:r>
              <w:rPr>
                <w:webHidden/>
                <w:rStyle w:val="IndexLink"/>
              </w:rPr>
              <w:t>1 Andesite Has Index</w:t>
              <w:tab/>
              <w:t>9</w:t>
            </w:r>
          </w:hyperlink>
        </w:p>
        <w:p>
          <w:pPr>
            <w:pStyle w:val="TOC1"/>
            <w:tabs>
              <w:tab w:val="clear" w:pos="9360"/>
              <w:tab w:val="right" w:pos="9359" w:leader="dot"/>
            </w:tabs>
            <w:rPr/>
          </w:pPr>
          <w:hyperlink w:anchor="__RefHeading___Toc9043_811569930">
            <w:r>
              <w:rPr>
                <w:webHidden/>
                <w:rStyle w:val="IndexLink"/>
              </w:rPr>
              <w:t>2 Document Information</w:t>
              <w:tab/>
              <w:t>10</w:t>
            </w:r>
          </w:hyperlink>
        </w:p>
        <w:p>
          <w:pPr>
            <w:pStyle w:val="TOC2"/>
            <w:tabs>
              <w:tab w:val="clear" w:pos="9077"/>
              <w:tab w:val="right" w:pos="9359" w:leader="dot"/>
            </w:tabs>
            <w:rPr/>
          </w:pPr>
          <w:hyperlink w:anchor="__RefHeading___Toc9045_811569930">
            <w:r>
              <w:rPr>
                <w:webHidden/>
                <w:rStyle w:val="IndexLink"/>
              </w:rPr>
              <w:t>2.1 Related documents</w:t>
              <w:tab/>
              <w:t>10</w:t>
            </w:r>
          </w:hyperlink>
        </w:p>
        <w:p>
          <w:pPr>
            <w:pStyle w:val="TOC2"/>
            <w:tabs>
              <w:tab w:val="clear" w:pos="9077"/>
              <w:tab w:val="right" w:pos="9359" w:leader="dot"/>
            </w:tabs>
            <w:rPr/>
          </w:pPr>
          <w:hyperlink w:anchor="__RefHeading___Toc9047_811569930">
            <w:r>
              <w:rPr>
                <w:webHidden/>
                <w:rStyle w:val="IndexLink"/>
              </w:rPr>
              <w:t>2.2 Terminology</w:t>
              <w:tab/>
              <w:t>11</w:t>
            </w:r>
          </w:hyperlink>
        </w:p>
        <w:p>
          <w:pPr>
            <w:pStyle w:val="TOC2"/>
            <w:tabs>
              <w:tab w:val="clear" w:pos="9077"/>
              <w:tab w:val="right" w:pos="9359" w:leader="dot"/>
            </w:tabs>
            <w:rPr/>
          </w:pPr>
          <w:hyperlink w:anchor="__RefHeading___Toc9049_811569930">
            <w:r>
              <w:rPr>
                <w:webHidden/>
                <w:rStyle w:val="IndexLink"/>
              </w:rPr>
              <w:t>2.3 Revision History</w:t>
              <w:tab/>
              <w:t>11</w:t>
            </w:r>
          </w:hyperlink>
        </w:p>
        <w:p>
          <w:pPr>
            <w:pStyle w:val="TOC2"/>
            <w:tabs>
              <w:tab w:val="clear" w:pos="9077"/>
              <w:tab w:val="right" w:pos="9359" w:leader="dot"/>
            </w:tabs>
            <w:rPr/>
          </w:pPr>
          <w:hyperlink w:anchor="__RefHeading___Toc9051_811569930">
            <w:r>
              <w:rPr>
                <w:webHidden/>
                <w:rStyle w:val="IndexLink"/>
              </w:rPr>
              <w:t>2.4 How to read this book</w:t>
              <w:tab/>
              <w:t>17</w:t>
            </w:r>
          </w:hyperlink>
        </w:p>
        <w:p>
          <w:pPr>
            <w:pStyle w:val="TOC1"/>
            <w:tabs>
              <w:tab w:val="clear" w:pos="9360"/>
              <w:tab w:val="right" w:pos="9359" w:leader="dot"/>
            </w:tabs>
            <w:rPr/>
          </w:pPr>
          <w:hyperlink w:anchor="__RefHeading___Toc9053_811569930">
            <w:r>
              <w:rPr>
                <w:webHidden/>
                <w:rStyle w:val="IndexLink"/>
              </w:rPr>
              <w:t>3 Purpose and Scope</w:t>
              <w:tab/>
              <w:t>19</w:t>
            </w:r>
          </w:hyperlink>
        </w:p>
        <w:p>
          <w:pPr>
            <w:pStyle w:val="TOC2"/>
            <w:tabs>
              <w:tab w:val="clear" w:pos="9077"/>
              <w:tab w:val="right" w:pos="9359" w:leader="dot"/>
            </w:tabs>
            <w:rPr/>
          </w:pPr>
          <w:hyperlink w:anchor="__RefHeading___Toc9055_811569930">
            <w:r>
              <w:rPr>
                <w:webHidden/>
                <w:rStyle w:val="IndexLink"/>
              </w:rPr>
              <w:t>3.1 Purpose</w:t>
              <w:tab/>
              <w:t>19</w:t>
            </w:r>
          </w:hyperlink>
        </w:p>
        <w:p>
          <w:pPr>
            <w:pStyle w:val="TOC2"/>
            <w:tabs>
              <w:tab w:val="clear" w:pos="9077"/>
              <w:tab w:val="right" w:pos="9359" w:leader="dot"/>
            </w:tabs>
            <w:rPr/>
          </w:pPr>
          <w:hyperlink w:anchor="__RefHeading___Toc9057_811569930">
            <w:r>
              <w:rPr>
                <w:webHidden/>
                <w:rStyle w:val="IndexLink"/>
              </w:rPr>
              <w:t>3.2 Why a delta specification</w:t>
              <w:tab/>
              <w:t>19</w:t>
            </w:r>
          </w:hyperlink>
        </w:p>
        <w:p>
          <w:pPr>
            <w:pStyle w:val="TOC2"/>
            <w:tabs>
              <w:tab w:val="clear" w:pos="9077"/>
              <w:tab w:val="right" w:pos="9359" w:leader="dot"/>
            </w:tabs>
            <w:rPr/>
          </w:pPr>
          <w:hyperlink w:anchor="__RefHeading___Toc9059_811569930">
            <w:r>
              <w:rPr>
                <w:webHidden/>
                <w:rStyle w:val="IndexLink"/>
              </w:rPr>
              <w:t>3.3 What is in scope</w:t>
              <w:tab/>
              <w:t>19</w:t>
            </w:r>
          </w:hyperlink>
        </w:p>
        <w:p>
          <w:pPr>
            <w:pStyle w:val="TOC2"/>
            <w:tabs>
              <w:tab w:val="clear" w:pos="9077"/>
              <w:tab w:val="right" w:pos="9359" w:leader="dot"/>
            </w:tabs>
            <w:rPr/>
          </w:pPr>
          <w:hyperlink w:anchor="__RefHeading___Toc9061_811569930">
            <w:r>
              <w:rPr>
                <w:webHidden/>
                <w:rStyle w:val="IndexLink"/>
              </w:rPr>
              <w:t>3.4 What is out of scope</w:t>
              <w:tab/>
              <w:t>20</w:t>
            </w:r>
          </w:hyperlink>
        </w:p>
        <w:p>
          <w:pPr>
            <w:pStyle w:val="TOC1"/>
            <w:tabs>
              <w:tab w:val="clear" w:pos="9360"/>
              <w:tab w:val="right" w:pos="9359" w:leader="dot"/>
            </w:tabs>
            <w:rPr/>
          </w:pPr>
          <w:hyperlink w:anchor="__RefHeading___Toc9063_811569930">
            <w:r>
              <w:rPr>
                <w:webHidden/>
                <w:rStyle w:val="IndexLink"/>
              </w:rPr>
              <w:t>4 Document Conventions</w:t>
              <w:tab/>
              <w:t>21</w:t>
            </w:r>
          </w:hyperlink>
        </w:p>
        <w:p>
          <w:pPr>
            <w:pStyle w:val="TOC2"/>
            <w:tabs>
              <w:tab w:val="clear" w:pos="9077"/>
              <w:tab w:val="right" w:pos="9359" w:leader="dot"/>
            </w:tabs>
            <w:rPr/>
          </w:pPr>
          <w:hyperlink w:anchor="__RefHeading___Toc9065_811569930">
            <w:r>
              <w:rPr>
                <w:webHidden/>
                <w:rStyle w:val="IndexLink"/>
              </w:rPr>
              <w:t>4.1 Block marking</w:t>
              <w:tab/>
              <w:t>21</w:t>
            </w:r>
          </w:hyperlink>
        </w:p>
        <w:p>
          <w:pPr>
            <w:pStyle w:val="TOC2"/>
            <w:tabs>
              <w:tab w:val="clear" w:pos="9077"/>
              <w:tab w:val="right" w:pos="9359" w:leader="dot"/>
            </w:tabs>
            <w:rPr/>
          </w:pPr>
          <w:hyperlink w:anchor="__RefHeading___Toc9067_811569930">
            <w:r>
              <w:rPr>
                <w:webHidden/>
                <w:rStyle w:val="IndexLink"/>
              </w:rPr>
              <w:t>4.2 What this book does not restate</w:t>
              <w:tab/>
              <w:t>21</w:t>
            </w:r>
          </w:hyperlink>
        </w:p>
        <w:p>
          <w:pPr>
            <w:pStyle w:val="TOC2"/>
            <w:tabs>
              <w:tab w:val="clear" w:pos="9077"/>
              <w:tab w:val="right" w:pos="9359" w:leader="dot"/>
            </w:tabs>
            <w:rPr/>
          </w:pPr>
          <w:hyperlink w:anchor="__RefHeading___Toc9069_811569930">
            <w:r>
              <w:rPr>
                <w:webHidden/>
                <w:rStyle w:val="IndexLink"/>
              </w:rPr>
              <w:t>4.3 Signal and parameter naming</w:t>
              <w:tab/>
              <w:t>21</w:t>
            </w:r>
          </w:hyperlink>
        </w:p>
        <w:p>
          <w:pPr>
            <w:pStyle w:val="TOC2"/>
            <w:tabs>
              <w:tab w:val="clear" w:pos="9077"/>
              <w:tab w:val="right" w:pos="9359" w:leader="dot"/>
            </w:tabs>
            <w:rPr/>
          </w:pPr>
          <w:hyperlink w:anchor="__RefHeading___Toc9071_811569930">
            <w:r>
              <w:rPr>
                <w:webHidden/>
                <w:rStyle w:val="IndexLink"/>
              </w:rPr>
              <w:t>4.4 Timing values</w:t>
              <w:tab/>
              <w:t>22</w:t>
            </w:r>
          </w:hyperlink>
        </w:p>
        <w:p>
          <w:pPr>
            <w:pStyle w:val="TOC2"/>
            <w:tabs>
              <w:tab w:val="clear" w:pos="9077"/>
              <w:tab w:val="right" w:pos="9359" w:leader="dot"/>
            </w:tabs>
            <w:rPr/>
          </w:pPr>
          <w:hyperlink w:anchor="__RefHeading___Toc9073_811569930">
            <w:r>
              <w:rPr>
                <w:webHidden/>
                <w:rStyle w:val="IndexLink"/>
              </w:rPr>
              <w:t>4.5 Citations</w:t>
              <w:tab/>
              <w:t>22</w:t>
            </w:r>
          </w:hyperlink>
        </w:p>
        <w:p>
          <w:pPr>
            <w:pStyle w:val="TOC1"/>
            <w:tabs>
              <w:tab w:val="clear" w:pos="9360"/>
              <w:tab w:val="right" w:pos="9359" w:leader="dot"/>
            </w:tabs>
            <w:rPr/>
          </w:pPr>
          <w:hyperlink w:anchor="__RefHeading___Toc9075_811569930">
            <w:r>
              <w:rPr>
                <w:webHidden/>
                <w:rStyle w:val="IndexLink"/>
              </w:rPr>
              <w:t>5 Definitions and Acronyms</w:t>
              <w:tab/>
              <w:t>23</w:t>
            </w:r>
          </w:hyperlink>
        </w:p>
        <w:p>
          <w:pPr>
            <w:pStyle w:val="TOC2"/>
            <w:tabs>
              <w:tab w:val="clear" w:pos="9077"/>
              <w:tab w:val="right" w:pos="9359" w:leader="dot"/>
            </w:tabs>
            <w:rPr/>
          </w:pPr>
          <w:hyperlink w:anchor="__RefHeading___Toc9077_811569930">
            <w:r>
              <w:rPr>
                <w:webHidden/>
                <w:rStyle w:val="IndexLink"/>
              </w:rPr>
              <w:t>5.1 Interfaces</w:t>
              <w:tab/>
              <w:t>23</w:t>
            </w:r>
          </w:hyperlink>
        </w:p>
        <w:p>
          <w:pPr>
            <w:pStyle w:val="TOC2"/>
            <w:tabs>
              <w:tab w:val="clear" w:pos="9077"/>
              <w:tab w:val="right" w:pos="9359" w:leader="dot"/>
            </w:tabs>
            <w:rPr/>
          </w:pPr>
          <w:hyperlink w:anchor="__RefHeading___Toc9079_811569930">
            <w:r>
              <w:rPr>
                <w:webHidden/>
                <w:rStyle w:val="IndexLink"/>
              </w:rPr>
              <w:t>5.2 DRAM commands this document refers to</w:t>
              <w:tab/>
              <w:t>23</w:t>
            </w:r>
          </w:hyperlink>
        </w:p>
        <w:p>
          <w:pPr>
            <w:pStyle w:val="TOC2"/>
            <w:tabs>
              <w:tab w:val="clear" w:pos="9077"/>
              <w:tab w:val="right" w:pos="9359" w:leader="dot"/>
            </w:tabs>
            <w:rPr/>
          </w:pPr>
          <w:hyperlink w:anchor="__RefHeading___Toc9081_811569930">
            <w:r>
              <w:rPr>
                <w:webHidden/>
                <w:rStyle w:val="IndexLink"/>
              </w:rPr>
              <w:t>5.3 Terms new to andesite</w:t>
              <w:tab/>
              <w:t>24</w:t>
            </w:r>
          </w:hyperlink>
        </w:p>
        <w:p>
          <w:pPr>
            <w:pStyle w:val="TOC2"/>
            <w:tabs>
              <w:tab w:val="clear" w:pos="9077"/>
              <w:tab w:val="right" w:pos="9359" w:leader="dot"/>
            </w:tabs>
            <w:rPr/>
          </w:pPr>
          <w:hyperlink w:anchor="__RefHeading___Toc9083_811569930">
            <w:r>
              <w:rPr>
                <w:webHidden/>
                <w:rStyle w:val="IndexLink"/>
              </w:rPr>
              <w:t>5.4 Terms used with a specific meaning here</w:t>
              <w:tab/>
              <w:t>25</w:t>
            </w:r>
          </w:hyperlink>
        </w:p>
        <w:p>
          <w:pPr>
            <w:pStyle w:val="TOC1"/>
            <w:tabs>
              <w:tab w:val="clear" w:pos="9360"/>
              <w:tab w:val="right" w:pos="9359" w:leader="dot"/>
            </w:tabs>
            <w:rPr/>
          </w:pPr>
          <w:hyperlink w:anchor="__RefHeading___Toc9085_811569930">
            <w:r>
              <w:rPr>
                <w:webHidden/>
                <w:rStyle w:val="IndexLink"/>
              </w:rPr>
              <w:t>6 Scope and Goals</w:t>
              <w:tab/>
              <w:t>26</w:t>
            </w:r>
          </w:hyperlink>
        </w:p>
        <w:p>
          <w:pPr>
            <w:pStyle w:val="TOC2"/>
            <w:tabs>
              <w:tab w:val="clear" w:pos="9077"/>
              <w:tab w:val="right" w:pos="9359" w:leader="dot"/>
            </w:tabs>
            <w:rPr/>
          </w:pPr>
          <w:hyperlink w:anchor="__RefHeading___Toc9087_811569930">
            <w:r>
              <w:rPr>
                <w:webHidden/>
                <w:rStyle w:val="IndexLink"/>
              </w:rPr>
              <w:t>6.1 What andesite is</w:t>
              <w:tab/>
              <w:t>26</w:t>
            </w:r>
          </w:hyperlink>
        </w:p>
        <w:p>
          <w:pPr>
            <w:pStyle w:val="TOC2"/>
            <w:tabs>
              <w:tab w:val="clear" w:pos="9077"/>
              <w:tab w:val="right" w:pos="9359" w:leader="dot"/>
            </w:tabs>
            <w:rPr/>
          </w:pPr>
          <w:hyperlink w:anchor="__RefHeading___Toc9089_811569930">
            <w:r>
              <w:rPr>
                <w:webHidden/>
                <w:rStyle w:val="IndexLink"/>
              </w:rPr>
              <w:t>6.2 Goals</w:t>
              <w:tab/>
              <w:t>26</w:t>
            </w:r>
          </w:hyperlink>
        </w:p>
        <w:p>
          <w:pPr>
            <w:pStyle w:val="TOC2"/>
            <w:tabs>
              <w:tab w:val="clear" w:pos="9077"/>
              <w:tab w:val="right" w:pos="9359" w:leader="dot"/>
            </w:tabs>
            <w:rPr/>
          </w:pPr>
          <w:hyperlink w:anchor="__RefHeading___Toc9091_811569930">
            <w:r>
              <w:rPr>
                <w:webHidden/>
                <w:rStyle w:val="IndexLink"/>
              </w:rPr>
              <w:t>6.3 Non-goals</w:t>
              <w:tab/>
              <w:t>26</w:t>
            </w:r>
          </w:hyperlink>
        </w:p>
        <w:p>
          <w:pPr>
            <w:pStyle w:val="TOC2"/>
            <w:tabs>
              <w:tab w:val="clear" w:pos="9077"/>
              <w:tab w:val="right" w:pos="9359" w:leader="dot"/>
            </w:tabs>
            <w:rPr/>
          </w:pPr>
          <w:hyperlink w:anchor="__RefHeading___Toc9093_811569930">
            <w:r>
              <w:rPr>
                <w:webHidden/>
                <w:rStyle w:val="IndexLink"/>
              </w:rPr>
              <w:t>6.4 What makes DDR4/LPDDR4 easier than it looks</w:t>
              <w:tab/>
              <w:t>27</w:t>
            </w:r>
          </w:hyperlink>
        </w:p>
        <w:p>
          <w:pPr>
            <w:pStyle w:val="TOC2"/>
            <w:tabs>
              <w:tab w:val="clear" w:pos="9077"/>
              <w:tab w:val="right" w:pos="9359" w:leader="dot"/>
            </w:tabs>
            <w:rPr/>
          </w:pPr>
          <w:hyperlink w:anchor="__RefHeading___Toc9095_811569930">
            <w:r>
              <w:rPr>
                <w:webHidden/>
                <w:rStyle w:val="IndexLink"/>
              </w:rPr>
              <w:t>6.5 What is genuinely harder</w:t>
              <w:tab/>
              <w:t>27</w:t>
            </w:r>
          </w:hyperlink>
        </w:p>
        <w:p>
          <w:pPr>
            <w:pStyle w:val="TOC1"/>
            <w:tabs>
              <w:tab w:val="clear" w:pos="9360"/>
              <w:tab w:val="right" w:pos="9359" w:leader="dot"/>
            </w:tabs>
            <w:rPr/>
          </w:pPr>
          <w:hyperlink w:anchor="__RefHeading___Toc9097_811569930">
            <w:r>
              <w:rPr>
                <w:webHidden/>
                <w:rStyle w:val="IndexLink"/>
              </w:rPr>
              <w:t>7 Block Diagram</w:t>
              <w:tab/>
              <w:t>29</w:t>
            </w:r>
          </w:hyperlink>
        </w:p>
        <w:p>
          <w:pPr>
            <w:pStyle w:val="TOC2"/>
            <w:tabs>
              <w:tab w:val="clear" w:pos="9077"/>
              <w:tab w:val="right" w:pos="9359" w:leader="dot"/>
            </w:tabs>
            <w:rPr/>
          </w:pPr>
          <w:hyperlink w:anchor="__RefHeading___Toc9099_811569930">
            <w:r>
              <w:rPr>
                <w:webHidden/>
                <w:rStyle w:val="IndexLink"/>
              </w:rPr>
              <w:t>7.1 The whole controller, marked against scoria</w:t>
              <w:tab/>
              <w:t>29</w:t>
            </w:r>
          </w:hyperlink>
        </w:p>
        <w:p>
          <w:pPr>
            <w:pStyle w:val="TOC2"/>
            <w:tabs>
              <w:tab w:val="clear" w:pos="9077"/>
              <w:tab w:val="right" w:pos="9359" w:leader="dot"/>
            </w:tabs>
            <w:rPr/>
          </w:pPr>
          <w:hyperlink w:anchor="__RefHeading___Toc9101_811569930">
            <w:r>
              <w:rPr>
                <w:webHidden/>
                <w:rStyle w:val="IndexLink"/>
              </w:rPr>
              <w:t>7.2 Reading the figure</w:t>
              <w:tab/>
              <w:t>29</w:t>
            </w:r>
          </w:hyperlink>
        </w:p>
        <w:p>
          <w:pPr>
            <w:pStyle w:val="TOC2"/>
            <w:tabs>
              <w:tab w:val="clear" w:pos="9077"/>
              <w:tab w:val="right" w:pos="9359" w:leader="dot"/>
            </w:tabs>
            <w:rPr/>
          </w:pPr>
          <w:hyperlink w:anchor="__RefHeading___Toc9103_811569930">
            <w:r>
              <w:rPr>
                <w:webHidden/>
                <w:rStyle w:val="IndexLink"/>
              </w:rPr>
              <w:t>7.3 What the figure deliberately omits</w:t>
              <w:tab/>
              <w:t>30</w:t>
            </w:r>
          </w:hyperlink>
        </w:p>
        <w:p>
          <w:pPr>
            <w:pStyle w:val="TOC1"/>
            <w:tabs>
              <w:tab w:val="clear" w:pos="9360"/>
              <w:tab w:val="right" w:pos="9359" w:leader="dot"/>
            </w:tabs>
            <w:rPr/>
          </w:pPr>
          <w:hyperlink w:anchor="__RefHeading___Toc9105_811569930">
            <w:r>
              <w:rPr>
                <w:webHidden/>
                <w:rStyle w:val="IndexLink"/>
              </w:rPr>
              <w:t>8 Module Hierarchy</w:t>
              <w:tab/>
              <w:t>31</w:t>
            </w:r>
          </w:hyperlink>
        </w:p>
        <w:p>
          <w:pPr>
            <w:pStyle w:val="TOC2"/>
            <w:tabs>
              <w:tab w:val="clear" w:pos="9077"/>
              <w:tab w:val="right" w:pos="9359" w:leader="dot"/>
            </w:tabs>
            <w:rPr/>
          </w:pPr>
          <w:hyperlink w:anchor="__RefHeading___Toc9107_811569930">
            <w:r>
              <w:rPr>
                <w:webHidden/>
                <w:rStyle w:val="IndexLink"/>
              </w:rPr>
              <w:t>8.1 Planned hierarchy</w:t>
              <w:tab/>
              <w:t>31</w:t>
            </w:r>
          </w:hyperlink>
        </w:p>
        <w:p>
          <w:pPr>
            <w:pStyle w:val="TOC3"/>
            <w:tabs>
              <w:tab w:val="clear" w:pos="8793"/>
              <w:tab w:val="right" w:pos="9359" w:leader="dot"/>
            </w:tabs>
            <w:rPr/>
          </w:pPr>
          <w:hyperlink w:anchor="__RefHeading___Toc9109_811569930">
            <w:r>
              <w:rPr>
                <w:webHidden/>
                <w:rStyle w:val="IndexLink"/>
              </w:rPr>
              <w:t>8.1.1 Top and macro tier</w:t>
              <w:tab/>
              <w:t>31</w:t>
            </w:r>
          </w:hyperlink>
        </w:p>
        <w:p>
          <w:pPr>
            <w:pStyle w:val="TOC3"/>
            <w:tabs>
              <w:tab w:val="clear" w:pos="8793"/>
              <w:tab w:val="right" w:pos="9359" w:leader="dot"/>
            </w:tabs>
            <w:rPr/>
          </w:pPr>
          <w:hyperlink w:anchor="__RefHeading___Toc9111_811569930">
            <w:r>
              <w:rPr>
                <w:webHidden/>
                <w:rStyle w:val="IndexLink"/>
              </w:rPr>
              <w:t>8.1.2 FUB tier, inherited unchanged</w:t>
              <w:tab/>
              <w:t>32</w:t>
            </w:r>
          </w:hyperlink>
        </w:p>
        <w:p>
          <w:pPr>
            <w:pStyle w:val="TOC3"/>
            <w:tabs>
              <w:tab w:val="clear" w:pos="8793"/>
              <w:tab w:val="right" w:pos="9359" w:leader="dot"/>
            </w:tabs>
            <w:rPr/>
          </w:pPr>
          <w:hyperlink w:anchor="__RefHeading___Toc9113_811569930">
            <w:r>
              <w:rPr>
                <w:webHidden/>
                <w:rStyle w:val="IndexLink"/>
              </w:rPr>
              <w:t>8.1.3 FUB tier, modified</w:t>
              <w:tab/>
              <w:t>32</w:t>
            </w:r>
          </w:hyperlink>
        </w:p>
        <w:p>
          <w:pPr>
            <w:pStyle w:val="TOC3"/>
            <w:tabs>
              <w:tab w:val="clear" w:pos="8793"/>
              <w:tab w:val="right" w:pos="9359" w:leader="dot"/>
            </w:tabs>
            <w:rPr/>
          </w:pPr>
          <w:hyperlink w:anchor="__RefHeading___Toc9115_811569930">
            <w:r>
              <w:rPr>
                <w:webHidden/>
                <w:rStyle w:val="IndexLink"/>
              </w:rPr>
              <w:t>8.1.4 FUB tier, new</w:t>
              <w:tab/>
              <w:t>34</w:t>
            </w:r>
          </w:hyperlink>
        </w:p>
        <w:p>
          <w:pPr>
            <w:pStyle w:val="TOC2"/>
            <w:tabs>
              <w:tab w:val="clear" w:pos="9077"/>
              <w:tab w:val="right" w:pos="9359" w:leader="dot"/>
            </w:tabs>
            <w:rPr/>
          </w:pPr>
          <w:hyperlink w:anchor="__RefHeading___Toc9117_811569930">
            <w:r>
              <w:rPr>
                <w:webHidden/>
                <w:rStyle w:val="IndexLink"/>
              </w:rPr>
              <w:t>8.2 Naming, and the package</w:t>
              <w:tab/>
              <w:t>34</w:t>
            </w:r>
          </w:hyperlink>
        </w:p>
        <w:p>
          <w:pPr>
            <w:pStyle w:val="TOC1"/>
            <w:tabs>
              <w:tab w:val="clear" w:pos="9360"/>
              <w:tab w:val="right" w:pos="9359" w:leader="dot"/>
            </w:tabs>
            <w:rPr/>
          </w:pPr>
          <w:hyperlink w:anchor="__RefHeading___Toc9119_811569930">
            <w:r>
              <w:rPr>
                <w:webHidden/>
                <w:rStyle w:val="IndexLink"/>
              </w:rPr>
              <w:t>9 The Target Design Point</w:t>
              <w:tab/>
              <w:t>36</w:t>
            </w:r>
          </w:hyperlink>
        </w:p>
        <w:p>
          <w:pPr>
            <w:pStyle w:val="TOC2"/>
            <w:tabs>
              <w:tab w:val="clear" w:pos="9077"/>
              <w:tab w:val="right" w:pos="9359" w:leader="dot"/>
            </w:tabs>
            <w:rPr/>
          </w:pPr>
          <w:hyperlink w:anchor="__RefHeading___Toc9121_811569930">
            <w:r>
              <w:rPr>
                <w:webHidden/>
                <w:rStyle w:val="IndexLink"/>
              </w:rPr>
              <w:t>9.1 Named as of v0.1</w:t>
              <w:tab/>
              <w:t>36</w:t>
            </w:r>
          </w:hyperlink>
        </w:p>
        <w:p>
          <w:pPr>
            <w:pStyle w:val="TOC2"/>
            <w:tabs>
              <w:tab w:val="clear" w:pos="9077"/>
              <w:tab w:val="right" w:pos="9359" w:leader="dot"/>
            </w:tabs>
            <w:rPr/>
          </w:pPr>
          <w:hyperlink w:anchor="__RefHeading___Toc9123_811569930">
            <w:r>
              <w:rPr>
                <w:webHidden/>
                <w:rStyle w:val="IndexLink"/>
              </w:rPr>
              <w:t>9.2 What this fixes</w:t>
              <w:tab/>
              <w:t>37</w:t>
            </w:r>
          </w:hyperlink>
        </w:p>
        <w:p>
          <w:pPr>
            <w:pStyle w:val="TOC2"/>
            <w:tabs>
              <w:tab w:val="clear" w:pos="9077"/>
              <w:tab w:val="right" w:pos="9359" w:leader="dot"/>
            </w:tabs>
            <w:rPr/>
          </w:pPr>
          <w:hyperlink w:anchor="__RefHeading___Toc9125_811569930">
            <w:r>
              <w:rPr>
                <w:webHidden/>
                <w:rStyle w:val="IndexLink"/>
              </w:rPr>
              <w:t>9.3 What is still open</w:t>
              <w:tab/>
              <w:t>38</w:t>
            </w:r>
          </w:hyperlink>
        </w:p>
        <w:p>
          <w:pPr>
            <w:pStyle w:val="TOC1"/>
            <w:tabs>
              <w:tab w:val="clear" w:pos="9360"/>
              <w:tab w:val="right" w:pos="9359" w:leader="dot"/>
            </w:tabs>
            <w:rPr/>
          </w:pPr>
          <w:hyperlink w:anchor="__RefHeading___Toc9127_811569930">
            <w:r>
              <w:rPr>
                <w:webHidden/>
                <w:rStyle w:val="IndexLink"/>
              </w:rPr>
              <w:t>10 What Is Inherited, and the Ten Areas That Change</w:t>
              <w:tab/>
              <w:t>39</w:t>
            </w:r>
          </w:hyperlink>
        </w:p>
        <w:p>
          <w:pPr>
            <w:pStyle w:val="TOC2"/>
            <w:tabs>
              <w:tab w:val="clear" w:pos="9077"/>
              <w:tab w:val="right" w:pos="9359" w:leader="dot"/>
            </w:tabs>
            <w:rPr/>
          </w:pPr>
          <w:hyperlink w:anchor="__RefHeading___Toc9129_811569930">
            <w:r>
              <w:rPr>
                <w:webHidden/>
                <w:rStyle w:val="IndexLink"/>
              </w:rPr>
              <w:t>10.1 The inheritance, stated once</w:t>
              <w:tab/>
              <w:t>39</w:t>
            </w:r>
          </w:hyperlink>
        </w:p>
        <w:p>
          <w:pPr>
            <w:pStyle w:val="TOC2"/>
            <w:tabs>
              <w:tab w:val="clear" w:pos="9077"/>
              <w:tab w:val="right" w:pos="9359" w:leader="dot"/>
            </w:tabs>
            <w:rPr/>
          </w:pPr>
          <w:hyperlink w:anchor="__RefHeading___Toc9131_811569930">
            <w:r>
              <w:rPr>
                <w:webHidden/>
                <w:rStyle w:val="IndexLink"/>
              </w:rPr>
              <w:t>10.2 The changes, in one table</w:t>
              <w:tab/>
              <w:t>39</w:t>
            </w:r>
          </w:hyperlink>
        </w:p>
        <w:p>
          <w:pPr>
            <w:pStyle w:val="TOC2"/>
            <w:tabs>
              <w:tab w:val="clear" w:pos="9077"/>
              <w:tab w:val="right" w:pos="9359" w:leader="dot"/>
            </w:tabs>
            <w:rPr/>
          </w:pPr>
          <w:hyperlink w:anchor="__RefHeading___Toc9133_811569930">
            <w:r>
              <w:rPr>
                <w:webHidden/>
                <w:rStyle w:val="IndexLink"/>
              </w:rPr>
              <w:t>10.3 The ten areas, one paragraph each</w:t>
              <w:tab/>
              <w:t>41</w:t>
            </w:r>
          </w:hyperlink>
        </w:p>
        <w:p>
          <w:pPr>
            <w:pStyle w:val="TOC2"/>
            <w:tabs>
              <w:tab w:val="clear" w:pos="9077"/>
              <w:tab w:val="right" w:pos="9359" w:leader="dot"/>
            </w:tabs>
            <w:rPr/>
          </w:pPr>
          <w:hyperlink w:anchor="__RefHeading___Toc9135_811569930">
            <w:r>
              <w:rPr>
                <w:webHidden/>
                <w:rStyle w:val="IndexLink"/>
              </w:rPr>
              <w:t>10.4 The full reuse table</w:t>
              <w:tab/>
              <w:t>42</w:t>
            </w:r>
          </w:hyperlink>
        </w:p>
        <w:p>
          <w:pPr>
            <w:pStyle w:val="TOC2"/>
            <w:tabs>
              <w:tab w:val="clear" w:pos="9077"/>
              <w:tab w:val="right" w:pos="9359" w:leader="dot"/>
            </w:tabs>
            <w:rPr/>
          </w:pPr>
          <w:hyperlink w:anchor="__RefHeading___Toc9137_811569930">
            <w:r>
              <w:rPr>
                <w:webHidden/>
                <w:rStyle w:val="IndexLink"/>
              </w:rPr>
              <w:t>10.5 Dormant: powerdown_ctrl and dfi_signal_pack</w:t>
              <w:tab/>
              <w:t>44</w:t>
            </w:r>
          </w:hyperlink>
        </w:p>
        <w:p>
          <w:pPr>
            <w:pStyle w:val="TOC2"/>
            <w:tabs>
              <w:tab w:val="clear" w:pos="9077"/>
              <w:tab w:val="right" w:pos="9359" w:leader="dot"/>
            </w:tabs>
            <w:rPr/>
          </w:pPr>
          <w:hyperlink w:anchor="__RefHeading___Toc9139_811569930">
            <w:r>
              <w:rPr>
                <w:webHidden/>
                <w:rStyle w:val="IndexLink"/>
              </w:rPr>
              <w:t>10.6 Deferred, with named conditions</w:t>
              <w:tab/>
              <w:t>45</w:t>
            </w:r>
          </w:hyperlink>
        </w:p>
        <w:p>
          <w:pPr>
            <w:pStyle w:val="TOC1"/>
            <w:tabs>
              <w:tab w:val="clear" w:pos="9360"/>
              <w:tab w:val="right" w:pos="9359" w:leader="dot"/>
            </w:tabs>
            <w:rPr/>
          </w:pPr>
          <w:hyperlink w:anchor="__RefHeading___Toc9141_811569930">
            <w:r>
              <w:rPr>
                <w:webHidden/>
                <w:rStyle w:val="IndexLink"/>
              </w:rPr>
              <w:t>11 Init and ZQ: RESET#, MR0-MR6, Gear-Down</w:t>
              <w:tab/>
              <w:t>46</w:t>
            </w:r>
          </w:hyperlink>
        </w:p>
        <w:p>
          <w:pPr>
            <w:pStyle w:val="TOC2"/>
            <w:tabs>
              <w:tab w:val="clear" w:pos="9077"/>
              <w:tab w:val="right" w:pos="9359" w:leader="dot"/>
            </w:tabs>
            <w:rPr/>
          </w:pPr>
          <w:hyperlink w:anchor="__RefHeading___Toc9143_811569930">
            <w:r>
              <w:rPr>
                <w:webHidden/>
                <w:rStyle w:val="IndexLink"/>
              </w:rPr>
              <w:t>11.1 The sequence is JEDEC’s, verbatim</w:t>
              <w:tab/>
              <w:t>46</w:t>
            </w:r>
          </w:hyperlink>
        </w:p>
        <w:p>
          <w:pPr>
            <w:pStyle w:val="TOC2"/>
            <w:tabs>
              <w:tab w:val="clear" w:pos="9077"/>
              <w:tab w:val="right" w:pos="9359" w:leader="dot"/>
            </w:tabs>
            <w:rPr/>
          </w:pPr>
          <w:hyperlink w:anchor="__RefHeading___Toc9145_811569930">
            <w:r>
              <w:rPr>
                <w:webHidden/>
                <w:rStyle w:val="IndexLink"/>
              </w:rPr>
              <w:t>11.2 What the sequencer owns</w:t>
              <w:tab/>
              <w:t>48</w:t>
            </w:r>
          </w:hyperlink>
        </w:p>
        <w:p>
          <w:pPr>
            <w:pStyle w:val="TOC2"/>
            <w:tabs>
              <w:tab w:val="clear" w:pos="9077"/>
              <w:tab w:val="right" w:pos="9359" w:leader="dot"/>
            </w:tabs>
            <w:rPr/>
          </w:pPr>
          <w:hyperlink w:anchor="__RefHeading___Toc9147_811569930">
            <w:r>
              <w:rPr>
                <w:webHidden/>
                <w:rStyle w:val="IndexLink"/>
              </w:rPr>
              <w:t>11.3 ZQ calibration</w:t>
              <w:tab/>
              <w:t>48</w:t>
            </w:r>
          </w:hyperlink>
        </w:p>
        <w:p>
          <w:pPr>
            <w:pStyle w:val="TOC1"/>
            <w:tabs>
              <w:tab w:val="clear" w:pos="9360"/>
              <w:tab w:val="right" w:pos="9359" w:leader="dot"/>
            </w:tabs>
            <w:rPr/>
          </w:pPr>
          <w:hyperlink w:anchor="__RefHeading___Toc9149_811569930">
            <w:r>
              <w:rPr>
                <w:webHidden/>
                <w:rStyle w:val="IndexLink"/>
              </w:rPr>
              <w:t>12 Training: Write Leveling Inherited, Read Leveling New</w:t>
              <w:tab/>
              <w:t>50</w:t>
            </w:r>
          </w:hyperlink>
        </w:p>
        <w:p>
          <w:pPr>
            <w:pStyle w:val="TOC2"/>
            <w:tabs>
              <w:tab w:val="clear" w:pos="9077"/>
              <w:tab w:val="right" w:pos="9359" w:leader="dot"/>
            </w:tabs>
            <w:rPr/>
          </w:pPr>
          <w:hyperlink w:anchor="__RefHeading___Toc9151_811569930">
            <w:r>
              <w:rPr>
                <w:webHidden/>
                <w:rStyle w:val="IndexLink"/>
              </w:rPr>
              <w:t>12.1 The family rule: interfaces in hardware, searches in firmware</w:t>
              <w:tab/>
              <w:t>50</w:t>
            </w:r>
          </w:hyperlink>
        </w:p>
        <w:p>
          <w:pPr>
            <w:pStyle w:val="TOC2"/>
            <w:tabs>
              <w:tab w:val="clear" w:pos="9077"/>
              <w:tab w:val="right" w:pos="9359" w:leader="dot"/>
            </w:tabs>
            <w:rPr/>
          </w:pPr>
          <w:hyperlink w:anchor="__RefHeading___Toc9153_811569930">
            <w:r>
              <w:rPr>
                <w:webHidden/>
                <w:rStyle w:val="IndexLink"/>
              </w:rPr>
              <w:t>12.2 Write leveling: wrlvl_ifc, MODIFIED</w:t>
              <w:tab/>
              <w:t>50</w:t>
            </w:r>
          </w:hyperlink>
        </w:p>
        <w:p>
          <w:pPr>
            <w:pStyle w:val="TOC2"/>
            <w:tabs>
              <w:tab w:val="clear" w:pos="9077"/>
              <w:tab w:val="right" w:pos="9359" w:leader="dot"/>
            </w:tabs>
            <w:rPr/>
          </w:pPr>
          <w:hyperlink w:anchor="__RefHeading___Toc9155_811569930">
            <w:r>
              <w:rPr>
                <w:webHidden/>
                <w:rStyle w:val="IndexLink"/>
              </w:rPr>
              <w:t>12.3 Read leveling: rdlvl_ifc, NEW</w:t>
              <w:tab/>
              <w:t>51</w:t>
            </w:r>
          </w:hyperlink>
        </w:p>
        <w:p>
          <w:pPr>
            <w:pStyle w:val="TOC2"/>
            <w:tabs>
              <w:tab w:val="clear" w:pos="9077"/>
              <w:tab w:val="right" w:pos="9359" w:leader="dot"/>
            </w:tabs>
            <w:rPr/>
          </w:pPr>
          <w:hyperlink w:anchor="__RefHeading___Toc9157_811569930">
            <w:r>
              <w:rPr>
                <w:webHidden/>
                <w:rStyle w:val="IndexLink"/>
              </w:rPr>
              <w:t>12.4 LPDDR4 CA/WDQ training: ca_train_ifc, NEW</w:t>
              <w:tab/>
              <w:t>51</w:t>
            </w:r>
          </w:hyperlink>
        </w:p>
        <w:p>
          <w:pPr>
            <w:pStyle w:val="TOC2"/>
            <w:tabs>
              <w:tab w:val="clear" w:pos="9077"/>
              <w:tab w:val="right" w:pos="9359" w:leader="dot"/>
            </w:tabs>
            <w:rPr/>
          </w:pPr>
          <w:hyperlink w:anchor="__RefHeading___Toc9159_811569930">
            <w:r>
              <w:rPr>
                <w:webHidden/>
                <w:rStyle w:val="IndexLink"/>
              </w:rPr>
              <w:t>12.5 What training costs the surrounding blocks</w:t>
              <w:tab/>
              <w:t>52</w:t>
            </w:r>
          </w:hyperlink>
        </w:p>
        <w:p>
          <w:pPr>
            <w:pStyle w:val="TOC1"/>
            <w:tabs>
              <w:tab w:val="clear" w:pos="9360"/>
              <w:tab w:val="right" w:pos="9359" w:leader="dot"/>
            </w:tabs>
            <w:rPr/>
          </w:pPr>
          <w:hyperlink w:anchor="__RefHeading___Toc9161_811569930">
            <w:r>
              <w:rPr>
                <w:webHidden/>
                <w:rStyle w:val="IndexLink"/>
              </w:rPr>
              <w:t>13 Refresh: FGR and Controller-Directed Per-Bank</w:t>
              <w:tab/>
              <w:t>53</w:t>
            </w:r>
          </w:hyperlink>
        </w:p>
        <w:p>
          <w:pPr>
            <w:pStyle w:val="TOC2"/>
            <w:tabs>
              <w:tab w:val="clear" w:pos="9077"/>
              <w:tab w:val="right" w:pos="9359" w:leader="dot"/>
            </w:tabs>
            <w:rPr/>
          </w:pPr>
          <w:hyperlink w:anchor="__RefHeading___Toc9163_811569930">
            <w:r>
              <w:rPr>
                <w:webHidden/>
                <w:rStyle w:val="IndexLink"/>
              </w:rPr>
              <w:t>13.1 Marking: MODIFIED — inherited mechanism, FGR density on top</w:t>
              <w:tab/>
              <w:t>53</w:t>
            </w:r>
          </w:hyperlink>
        </w:p>
        <w:p>
          <w:pPr>
            <w:pStyle w:val="TOC2"/>
            <w:tabs>
              <w:tab w:val="clear" w:pos="9077"/>
              <w:tab w:val="right" w:pos="9359" w:leader="dot"/>
            </w:tabs>
            <w:rPr/>
          </w:pPr>
          <w:hyperlink w:anchor="__RefHeading___Toc9165_811569930">
            <w:r>
              <w:rPr>
                <w:webHidden/>
                <w:rStyle w:val="IndexLink"/>
              </w:rPr>
              <w:t>13.2 What scoria already has, and what andesite keeps</w:t>
              <w:tab/>
              <w:t>53</w:t>
            </w:r>
          </w:hyperlink>
        </w:p>
        <w:p>
          <w:pPr>
            <w:pStyle w:val="TOC2"/>
            <w:tabs>
              <w:tab w:val="clear" w:pos="9077"/>
              <w:tab w:val="right" w:pos="9359" w:leader="dot"/>
            </w:tabs>
            <w:rPr/>
          </w:pPr>
          <w:hyperlink w:anchor="__RefHeading___Toc9167_811569930">
            <w:r>
              <w:rPr>
                <w:webHidden/>
                <w:rStyle w:val="IndexLink"/>
              </w:rPr>
              <w:t>13.3 The DDR4 delta: FGR</w:t>
              <w:tab/>
              <w:t>53</w:t>
            </w:r>
          </w:hyperlink>
        </w:p>
        <w:p>
          <w:pPr>
            <w:pStyle w:val="TOC2"/>
            <w:tabs>
              <w:tab w:val="clear" w:pos="9077"/>
              <w:tab w:val="right" w:pos="9359" w:leader="dot"/>
            </w:tabs>
            <w:rPr/>
          </w:pPr>
          <w:hyperlink w:anchor="__RefHeading___Toc9169_811569930">
            <w:r>
              <w:rPr>
                <w:webHidden/>
                <w:rStyle w:val="IndexLink"/>
              </w:rPr>
              <w:t>13.4 The LPDDR4 delta: the controller names the bank</w:t>
              <w:tab/>
              <w:t>54</w:t>
            </w:r>
          </w:hyperlink>
        </w:p>
        <w:p>
          <w:pPr>
            <w:pStyle w:val="TOC2"/>
            <w:tabs>
              <w:tab w:val="clear" w:pos="9077"/>
              <w:tab w:val="right" w:pos="9359" w:leader="dot"/>
            </w:tabs>
            <w:rPr/>
          </w:pPr>
          <w:hyperlink w:anchor="__RefHeading___Toc9171_811569930">
            <w:r>
              <w:rPr>
                <w:webHidden/>
                <w:rStyle w:val="IndexLink"/>
              </w:rPr>
              <w:t>13.5 Requirements</w:t>
              <w:tab/>
              <w:t>54</w:t>
            </w:r>
          </w:hyperlink>
        </w:p>
        <w:p>
          <w:pPr>
            <w:pStyle w:val="TOC2"/>
            <w:tabs>
              <w:tab w:val="clear" w:pos="9077"/>
              <w:tab w:val="right" w:pos="9359" w:leader="dot"/>
            </w:tabs>
            <w:rPr/>
          </w:pPr>
          <w:hyperlink w:anchor="__RefHeading___Toc9173_811569930">
            <w:r>
              <w:rPr>
                <w:webHidden/>
                <w:rStyle w:val="IndexLink"/>
              </w:rPr>
              <w:t>13.6 Telemetry</w:t>
              <w:tab/>
              <w:t>55</w:t>
            </w:r>
          </w:hyperlink>
        </w:p>
        <w:p>
          <w:pPr>
            <w:pStyle w:val="TOC1"/>
            <w:tabs>
              <w:tab w:val="clear" w:pos="9360"/>
              <w:tab w:val="right" w:pos="9359" w:leader="dot"/>
            </w:tabs>
            <w:rPr/>
          </w:pPr>
          <w:hyperlink w:anchor="__RefHeading___Toc9175_811569930">
            <w:r>
              <w:rPr>
                <w:webHidden/>
                <w:rStyle w:val="IndexLink"/>
              </w:rPr>
              <w:t>14 ODT: Dynamic, with a New odt_ctrl</w:t>
              <w:tab/>
              <w:t>56</w:t>
            </w:r>
          </w:hyperlink>
        </w:p>
        <w:p>
          <w:pPr>
            <w:pStyle w:val="TOC2"/>
            <w:tabs>
              <w:tab w:val="clear" w:pos="9077"/>
              <w:tab w:val="right" w:pos="9359" w:leader="dot"/>
            </w:tabs>
            <w:rPr/>
          </w:pPr>
          <w:hyperlink w:anchor="__RefHeading___Toc9177_811569930">
            <w:r>
              <w:rPr>
                <w:webHidden/>
                <w:rStyle w:val="IndexLink"/>
              </w:rPr>
              <w:t>14.1 Why static ODT doesn’t survive DDR4</w:t>
              <w:tab/>
              <w:t>56</w:t>
            </w:r>
          </w:hyperlink>
        </w:p>
        <w:p>
          <w:pPr>
            <w:pStyle w:val="TOC2"/>
            <w:tabs>
              <w:tab w:val="clear" w:pos="9077"/>
              <w:tab w:val="right" w:pos="9359" w:leader="dot"/>
            </w:tabs>
            <w:rPr/>
          </w:pPr>
          <w:hyperlink w:anchor="__RefHeading___Toc9179_811569930">
            <w:r>
              <w:rPr>
                <w:webHidden/>
                <w:rStyle w:val="IndexLink"/>
              </w:rPr>
              <w:t>14.2 What odt_ctrl owns</w:t>
              <w:tab/>
              <w:t>56</w:t>
            </w:r>
          </w:hyperlink>
        </w:p>
        <w:p>
          <w:pPr>
            <w:pStyle w:val="TOC2"/>
            <w:tabs>
              <w:tab w:val="clear" w:pos="9077"/>
              <w:tab w:val="right" w:pos="9359" w:leader="dot"/>
            </w:tabs>
            <w:rPr/>
          </w:pPr>
          <w:hyperlink w:anchor="__RefHeading___Toc9181_811569930">
            <w:r>
              <w:rPr>
                <w:webHidden/>
                <w:rStyle w:val="IndexLink"/>
              </w:rPr>
              <w:t>14.3 Requirements</w:t>
              <w:tab/>
              <w:t>57</w:t>
            </w:r>
          </w:hyperlink>
        </w:p>
        <w:p>
          <w:pPr>
            <w:pStyle w:val="TOC1"/>
            <w:tabs>
              <w:tab w:val="clear" w:pos="9360"/>
              <w:tab w:val="right" w:pos="9359" w:leader="dot"/>
            </w:tabs>
            <w:rPr/>
          </w:pPr>
          <w:hyperlink w:anchor="__RefHeading___Toc9183_811569930">
            <w:r>
              <w:rPr>
                <w:webHidden/>
                <w:rStyle w:val="IndexLink"/>
              </w:rPr>
              <w:t>15 The LPDDR4 Deltas, Chapter by Chapter</w:t>
              <w:tab/>
              <w:t>59</w:t>
            </w:r>
          </w:hyperlink>
        </w:p>
        <w:p>
          <w:pPr>
            <w:pStyle w:val="TOC2"/>
            <w:tabs>
              <w:tab w:val="clear" w:pos="9077"/>
              <w:tab w:val="right" w:pos="9359" w:leader="dot"/>
            </w:tabs>
            <w:rPr/>
          </w:pPr>
          <w:hyperlink w:anchor="__RefHeading___Toc9185_811569930">
            <w:r>
              <w:rPr>
                <w:webHidden/>
                <w:rStyle w:val="IndexLink"/>
              </w:rPr>
              <w:t>15.1 Where LPDDR4 differs</w:t>
              <w:tab/>
              <w:t>59</w:t>
            </w:r>
          </w:hyperlink>
        </w:p>
        <w:p>
          <w:pPr>
            <w:pStyle w:val="TOC2"/>
            <w:tabs>
              <w:tab w:val="clear" w:pos="9077"/>
              <w:tab w:val="right" w:pos="9359" w:leader="dot"/>
            </w:tabs>
            <w:rPr/>
          </w:pPr>
          <w:hyperlink w:anchor="__RefHeading___Toc9187_811569930">
            <w:r>
              <w:rPr>
                <w:webHidden/>
                <w:rStyle w:val="IndexLink"/>
              </w:rPr>
              <w:t xml:space="preserve">15.2 What LPDDR4 does </w:t>
            </w:r>
            <w:r>
              <w:rPr>
                <w:rStyle w:val="IndexLink"/>
                <w:i/>
                <w:iCs/>
              </w:rPr>
              <w:t>not</w:t>
            </w:r>
            <w:r>
              <w:rPr>
                <w:rStyle w:val="IndexLink"/>
              </w:rPr>
              <w:t xml:space="preserve"> change</w:t>
              <w:tab/>
              <w:t>60</w:t>
            </w:r>
          </w:hyperlink>
        </w:p>
        <w:p>
          <w:pPr>
            <w:pStyle w:val="TOC1"/>
            <w:tabs>
              <w:tab w:val="clear" w:pos="9360"/>
              <w:tab w:val="right" w:pos="9359" w:leader="dot"/>
            </w:tabs>
            <w:rPr/>
          </w:pPr>
          <w:hyperlink w:anchor="__RefHeading___Toc9189_811569930">
            <w:r>
              <w:rPr>
                <w:webHidden/>
                <w:rStyle w:val="IndexLink"/>
              </w:rPr>
              <w:t>16 DFI v4.0 Master Interface, and the v3.1 Delta</w:t>
              <w:tab/>
              <w:t>61</w:t>
            </w:r>
          </w:hyperlink>
        </w:p>
        <w:p>
          <w:pPr>
            <w:pStyle w:val="TOC2"/>
            <w:tabs>
              <w:tab w:val="clear" w:pos="9077"/>
              <w:tab w:val="right" w:pos="9359" w:leader="dot"/>
            </w:tabs>
            <w:rPr/>
          </w:pPr>
          <w:hyperlink w:anchor="__RefHeading___Toc9191_811569930">
            <w:r>
              <w:rPr>
                <w:webHidden/>
                <w:rStyle w:val="IndexLink"/>
              </w:rPr>
              <w:t>16.1 The revision decision</w:t>
              <w:tab/>
              <w:t>61</w:t>
            </w:r>
          </w:hyperlink>
        </w:p>
        <w:p>
          <w:pPr>
            <w:pStyle w:val="TOC2"/>
            <w:tabs>
              <w:tab w:val="clear" w:pos="9077"/>
              <w:tab w:val="right" w:pos="9359" w:leader="dot"/>
            </w:tabs>
            <w:rPr/>
          </w:pPr>
          <w:hyperlink w:anchor="__RefHeading___Toc9193_811569930">
            <w:r>
              <w:rPr>
                <w:webHidden/>
                <w:rStyle w:val="IndexLink"/>
              </w:rPr>
              <w:t>16.2 What does NOT change</w:t>
              <w:tab/>
              <w:t>61</w:t>
            </w:r>
          </w:hyperlink>
        </w:p>
        <w:p>
          <w:pPr>
            <w:pStyle w:val="TOC2"/>
            <w:tabs>
              <w:tab w:val="clear" w:pos="9077"/>
              <w:tab w:val="right" w:pos="9359" w:leader="dot"/>
            </w:tabs>
            <w:rPr/>
          </w:pPr>
          <w:hyperlink w:anchor="__RefHeading___Toc9195_811569930">
            <w:r>
              <w:rPr>
                <w:webHidden/>
                <w:rStyle w:val="IndexLink"/>
              </w:rPr>
              <w:t>16.3 What changes and matters: the 3.1 → 4.0 delta</w:t>
              <w:tab/>
              <w:t>62</w:t>
            </w:r>
          </w:hyperlink>
        </w:p>
        <w:p>
          <w:pPr>
            <w:pStyle w:val="TOC2"/>
            <w:tabs>
              <w:tab w:val="clear" w:pos="9077"/>
              <w:tab w:val="right" w:pos="9359" w:leader="dot"/>
            </w:tabs>
            <w:rPr/>
          </w:pPr>
          <w:hyperlink w:anchor="__RefHeading___Toc9197_811569930">
            <w:r>
              <w:rPr>
                <w:webHidden/>
                <w:rStyle w:val="IndexLink"/>
              </w:rPr>
              <w:t>16.4 What andesite does NOT implement</w:t>
              <w:tab/>
              <w:t>64</w:t>
            </w:r>
          </w:hyperlink>
        </w:p>
        <w:p>
          <w:pPr>
            <w:pStyle w:val="TOC2"/>
            <w:tabs>
              <w:tab w:val="clear" w:pos="9077"/>
              <w:tab w:val="right" w:pos="9359" w:leader="dot"/>
            </w:tabs>
            <w:rPr/>
          </w:pPr>
          <w:hyperlink w:anchor="__RefHeading___Toc9199_811569930">
            <w:r>
              <w:rPr>
                <w:webHidden/>
                <w:rStyle w:val="IndexLink"/>
              </w:rPr>
              <w:t>16.5 The MAS seam</w:t>
              <w:tab/>
              <w:t>65</w:t>
            </w:r>
          </w:hyperlink>
        </w:p>
        <w:p>
          <w:pPr>
            <w:pStyle w:val="TOC1"/>
            <w:tabs>
              <w:tab w:val="clear" w:pos="9360"/>
              <w:tab w:val="right" w:pos="9359" w:leader="dot"/>
            </w:tabs>
            <w:rPr/>
          </w:pPr>
          <w:hyperlink w:anchor="__RefHeading___Toc9201_811569930">
            <w:r>
              <w:rPr>
                <w:webHidden/>
                <w:rStyle w:val="IndexLink"/>
              </w:rPr>
              <w:t>17 AXI4 Slave and APB CSR (both inherited)</w:t>
              <w:tab/>
              <w:t>66</w:t>
            </w:r>
          </w:hyperlink>
        </w:p>
        <w:p>
          <w:pPr>
            <w:pStyle w:val="TOC2"/>
            <w:tabs>
              <w:tab w:val="clear" w:pos="9077"/>
              <w:tab w:val="right" w:pos="9359" w:leader="dot"/>
            </w:tabs>
            <w:rPr/>
          </w:pPr>
          <w:hyperlink w:anchor="__RefHeading___Toc9203_811569930">
            <w:r>
              <w:rPr>
                <w:webHidden/>
                <w:rStyle w:val="IndexLink"/>
              </w:rPr>
              <w:t>17.1 The host side is unchanged in shape</w:t>
              <w:tab/>
              <w:t>66</w:t>
            </w:r>
          </w:hyperlink>
        </w:p>
        <w:p>
          <w:pPr>
            <w:pStyle w:val="TOC2"/>
            <w:tabs>
              <w:tab w:val="clear" w:pos="9077"/>
              <w:tab w:val="right" w:pos="9359" w:leader="dot"/>
            </w:tabs>
            <w:rPr/>
          </w:pPr>
          <w:hyperlink w:anchor="__RefHeading___Toc9205_811569930">
            <w:r>
              <w:rPr>
                <w:webHidden/>
                <w:rStyle w:val="IndexLink"/>
              </w:rPr>
              <w:t>17.2 The register block</w:t>
              <w:tab/>
              <w:t>66</w:t>
            </w:r>
          </w:hyperlink>
        </w:p>
        <w:p>
          <w:pPr>
            <w:pStyle w:val="TOC2"/>
            <w:tabs>
              <w:tab w:val="clear" w:pos="9077"/>
              <w:tab w:val="right" w:pos="9359" w:leader="dot"/>
            </w:tabs>
            <w:rPr/>
          </w:pPr>
          <w:hyperlink w:anchor="__RefHeading___Toc9207_811569930">
            <w:r>
              <w:rPr>
                <w:webHidden/>
                <w:rStyle w:val="IndexLink"/>
              </w:rPr>
              <w:t>17.3 The seam with the rest of the book</w:t>
              <w:tab/>
              <w:t>66</w:t>
            </w:r>
          </w:hyperlink>
        </w:p>
        <w:p>
          <w:pPr>
            <w:pStyle w:val="TOC1"/>
            <w:tabs>
              <w:tab w:val="clear" w:pos="9360"/>
              <w:tab w:val="right" w:pos="9359" w:leader="dot"/>
            </w:tabs>
            <w:rPr/>
          </w:pPr>
          <w:hyperlink w:anchor="__RefHeading___Toc9209_811569930">
            <w:r>
              <w:rPr>
                <w:webHidden/>
                <w:rStyle w:val="IndexLink"/>
              </w:rPr>
              <w:t>18 andesite_pkg, and Build-Time vs Runtime</w:t>
              <w:tab/>
              <w:t>67</w:t>
            </w:r>
          </w:hyperlink>
        </w:p>
        <w:p>
          <w:pPr>
            <w:pStyle w:val="TOC2"/>
            <w:tabs>
              <w:tab w:val="clear" w:pos="9077"/>
              <w:tab w:val="right" w:pos="9359" w:leader="dot"/>
            </w:tabs>
            <w:rPr/>
          </w:pPr>
          <w:hyperlink w:anchor="__RefHeading___Toc9211_811569930">
            <w:r>
              <w:rPr>
                <w:webHidden/>
                <w:rStyle w:val="IndexLink"/>
              </w:rPr>
              <w:t>18.1 The package</w:t>
              <w:tab/>
              <w:t>67</w:t>
            </w:r>
          </w:hyperlink>
        </w:p>
        <w:p>
          <w:pPr>
            <w:pStyle w:val="TOC2"/>
            <w:tabs>
              <w:tab w:val="clear" w:pos="9077"/>
              <w:tab w:val="right" w:pos="9359" w:leader="dot"/>
            </w:tabs>
            <w:rPr/>
          </w:pPr>
          <w:hyperlink w:anchor="__RefHeading___Toc9213_811569930">
            <w:r>
              <w:rPr>
                <w:webHidden/>
                <w:rStyle w:val="IndexLink"/>
              </w:rPr>
              <w:t>18.2 The rule: timings are runtime, geometry is build-time</w:t>
              <w:tab/>
              <w:t>67</w:t>
            </w:r>
          </w:hyperlink>
        </w:p>
        <w:p>
          <w:pPr>
            <w:pStyle w:val="TOC2"/>
            <w:tabs>
              <w:tab w:val="clear" w:pos="9077"/>
              <w:tab w:val="right" w:pos="9359" w:leader="dot"/>
            </w:tabs>
            <w:rPr/>
          </w:pPr>
          <w:hyperlink w:anchor="__RefHeading___Toc9215_811569930">
            <w:r>
              <w:rPr>
                <w:webHidden/>
                <w:rStyle w:val="IndexLink"/>
              </w:rPr>
              <w:t>18.3 New CSR groups</w:t>
              <w:tab/>
              <w:t>69</w:t>
            </w:r>
          </w:hyperlink>
        </w:p>
        <w:p>
          <w:pPr>
            <w:pStyle w:val="TOC2"/>
            <w:tabs>
              <w:tab w:val="clear" w:pos="9077"/>
              <w:tab w:val="right" w:pos="9359" w:leader="dot"/>
            </w:tabs>
            <w:rPr/>
          </w:pPr>
          <w:hyperlink w:anchor="__RefHeading___Toc9217_811569930">
            <w:r>
              <w:rPr>
                <w:webHidden/>
                <w:rStyle w:val="IndexLink"/>
              </w:rPr>
              <w:t>18.4 The duplication, recorded again</w:t>
              <w:tab/>
              <w:t>70</w:t>
            </w:r>
          </w:hyperlink>
        </w:p>
        <w:p>
          <w:pPr>
            <w:pStyle w:val="TOC1"/>
            <w:tabs>
              <w:tab w:val="clear" w:pos="9360"/>
              <w:tab w:val="right" w:pos="9359" w:leader="dot"/>
            </w:tabs>
            <w:rPr/>
          </w:pPr>
          <w:hyperlink w:anchor="__RefHeading___Toc9219_811569930">
            <w:r>
              <w:rPr>
                <w:webHidden/>
                <w:rStyle w:val="IndexLink"/>
              </w:rPr>
              <w:t>19 Verification Strategy, and the Open Questions</w:t>
              <w:tab/>
              <w:t>71</w:t>
            </w:r>
          </w:hyperlink>
        </w:p>
        <w:p>
          <w:pPr>
            <w:pStyle w:val="TOC2"/>
            <w:tabs>
              <w:tab w:val="clear" w:pos="9077"/>
              <w:tab w:val="right" w:pos="9359" w:leader="dot"/>
            </w:tabs>
            <w:rPr/>
          </w:pPr>
          <w:hyperlink w:anchor="__RefHeading___Toc9221_811569930">
            <w:r>
              <w:rPr>
                <w:webHidden/>
                <w:rStyle w:val="IndexLink"/>
              </w:rPr>
              <w:t>19.1 The target is the DFI boundary, in simulation only</w:t>
              <w:tab/>
              <w:t>71</w:t>
            </w:r>
          </w:hyperlink>
        </w:p>
        <w:p>
          <w:pPr>
            <w:pStyle w:val="TOC2"/>
            <w:tabs>
              <w:tab w:val="clear" w:pos="9077"/>
              <w:tab w:val="right" w:pos="9359" w:leader="dot"/>
            </w:tabs>
            <w:rPr/>
          </w:pPr>
          <w:hyperlink w:anchor="__RefHeading___Toc9223_811569930">
            <w:r>
              <w:rPr>
                <w:webHidden/>
                <w:rStyle w:val="IndexLink"/>
              </w:rPr>
              <w:t>19.2 The inherited-bring-tests argument</w:t>
              <w:tab/>
              <w:t>75</w:t>
            </w:r>
          </w:hyperlink>
        </w:p>
        <w:p>
          <w:pPr>
            <w:pStyle w:val="TOC2"/>
            <w:tabs>
              <w:tab w:val="clear" w:pos="9077"/>
              <w:tab w:val="right" w:pos="9359" w:leader="dot"/>
            </w:tabs>
            <w:rPr/>
          </w:pPr>
          <w:hyperlink w:anchor="__RefHeading___Toc9225_811569930">
            <w:r>
              <w:rPr>
                <w:webHidden/>
                <w:rStyle w:val="IndexLink"/>
              </w:rPr>
              <w:t>19.3 What must be verified, beyond the inherited suites</w:t>
              <w:tab/>
              <w:t>75</w:t>
            </w:r>
          </w:hyperlink>
        </w:p>
        <w:p>
          <w:pPr>
            <w:pStyle w:val="TOC2"/>
            <w:tabs>
              <w:tab w:val="clear" w:pos="9077"/>
              <w:tab w:val="right" w:pos="9359" w:leader="dot"/>
            </w:tabs>
            <w:rPr/>
          </w:pPr>
          <w:hyperlink w:anchor="__RefHeading___Toc9227_811569930">
            <w:r>
              <w:rPr>
                <w:webHidden/>
                <w:rStyle w:val="IndexLink"/>
              </w:rPr>
              <w:t>19.4 Status, 2026-10-04</w:t>
              <w:tab/>
              <w:t>76</w:t>
            </w:r>
          </w:hyperlink>
        </w:p>
        <w:p>
          <w:pPr>
            <w:pStyle w:val="TOC2"/>
            <w:tabs>
              <w:tab w:val="clear" w:pos="9077"/>
              <w:tab w:val="right" w:pos="9359" w:leader="dot"/>
            </w:tabs>
            <w:rPr/>
          </w:pPr>
          <w:hyperlink w:anchor="__RefHeading___Toc9229_811569930">
            <w:r>
              <w:rPr>
                <w:webHidden/>
                <w:rStyle w:val="IndexLink"/>
              </w:rPr>
              <w:t>19.5 Open questions</w:t>
              <w:tab/>
              <w:t>76</w:t>
            </w:r>
          </w:hyperlink>
        </w:p>
        <w:p>
          <w:pPr>
            <w:pStyle w:val="TOC2"/>
            <w:tabs>
              <w:tab w:val="clear" w:pos="9077"/>
              <w:tab w:val="right" w:pos="9359" w:leader="dot"/>
            </w:tabs>
            <w:rPr/>
          </w:pPr>
          <w:hyperlink w:anchor="__RefHeading___Toc9231_811569930">
            <w:r>
              <w:rPr>
                <w:webHidden/>
                <w:rStyle w:val="IndexLink"/>
              </w:rPr>
              <w:t>19.6 What would make this a 1.0</w:t>
              <w:tab/>
              <w:t>79</w:t>
            </w:r>
          </w:hyperlink>
          <w:r>
            <w:rPr>
              <w:rStyle w:val="IndexLink"/>
            </w:rPr>
            <w:fldChar w:fldCharType="end"/>
          </w:r>
        </w:p>
      </w:sdtContent>
    </w:sdt>
    <w:p>
      <w:pPr>
        <w:pStyle w:val="Normal"/>
        <w:rPr/>
      </w:pPr>
      <w:r>
        <w:rPr/>
      </w:r>
      <w:bookmarkStart w:id="0" w:name="andesite-has-index"/>
      <w:bookmarkStart w:id="1" w:name="andesite-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6_Table_1_3__The_long_">
        <w:r>
          <w:rPr>
            <w:rStyle w:val="ListLabel1"/>
            <w:color w:val="000000"/>
            <w:sz w:val="24"/>
          </w:rPr>
          <w:t>Table 6: Table 1.3: The long/short timing pairs bank groups introduce</w:t>
        </w:r>
        <w:r>
          <w:rPr>
            <w:rStyle w:val="ListLabel1"/>
          </w:rPr>
          <w:tab/>
        </w:r>
        <w:r>
          <w:rPr>
            <w:rStyle w:val="ListLabel1"/>
          </w:rPr>
          <w:fldChar w:fldCharType="begin"/>
        </w:r>
        <w:r>
          <w:rPr>
            <w:rStyle w:val="ListLabel1"/>
          </w:rPr>
          <w:instrText xml:space="preserve"> PAGEREF _Tab_6_Table_1_3__The_long_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 — every row in this table is MODIFIED, and the marking column says so rather than leaving it to the section heading</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Table_2_3__New_FUBs_">
        <w:r>
          <w:rPr>
            <w:rStyle w:val="ListLabel1"/>
            <w:color w:val="000000"/>
            <w:sz w:val="24"/>
          </w:rPr>
          <w:t>Table 9: Table 2.3: New FUBs — every row is NEW</w:t>
        </w:r>
        <w:r>
          <w:rPr>
            <w:rStyle w:val="ListLabel1"/>
          </w:rPr>
          <w:tab/>
        </w:r>
        <w:r>
          <w:rPr>
            <w:rStyle w:val="ListLabel1"/>
          </w:rPr>
          <w:fldChar w:fldCharType="begin"/>
        </w:r>
        <w:r>
          <w:rPr>
            <w:rStyle w:val="ListLabel1"/>
          </w:rPr>
          <w:instrText xml:space="preserve"> PAGEREF _Tab_9_Table_2_3__New_FUBs_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design point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Table_3_0__The_ten_d">
        <w:r>
          <w:rPr>
            <w:rStyle w:val="ListLabel1"/>
            <w:color w:val="000000"/>
            <w:sz w:val="24"/>
          </w:rPr>
          <w:t>Table 12: Table 3.0: The ten delta areas, verbatim from the bootstrap spec</w:t>
        </w:r>
        <w:r>
          <w:rPr>
            <w:rStyle w:val="ListLabel1"/>
          </w:rPr>
          <w:tab/>
        </w:r>
        <w:r>
          <w:rPr>
            <w:rStyle w:val="ListLabel1"/>
          </w:rPr>
          <w:fldChar w:fldCharType="begin"/>
        </w:r>
        <w:r>
          <w:rPr>
            <w:rStyle w:val="ListLabel1"/>
          </w:rPr>
          <w:instrText xml:space="preserve"> PAGEREF _Tab_12_Table_3_0__The_ten_d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Table_3_1__The_compl">
        <w:r>
          <w:rPr>
            <w:rStyle w:val="ListLabel1"/>
            <w:color w:val="000000"/>
            <w:sz w:val="24"/>
          </w:rPr>
          <w:t>Table 13: Table 3.1: The complete reuse table — every scoria module with its andesite marking</w:t>
        </w:r>
        <w:r>
          <w:rPr>
            <w:rStyle w:val="ListLabel1"/>
          </w:rPr>
          <w:tab/>
        </w:r>
        <w:r>
          <w:rPr>
            <w:rStyle w:val="ListLabel1"/>
          </w:rPr>
          <w:fldChar w:fldCharType="begin"/>
        </w:r>
        <w:r>
          <w:rPr>
            <w:rStyle w:val="ListLabel1"/>
          </w:rPr>
          <w:instrText xml:space="preserve"> PAGEREF _Tab_13_Table_3_1__The_compl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4_Table_3_2__The_defer">
        <w:r>
          <w:rPr>
            <w:rStyle w:val="ListLabel1"/>
            <w:color w:val="000000"/>
            <w:sz w:val="24"/>
          </w:rPr>
          <w:t>Table 14: Table 3.2: The deferred list</w:t>
        </w:r>
        <w:r>
          <w:rPr>
            <w:rStyle w:val="ListLabel1"/>
          </w:rPr>
          <w:tab/>
        </w:r>
        <w:r>
          <w:rPr>
            <w:rStyle w:val="ListLabel1"/>
          </w:rPr>
          <w:fldChar w:fldCharType="begin"/>
        </w:r>
        <w:r>
          <w:rPr>
            <w:rStyle w:val="ListLabel1"/>
          </w:rPr>
          <w:instrText xml:space="preserve"> PAGEREF _Tab_14_Table_3_2__The_defer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Table_3_3__DDR4_init">
        <w:r>
          <w:rPr>
            <w:rStyle w:val="ListLabel1"/>
            <w:color w:val="000000"/>
            <w:sz w:val="24"/>
          </w:rPr>
          <w:t>Table 15: Table 3.3: DDR4 initialization requirements, ordered per JESD79-4</w:t>
        </w:r>
        <w:r>
          <w:rPr>
            <w:rStyle w:val="ListLabel1"/>
          </w:rPr>
          <w:tab/>
        </w:r>
        <w:r>
          <w:rPr>
            <w:rStyle w:val="ListLabel1"/>
          </w:rPr>
          <w:fldChar w:fldCharType="begin"/>
        </w:r>
        <w:r>
          <w:rPr>
            <w:rStyle w:val="ListLabel1"/>
          </w:rPr>
          <w:instrText xml:space="preserve"> PAGEREF _Tab_15_Table_3_3__DDR4_init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Table_3_4__LPDDR4_in">
        <w:r>
          <w:rPr>
            <w:rStyle w:val="ListLabel1"/>
            <w:color w:val="000000"/>
            <w:sz w:val="24"/>
          </w:rPr>
          <w:t>Table 16: Table 3.4: LPDDR4 initialization requirements, ordered per JESD209-4</w:t>
        </w:r>
        <w:r>
          <w:rPr>
            <w:rStyle w:val="ListLabel1"/>
          </w:rPr>
          <w:tab/>
        </w:r>
        <w:r>
          <w:rPr>
            <w:rStyle w:val="ListLabel1"/>
          </w:rPr>
          <w:fldChar w:fldCharType="begin"/>
        </w:r>
        <w:r>
          <w:rPr>
            <w:rStyle w:val="ListLabel1"/>
          </w:rPr>
          <w:instrText xml:space="preserve"> PAGEREF _Tab_16_Table_3_4__LPDDR4_in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Table_3_5__rdlvl_ifc">
        <w:r>
          <w:rPr>
            <w:rStyle w:val="ListLabel1"/>
            <w:color w:val="000000"/>
            <w:sz w:val="24"/>
          </w:rPr>
          <w:t>Table 17: Table 3.5: rdlvl_ifc responsibilities</w:t>
        </w:r>
        <w:r>
          <w:rPr>
            <w:rStyle w:val="ListLabel1"/>
          </w:rPr>
          <w:tab/>
        </w:r>
        <w:r>
          <w:rPr>
            <w:rStyle w:val="ListLabel1"/>
          </w:rPr>
          <w:fldChar w:fldCharType="begin"/>
        </w:r>
        <w:r>
          <w:rPr>
            <w:rStyle w:val="ListLabel1"/>
          </w:rPr>
          <w:instrText xml:space="preserve"> PAGEREF _Tab_17_Table_3_5__rdlvl_ifc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Table_3_6__ca_train_">
        <w:r>
          <w:rPr>
            <w:rStyle w:val="ListLabel1"/>
            <w:color w:val="000000"/>
            <w:sz w:val="24"/>
          </w:rPr>
          <w:t>Table 18: Table 3.6: ca_train_ifc responsibilities</w:t>
        </w:r>
        <w:r>
          <w:rPr>
            <w:rStyle w:val="ListLabel1"/>
          </w:rPr>
          <w:tab/>
        </w:r>
        <w:r>
          <w:rPr>
            <w:rStyle w:val="ListLabel1"/>
          </w:rPr>
          <w:fldChar w:fldCharType="begin"/>
        </w:r>
        <w:r>
          <w:rPr>
            <w:rStyle w:val="ListLabel1"/>
          </w:rPr>
          <w:instrText xml:space="preserve"> PAGEREF _Tab_18_Table_3_6__ca_train_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Table_3_7__odt_ctrl_">
        <w:r>
          <w:rPr>
            <w:rStyle w:val="ListLabel1"/>
            <w:color w:val="000000"/>
            <w:sz w:val="24"/>
          </w:rPr>
          <w:t>Table 19: Table 3.7: odt_ctrl responsibilities</w:t>
        </w:r>
        <w:r>
          <w:rPr>
            <w:rStyle w:val="ListLabel1"/>
          </w:rPr>
          <w:tab/>
        </w:r>
        <w:r>
          <w:rPr>
            <w:rStyle w:val="ListLabel1"/>
          </w:rPr>
          <w:fldChar w:fldCharType="begin"/>
        </w:r>
        <w:r>
          <w:rPr>
            <w:rStyle w:val="ListLabel1"/>
          </w:rPr>
          <w:instrText xml:space="preserve"> PAGEREF _Tab_19_Table_3_7__odt_ctrl_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Table_4_1__The_3_1__">
        <w:r>
          <w:rPr>
            <w:rStyle w:val="ListLabel1"/>
            <w:color w:val="000000"/>
            <w:sz w:val="24"/>
          </w:rPr>
          <w:t>Table 20: Table 4.1: The 3.1 → 4.0 delta — what scoria left unimplemented is andesite’s work list</w:t>
        </w:r>
        <w:r>
          <w:rPr>
            <w:rStyle w:val="ListLabel1"/>
          </w:rPr>
          <w:tab/>
        </w:r>
        <w:r>
          <w:rPr>
            <w:rStyle w:val="ListLabel1"/>
          </w:rPr>
          <w:fldChar w:fldCharType="begin"/>
        </w:r>
        <w:r>
          <w:rPr>
            <w:rStyle w:val="ListLabel1"/>
          </w:rPr>
          <w:instrText xml:space="preserve"> PAGEREF _Tab_20_Table_4_1__The_3_1__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Table_4_2__Deliberat">
        <w:r>
          <w:rPr>
            <w:rStyle w:val="ListLabel1"/>
            <w:color w:val="000000"/>
            <w:sz w:val="24"/>
          </w:rPr>
          <w:t>Table 21: Table 4.2: Deliberately unimplemented at the 4.0 boundary</w:t>
        </w:r>
        <w:r>
          <w:rPr>
            <w:rStyle w:val="ListLabel1"/>
          </w:rPr>
          <w:tab/>
        </w:r>
        <w:r>
          <w:rPr>
            <w:rStyle w:val="ListLabel1"/>
          </w:rPr>
          <w:fldChar w:fldCharType="begin"/>
        </w:r>
        <w:r>
          <w:rPr>
            <w:rStyle w:val="ListLabel1"/>
          </w:rPr>
          <w:instrText xml:space="preserve"> PAGEREF _Tab_21_Table_4_2__Deliberat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2_Table_5_0__The_desig">
        <w:r>
          <w:rPr>
            <w:rStyle w:val="ListLabel1"/>
            <w:color w:val="000000"/>
            <w:sz w:val="24"/>
          </w:rPr>
          <w:t>Table 22: Table 5.0: The design-point geometry, byte-identical to Chapter 2.4</w:t>
        </w:r>
        <w:r>
          <w:rPr>
            <w:rStyle w:val="ListLabel1"/>
          </w:rPr>
          <w:tab/>
        </w:r>
        <w:r>
          <w:rPr>
            <w:rStyle w:val="ListLabel1"/>
          </w:rPr>
          <w:fldChar w:fldCharType="begin"/>
        </w:r>
        <w:r>
          <w:rPr>
            <w:rStyle w:val="ListLabel1"/>
          </w:rPr>
          <w:instrText xml:space="preserve"> PAGEREF _Tab_22_Table_5_0__The_desig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3_Table_5_1__Build_tim">
        <w:r>
          <w:rPr>
            <w:rStyle w:val="ListLabel1"/>
            <w:color w:val="000000"/>
            <w:sz w:val="24"/>
          </w:rPr>
          <w:t>Table 23: Table 5.1: Build-time versus runtime</w:t>
        </w:r>
        <w:r>
          <w:rPr>
            <w:rStyle w:val="ListLabel1"/>
          </w:rPr>
          <w:tab/>
        </w:r>
        <w:r>
          <w:rPr>
            <w:rStyle w:val="ListLabel1"/>
          </w:rPr>
          <w:fldChar w:fldCharType="begin"/>
        </w:r>
        <w:r>
          <w:rPr>
            <w:rStyle w:val="ListLabel1"/>
          </w:rPr>
          <w:instrText xml:space="preserve"> PAGEREF _Tab_23_Table_5_1__Build_tim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Table_5_2__New_CSR_g">
        <w:r>
          <w:rPr>
            <w:rStyle w:val="ListLabel1"/>
            <w:color w:val="000000"/>
            <w:sz w:val="24"/>
          </w:rPr>
          <w:t>Table 24: Table 5.2: New CSR groups</w:t>
        </w:r>
        <w:r>
          <w:rPr>
            <w:rStyle w:val="ListLabel1"/>
          </w:rPr>
          <w:tab/>
        </w:r>
        <w:r>
          <w:rPr>
            <w:rStyle w:val="ListLabel1"/>
          </w:rPr>
          <w:fldChar w:fldCharType="begin"/>
        </w:r>
        <w:r>
          <w:rPr>
            <w:rStyle w:val="ListLabel1"/>
          </w:rPr>
          <w:instrText xml:space="preserve"> PAGEREF _Tab_24_Table_5_2__New_CSR_g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5_Table_6_1__The_open_">
        <w:r>
          <w:rPr>
            <w:rStyle w:val="ListLabel1"/>
            <w:color w:val="000000"/>
            <w:sz w:val="24"/>
          </w:rPr>
          <w:t>Table 25: Table 6.1: The open questions, each with the condition that answers it</w:t>
        </w:r>
        <w:r>
          <w:rPr>
            <w:rStyle w:val="ListLabel1"/>
          </w:rPr>
          <w:tab/>
        </w:r>
        <w:r>
          <w:rPr>
            <w:rStyle w:val="ListLabel1"/>
          </w:rPr>
          <w:fldChar w:fldCharType="begin"/>
        </w:r>
        <w:r>
          <w:rPr>
            <w:rStyle w:val="ListLabel1"/>
          </w:rPr>
          <w:instrText xml:space="preserve"> PAGEREF _Tab_25_Table_6_1__The_open_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041_811569930"/>
      <w:bookmarkEnd w:id="2"/>
      <w:r>
        <w:rPr>
          <w:rStyle w:val="SectionNumber"/>
          <w:b/>
          <w:color w:val="FFFFFF"/>
          <w:sz w:val="32"/>
        </w:rPr>
        <w:t>1</w:t>
      </w:r>
      <w:r>
        <w:rPr>
          <w:b/>
          <w:color w:val="FFFFFF"/>
          <w:sz w:val="32"/>
        </w:rPr>
        <w:tab/>
        <w:t>Andesite Has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043_811569930"/>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Integration edition: the scheduler macro is rewired to the P1 init/policy interface and the training/DFI/AXI4 layer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 248 DV tests green at the DFI 4.0 boundary. Open questions remain in Chapter 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v4.0 boundary, for DDR4 and LPDDR4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DDR5 features DFI v4.x also carries</w:t>
            </w:r>
          </w:p>
        </w:tc>
      </w:tr>
    </w:tbl>
    <w:p>
      <w:pPr>
        <w:pStyle w:val="Heading2"/>
        <w:pBdr>
          <w:bottom w:val="single" w:sz="12" w:space="0" w:color="228B22"/>
        </w:pBdr>
        <w:spacing w:before="280" w:after="80"/>
        <w:rPr/>
      </w:pPr>
      <w:bookmarkStart w:id="7" w:name="__RefHeading___Toc9045_811569930"/>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scope decisions and settled filing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andesite is derived from; the reuse pool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delta-analysis method and D1-D3 decisions apply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and doctrine — owned by no single controller (see Table 0.1 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operator research storage </w:t>
            </w:r>
            <w:r>
              <w:rPr>
                <w:rStyle w:val="VerbatimChar"/>
                <w:rFonts w:eastAsia="Cambria" w:cs=""/>
                <w:kern w:val="0"/>
                <w:szCs w:val="24"/>
                <w:lang w:val="en-US" w:eastAsia="en-US" w:bidi="ar-SA"/>
              </w:rPr>
              <w:t>/mnt/data/github/dfi-specs/</w:t>
            </w:r>
            <w:r>
              <w:rPr>
                <w:rFonts w:eastAsia="Cambria" w:cs=""/>
                <w:kern w:val="0"/>
                <w:sz w:val="24"/>
                <w:szCs w:val="24"/>
                <w:lang w:val="en-US" w:eastAsia="en-US" w:bidi="ar-SA"/>
              </w:rPr>
              <w:t xml:space="preserve"> (on disk 2026-10-04); study completed 2026-10-04 as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PHY boundary; clause citations are real DFI 4.0 section numbers; remaining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suffixes mark unconfirmed claims</w:t>
            </w:r>
          </w:p>
        </w:tc>
      </w:tr>
    </w:tbl>
    <w:p>
      <w:pPr>
        <w:pStyle w:val="Heading2"/>
        <w:pBdr>
          <w:bottom w:val="single" w:sz="12" w:space="0" w:color="228B22"/>
        </w:pBdr>
        <w:spacing w:before="280" w:after="80"/>
        <w:rPr/>
      </w:pPr>
      <w:bookmarkStart w:id="9" w:name="__RefHeading___Toc9047_811569930"/>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scoria. </w:t>
      </w:r>
      <w:r>
        <w:rPr>
          <w:i/>
          <w:iCs/>
          <w:sz w:val="20"/>
        </w:rPr>
        <w:t>Inherited</w:t>
      </w:r>
      <w:r>
        <w:rPr>
          <w:sz w:val="20"/>
        </w:rPr>
        <w:t xml:space="preserve"> means the scoria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scoria counterpart exists.</w:t>
      </w:r>
    </w:p>
    <w:p>
      <w:pPr>
        <w:pStyle w:val="BodyText"/>
        <w:rPr/>
      </w:pPr>
      <w:r>
        <w:rPr>
          <w:b/>
          <w:bCs/>
          <w:sz w:val="20"/>
        </w:rPr>
        <w:t>nCK</w:t>
      </w:r>
      <w:r>
        <w:rPr>
          <w:sz w:val="20"/>
        </w:rPr>
        <w:t xml:space="preserve"> A DRAM clock cycle, the unit JESD79-4 states most command-spacing minimums in.</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BodyText"/>
        <w:rPr/>
      </w:pPr>
      <w:r>
        <w:rPr>
          <w:b/>
          <w:bCs/>
          <w:sz w:val="20"/>
        </w:rPr>
        <w:t>DFI 4.0 §TBC(TASK-005)</w:t>
      </w:r>
      <w:r>
        <w:rPr>
          <w:sz w:val="20"/>
        </w:rPr>
        <w:t xml:space="preserve"> Read “clause to be confirmed by andesite TASK-005 (DFI 4.0 spec acquisition and BFM study)”. The specification is now on disk and the study ran on 2026-10-04; remaining suffixes mark claims whose clause numbers could not be confirmed, not claims whose substance is unverified.</w:t>
      </w:r>
    </w:p>
    <w:p>
      <w:pPr>
        <w:pStyle w:val="Heading2"/>
        <w:pBdr>
          <w:bottom w:val="single" w:sz="12" w:space="0" w:color="228B22"/>
        </w:pBdr>
        <w:spacing w:before="280" w:after="80"/>
        <w:rPr/>
      </w:pPr>
      <w:bookmarkStart w:id="10" w:name="__RefHeading___Toc9049_811569930"/>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the scheduler macro and the three remaining layer assemblies land, and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exists. The macro is rewired to the P1 init/policy interface (DDR4-only init sequencer, honest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qualified on MRS/ZQCL accept,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exported as observability, dead </w:t>
            </w:r>
            <w:r>
              <w:rPr>
                <w:rStyle w:val="VerbatimChar"/>
                <w:rFonts w:eastAsia="Cambria" w:cs=""/>
                <w:kern w:val="0"/>
                <w:szCs w:val="24"/>
                <w:lang w:val="en-US" w:eastAsia="en-US" w:bidi="ar-SA"/>
              </w:rPr>
              <w:t>dfi_init_*</w:t>
            </w:r>
            <w:r>
              <w:rPr>
                <w:rFonts w:eastAsia="Cambria" w:cs=""/>
                <w:kern w:val="0"/>
                <w:sz w:val="24"/>
                <w:szCs w:val="24"/>
                <w:lang w:val="en-US" w:eastAsia="en-US" w:bidi="ar-SA"/>
              </w:rPr>
              <w:t xml:space="preserve"> handshake /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t_xpr_wait_i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retired);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routes the widened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command stream through the P1 formatter with the DDR4 A10 auto-precharge case-split; </w:t>
            </w:r>
            <w:r>
              <w:rPr>
                <w:rStyle w:val="VerbatimChar"/>
                <w:rFonts w:eastAsia="Cambria" w:cs=""/>
                <w:kern w:val="0"/>
                <w:szCs w:val="24"/>
                <w:lang w:val="en-US" w:eastAsia="en-US" w:bidi="ar-SA"/>
              </w:rPr>
              <w:t>andesite_training_layer</w:t>
            </w:r>
            <w:r>
              <w:rPr>
                <w:rFonts w:eastAsia="Cambria" w:cs=""/>
                <w:kern w:val="0"/>
                <w:sz w:val="24"/>
                <w:szCs w:val="24"/>
                <w:lang w:val="en-US" w:eastAsia="en-US" w:bidi="ar-SA"/>
              </w:rPr>
              <w:t xml:space="preserve"> assembles the carried wrlvl/rdlvl/ca_train interfaces with a maintenance command channel; </w:t>
            </w:r>
            <w:r>
              <w:rPr>
                <w:rStyle w:val="VerbatimChar"/>
                <w:rFonts w:eastAsia="Cambria" w:cs=""/>
                <w:kern w:val="0"/>
                <w:szCs w:val="24"/>
                <w:lang w:val="en-US" w:eastAsia="en-US" w:bidi="ar-SA"/>
              </w:rPr>
              <w:t>andesite_dfi_layer</w:t>
            </w:r>
            <w:r>
              <w:rPr>
                <w:rFonts w:eastAsia="Cambria" w:cs=""/>
                <w:kern w:val="0"/>
                <w:sz w:val="24"/>
                <w:szCs w:val="24"/>
                <w:lang w:val="en-US" w:eastAsia="en-US" w:bidi="ar-SA"/>
              </w:rPr>
              <w:t xml:space="preserve"> assembles the CDC + cmd_path + write serializer/read aligner with DBI packed through the write and return CDC FIFOs; </w:t>
            </w:r>
            <w:r>
              <w:rPr>
                <w:rStyle w:val="VerbatimChar"/>
                <w:rFonts w:eastAsia="Cambria" w:cs=""/>
                <w:kern w:val="0"/>
                <w:szCs w:val="24"/>
                <w:lang w:val="en-US" w:eastAsia="en-US" w:bidi="ar-SA"/>
              </w:rPr>
              <w:t>andesite_axi4_layer</w:t>
            </w:r>
            <w:r>
              <w:rPr>
                <w:rFonts w:eastAsia="Cambria" w:cs=""/>
                <w:kern w:val="0"/>
                <w:sz w:val="24"/>
                <w:szCs w:val="24"/>
                <w:lang w:val="en-US" w:eastAsia="en-US" w:bidi="ar-SA"/>
              </w:rPr>
              <w:t xml:space="preserve"> is born as the scoria rename-carry under a byte-parity gate and a logic-parity suite;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wires the four layers at the documented wiring table. RTL stands at 37 SystemVerilog files (31 fub, 4 layer, 1 top, package). Suites: fub 225, macro 19 (scheduler 10, training 6, DFI smoke 1, axi4 parity 1, init slice 1), core top 4 — 248 tests green; master Verilator lint (53 modules) and the filelist registry PASS. Two implementation findings belong to this history: the macro’s registered init request outlived its own accept cycle (every init command double-accepted) — fixed by gating combinationally on the accept cycle; and the A10 address bit was being dropped by a wrapper that narrowed the column to COL_WIDTH. DV-framework note in the 0.2 tradition: the external DFI BFM’s behavior dispatch now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wires unconditionally, so the P1 init-slice TB declares the legacy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name and the idle-tied handshake pins. LPDDR4 breadth remains doc-level by design (P1 init is DDR4-only; the CA submodule is the recorded TASK-008 follow-on).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from the 2026-10-03 bootstrap spec. Written before RTL, the way scoria’s 0.1 was: the delta analysis settles the markings, the design point, and the DFI 4.0 boundary; the MAS and the kmap book follow as separate books.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per spec §3: the modified/new tier is landed — FGR refresh (1x/2x/4x, reload-only), the L/S scheduler pair (bank-group-aware admission, LPDDR4 by degeneration), the LPDDR4 MPC ZQ submodule and CA/WDQ training interfaces (opcode images CSR-driven, encodings TBC per JESD209-4 — nothing invented), dynamic ODT policy per the MAS 08 fence, DBI on the DFI write-mask and read-data paths per the TASK-005 study (write CRC explicitly inert), and the TASK-006 CA-parity recovery FSM beside the init FSM. Inventory: 30 design files (14 carried-inherited rename-only incl. the dormant pair, 9 carried-modified, 4 new, 3 P1). Suites green across the tier; the HAS/MAS marking-pair gate is GREEN (23=23, markings copied not re-derived).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and the macro init integration ride the closing pass; </w:t>
            </w:r>
            <w:r>
              <w:rPr>
                <w:rStyle w:val="VerbatimChar"/>
                <w:rFonts w:eastAsia="Cambria" w:cs=""/>
                <w:kern w:val="0"/>
                <w:szCs w:val="24"/>
                <w:lang w:val="en-US" w:eastAsia="en-US" w:bidi="ar-SA"/>
              </w:rPr>
              <w:t>dfi_layer</w:t>
            </w:r>
            <w:r>
              <w:rPr>
                <w:rFonts w:eastAsia="Cambria" w:cs=""/>
                <w:kern w:val="0"/>
                <w:sz w:val="24"/>
                <w:szCs w:val="24"/>
                <w:lang w:val="en-US" w:eastAsia="en-US" w:bidi="ar-SA"/>
              </w:rPr>
              <w:t>/top are P4.</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carried per this chapter’s inheritance table: </w:t>
            </w:r>
            <w:r>
              <w:rPr>
                <w:rStyle w:val="VerbatimChar"/>
                <w:rFonts w:eastAsia="Cambria" w:cs=""/>
                <w:kern w:val="0"/>
                <w:szCs w:val="24"/>
                <w:lang w:val="en-US" w:eastAsia="en-US" w:bidi="ar-SA"/>
              </w:rPr>
              <w:t>bank_timer</w:t>
            </w:r>
            <w:r>
              <w:rPr>
                <w:rFonts w:eastAsia="Cambria" w:cs=""/>
                <w:kern w:val="0"/>
                <w:sz w:val="24"/>
                <w:szCs w:val="24"/>
                <w:lang w:val="en-US" w:eastAsia="en-US" w:bidi="ar-SA"/>
              </w:rPr>
              <w:t>/</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the read/write CAMs,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axi_burst_chopper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land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suites ported green (the checker grows the DDR4 long/short spacing set the MAS names — additive checks, mechanism untouched).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ride as the dormant pair, uninstantiated, waking condition unchanged.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re-sequence to the front of P3: they instantiate </w:t>
            </w:r>
            <w:r>
              <w:rPr>
                <w:rStyle w:val="VerbatimChar"/>
                <w:rFonts w:eastAsia="Cambria" w:cs=""/>
                <w:kern w:val="0"/>
                <w:szCs w:val="24"/>
                <w:lang w:val="en-US" w:eastAsia="en-US" w:bidi="ar-SA"/>
              </w:rPr>
              <w:t>addr_mapper</w:t>
            </w:r>
            <w:r>
              <w:rPr>
                <w:rFonts w:eastAsia="Cambria" w:cs=""/>
                <w:kern w:val="0"/>
                <w:sz w:val="24"/>
                <w:szCs w:val="24"/>
                <w:lang w:val="en-US" w:eastAsia="en-US" w:bidi="ar-SA"/>
              </w:rPr>
              <w:t>, a P3 block — dependency order over this book’s idealized list, recorded in the P2 gate.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landed per the RTL-bootstrap spec: </w:t>
            </w:r>
            <w:r>
              <w:rPr>
                <w:rStyle w:val="VerbatimChar"/>
                <w:rFonts w:eastAsia="Cambria" w:cs=""/>
                <w:kern w:val="0"/>
                <w:szCs w:val="24"/>
                <w:lang w:val="en-US" w:eastAsia="en-US" w:bidi="ar-SA"/>
              </w:rPr>
              <w:t>andesite_pkg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andesite_mode_register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andesite_init_sequencer</w:t>
            </w:r>
            <w:r>
              <w:rPr>
                <w:rFonts w:eastAsia="Cambria" w:cs=""/>
                <w:kern w:val="0"/>
                <w:sz w:val="24"/>
                <w:szCs w:val="24"/>
                <w:lang w:val="en-US" w:eastAsia="en-US" w:bidi="ar-SA"/>
              </w:rPr>
              <w:t xml:space="preserve"> exist with model-first DV. The init slice walks the DFI 4.0 BFM at DDR4-1600 (vendored jedec/ddr4-1600.csv timings) through JEDEC init with the anchored order proven at the pins and zero DRAM-state violations; gear-down entry exercised as a second configuration. The kmap book’s command-decode citations now point at the RTL lines, so the drift gate is live; per-command boolean SOP verdicts land with the P3 maps. First-consumer BFM gaps the slice exposed and the DV repo fixed: the v4.0 </w:t>
            </w:r>
            <w:r>
              <w:rPr>
                <w:rStyle w:val="VerbatimChar"/>
                <w:rFonts w:eastAsia="Cambria" w:cs=""/>
                <w:kern w:val="0"/>
                <w:szCs w:val="24"/>
                <w:lang w:val="en-US" w:eastAsia="en-US" w:bidi="ar-SA"/>
              </w:rPr>
              <w:t>cs</w:t>
            </w:r>
            <w:r>
              <w:rPr>
                <w:rFonts w:eastAsia="Cambria" w:cs=""/>
                <w:kern w:val="0"/>
                <w:sz w:val="24"/>
                <w:szCs w:val="24"/>
                <w:lang w:val="en-US" w:eastAsia="en-US" w:bidi="ar-SA"/>
              </w:rPr>
              <w:t xml:space="preserve"> rename in the receive path and wired roster, and presence-guarded optional wires. The MAS Table 2.2/2.2.2 port tables were reconciled with the landed interface (v4.0 names,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not stubs.</w:t>
            </w:r>
            <w:bookmarkStart w:id="12" w:name="revision-history"/>
            <w:bookmarkEnd w:id="12"/>
          </w:p>
        </w:tc>
      </w:tr>
    </w:tbl>
    <w:p>
      <w:pPr>
        <w:pStyle w:val="Heading2"/>
        <w:pBdr>
          <w:bottom w:val="single" w:sz="12" w:space="0" w:color="228B22"/>
        </w:pBdr>
        <w:spacing w:before="280" w:after="80"/>
        <w:rPr/>
      </w:pPr>
      <w:bookmarkStart w:id="13" w:name="__RefHeading___Toc9051_811569930"/>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scoria — read that figure and you know the size of this project. Chapter 3 is the heart: the ten areas DDR4 and LPDDR4 actually change, and the dormant and deferred lists. Chapter 4 is the DFI v4.0 boundary and what moved from v3.1. Chapter 5 is the package and parameters. Chapter 6 is how it is verified, and what separates this edition from a 1.0.</w:t>
      </w:r>
    </w:p>
    <w:p>
      <w:pPr>
        <w:pStyle w:val="BodyText"/>
        <w:rPr/>
      </w:pPr>
      <w:r>
        <w:rPr>
          <w:b/>
          <w:bCs/>
          <w:sz w:val="20"/>
        </w:rPr>
        <w:t>The caution this document carries by construction.</w:t>
      </w:r>
      <w:r>
        <w:rPr>
          <w:sz w:val="20"/>
        </w:rPr>
        <w:t xml:space="preserve"> v0.1 is written before the RTL, and a specification written first can be </w:t>
      </w:r>
      <w:r>
        <w:rPr>
          <w:i/>
          <w:iCs/>
          <w:sz w:val="20"/>
        </w:rPr>
        <w:t>unbuildable</w:t>
      </w:r>
      <w:r>
        <w:rPr>
          <w:sz w:val="20"/>
        </w:rPr>
        <w:t xml:space="preserve"> — that is the risk it carries. The evidentiary rule is the mitigation. The DFI 4.0 specification is now on disk and was studied on 2026-10-04 as andesite TASK-005; DFI 4.0 clause numbers in this edition are real citations, and the study corrections for v3.1 → v4.0 chip-select renames, the missing </w:t>
      </w:r>
      <w:r>
        <w:rPr>
          <w:rStyle w:val="VerbatimChar"/>
          <w:sz w:val="20"/>
        </w:rPr>
        <w:t>dfi_wrdata_dbi</w:t>
      </w:r>
      <w:r>
        <w:rPr>
          <w:sz w:val="20"/>
        </w:rPr>
        <w:t xml:space="preserve"> pin, and the </w:t>
      </w:r>
      <w:r>
        <w:rPr>
          <w:rStyle w:val="VerbatimChar"/>
          <w:sz w:val="20"/>
        </w:rPr>
        <w:t>dfi_init</w:t>
      </w:r>
      <w:r>
        <w:rPr>
          <w:sz w:val="20"/>
        </w:rPr>
        <w:t>/</w:t>
      </w:r>
      <w:r>
        <w:rPr>
          <w:rStyle w:val="VerbatimChar"/>
          <w:sz w:val="20"/>
        </w:rPr>
        <w:t>dfi_ca_capture</w:t>
      </w:r>
      <w:r>
        <w:rPr>
          <w:sz w:val="20"/>
        </w:rPr>
        <w:t xml:space="preserve"> mismatches are recorded in HAS ch04 and MAS ch03. Where implementation later corrects the specification, the correction belongs in this revision history, not dropped silently.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9053_811569930"/>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9055_811569930"/>
      <w:bookmarkStart w:id="18" w:name="purpose"/>
      <w:bookmarkEnd w:id="17"/>
      <w:r>
        <w:rPr>
          <w:rStyle w:val="SectionNumber"/>
          <w:b/>
          <w:color w:val="228B22"/>
          <w:sz w:val="28"/>
        </w:rPr>
        <w:t>3.1</w:t>
      </w:r>
      <w:r>
        <w:rPr>
          <w:b/>
          <w:color w:val="228B22"/>
          <w:sz w:val="28"/>
        </w:rPr>
        <w:tab/>
        <w:t>Purpose</w:t>
      </w:r>
    </w:p>
    <w:p>
      <w:pPr>
        <w:pStyle w:val="FirstParagraph"/>
        <w:rPr/>
      </w:pPr>
      <w:r>
        <w:rPr>
          <w:sz w:val="20"/>
        </w:rPr>
        <w:t>andesite is a unified, parameterized memory controller for DDR4 SDRAM and LPDDR4 SDRAM, presenting an AXI4 slave to the host and a DFI v4.0 master to the PHY. It is the third member of a family: pumice covers DDR2/LPDDR2 and is built, measured and running on hardware; scoria covers DDR3/LPDDR3 with RTL verified in simulation. andesite inherits from scoria the same way scoria inherited from pumice.</w:t>
      </w:r>
    </w:p>
    <w:p>
      <w:pPr>
        <w:pStyle w:val="BodyText"/>
        <w:rPr/>
      </w:pPr>
      <w:r>
        <w:rPr>
          <w:sz w:val="20"/>
        </w:rPr>
        <w:t xml:space="preserve">This document specifies andesite’s architecture. It is written to be </w:t>
      </w:r>
      <w:r>
        <w:rPr>
          <w:i/>
          <w:iCs/>
          <w:sz w:val="20"/>
        </w:rPr>
        <w:t>locked</w:t>
      </w:r>
      <w:r>
        <w:rPr>
          <w:sz w:val="20"/>
        </w:rPr>
        <w:t xml:space="preserve"> before RTL begins, so the implementation has a fixed target; the follow-on RTL bootstrap plan is authored against this document. Success, per the bootstrap spec, is that a reader can trace every block here block-by-block to scoria’s books, that the changed and new blocks are covered in depth by the MAS, and that the DRAM command and mode-register encodings are pinned by the generated kmap book.</w:t>
      </w:r>
      <w:bookmarkEnd w:id="18"/>
    </w:p>
    <w:p>
      <w:pPr>
        <w:pStyle w:val="Heading2"/>
        <w:pBdr>
          <w:bottom w:val="single" w:sz="12" w:space="0" w:color="228B22"/>
        </w:pBdr>
        <w:spacing w:before="280" w:after="80"/>
        <w:rPr/>
      </w:pPr>
      <w:bookmarkStart w:id="19" w:name="__RefHeading___Toc9057_811569930"/>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andesite is not a fresh design. scoria’s architecture — itself pumice’s, carried through board bring-up, a read-path rebuild, and a formal campaign that found two real bugs — is the starting point, and scoria’s 26-FUB inventory, books, CSR flow and verification apparatus are the immediate reuse pool. Re-deriving any of that would discard its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xml:space="preserve"> relative to scoria, and the marking carries an obligation:</w:t>
      </w:r>
    </w:p>
    <w:p>
      <w:pPr>
        <w:pStyle w:val="Compact"/>
        <w:numPr>
          <w:ilvl w:val="0"/>
          <w:numId w:val="1"/>
        </w:numPr>
        <w:rPr/>
      </w:pPr>
      <w:r>
        <w:rPr>
          <w:b/>
          <w:bCs/>
        </w:rPr>
        <w:t>INHERITED</w:t>
      </w:r>
      <w:r>
        <w:rPr/>
        <w:t xml:space="preserve"> means the scoria block is used unchanged, and its verification evidence transfers. If an inherited block changes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JESD79-4, JESD209-4 or DFI v4.0.</w:t>
      </w:r>
    </w:p>
    <w:p>
      <w:pPr>
        <w:pStyle w:val="Compact"/>
        <w:numPr>
          <w:ilvl w:val="0"/>
          <w:numId w:val="1"/>
        </w:numPr>
        <w:rPr/>
      </w:pPr>
      <w:r>
        <w:rPr>
          <w:b/>
          <w:bCs/>
        </w:rPr>
        <w:t>NEW</w:t>
      </w:r>
      <w:r>
        <w:rPr/>
        <w:t xml:space="preserve"> means no scoria counterpart. The new blocks are named in Chapter 2.3 and specified in the MAS.</w:t>
      </w:r>
      <w:bookmarkEnd w:id="20"/>
    </w:p>
    <w:p>
      <w:pPr>
        <w:pStyle w:val="Heading2"/>
        <w:pBdr>
          <w:bottom w:val="single" w:sz="12" w:space="0" w:color="228B22"/>
        </w:pBdr>
        <w:spacing w:before="280" w:after="80"/>
        <w:rPr/>
      </w:pPr>
      <w:bookmarkStart w:id="21" w:name="__RefHeading___Toc9059_811569930"/>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v4.0 master port: the front end, the scheduler, bank and global timing enforcement, refresh, mode registers and initialization, ZQ calibration, training, on-die-termination control, the data paths, and the CSR block. LPDDR4’s deltas are carried per-chapter, the same one-book-both-memtypes shape scoria uses.</w:t>
      </w:r>
      <w:bookmarkEnd w:id="23"/>
    </w:p>
    <w:p>
      <w:pPr>
        <w:pStyle w:val="Heading2"/>
        <w:pBdr>
          <w:bottom w:val="single" w:sz="12" w:space="0" w:color="228B22"/>
        </w:pBdr>
        <w:spacing w:before="280" w:after="80"/>
        <w:rPr/>
      </w:pPr>
      <w:bookmarkStart w:id="24" w:name="__RefHeading___Toc9061_811569930"/>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scoria,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Board bring-up.</w:t>
      </w:r>
      <w:r>
        <w:rPr>
          <w:sz w:val="20"/>
        </w:rPr>
        <w:t xml:space="preserve"> Verification is against a DFI v4.0 bus functional model in simulation, and that is the verification boundary. There is deliberately no board named: the 7-series targets this repo’s boards carry do not support DDR4, so a board target would be a promise this generation can’t keep.</w:t>
      </w:r>
    </w:p>
    <w:p>
      <w:pPr>
        <w:pStyle w:val="BodyText"/>
        <w:rPr/>
      </w:pPr>
      <w:r>
        <w:rPr>
          <w:b/>
          <w:bCs/>
          <w:sz w:val="20"/>
        </w:rPr>
        <w:t>The training searches.</w:t>
      </w:r>
      <w:r>
        <w:rPr>
          <w:sz w:val="20"/>
        </w:rPr>
        <w:t xml:space="preserve"> DDR4 adds read leveling alongside write leveling, and LPDDR4 adds CA and WDQ training. andesite provides the interfaces — the DFI handshakes, the MR paths, the timing windows, the telemetry — and the search algorithms run in firmware, exactly as scoria’s write-leveling search does (decision D2 there, carried here).</w:t>
      </w:r>
    </w:p>
    <w:p>
      <w:pPr>
        <w:pStyle w:val="BodyText"/>
        <w:rPr/>
      </w:pPr>
      <w:r>
        <w:rPr>
          <w:b/>
          <w:bCs/>
          <w:sz w:val="20"/>
        </w:rPr>
        <w:t>LPDDR4 DVFS and deep-sleep states.</w:t>
      </w:r>
      <w:r>
        <w:rPr>
          <w:sz w:val="20"/>
        </w:rPr>
        <w:t xml:space="preserve"> Named, deferred, and recorded in Chapter 6 with the condition that un-defers them.</w:t>
      </w:r>
    </w:p>
    <w:p>
      <w:pPr>
        <w:pStyle w:val="BodyText"/>
        <w:rPr/>
      </w:pPr>
      <w:r>
        <w:rPr>
          <w:b/>
          <w:bCs/>
          <w:sz w:val="20"/>
        </w:rPr>
        <w:t>The DDR5 half of DFI v4.x.</w:t>
      </w:r>
      <w:r>
        <w:rPr>
          <w:sz w:val="20"/>
        </w:rPr>
        <w:t xml:space="preserve"> Targeting v4.0 brings signals andesite has no use for — the DDR5-oriented pieces of the 4.x revision family. They are named in Chapter 4 so their absence is a decision on the record rather than an oversight, and they are out of scope the same way scoria’s DDR4/v3.1 surface was: named, then deliberately left unimplemented.</w:t>
      </w:r>
    </w:p>
    <w:p>
      <w:pPr>
        <w:pStyle w:val="BodyText"/>
        <w:rPr/>
      </w:pPr>
      <w:r>
        <w:rPr>
          <w:b/>
          <w:bCs/>
          <w:sz w:val="20"/>
        </w:rPr>
        <w:t>The PRD and the RTL.</w:t>
      </w:r>
      <w:r>
        <w:rPr>
          <w:sz w:val="20"/>
        </w:rPr>
        <w:t xml:space="preserve"> The PRD rewrite and the RTL bootstrap are follow-on work, tracked in the vault lane (</w:t>
      </w:r>
      <w:r>
        <w:rPr>
          <w:rStyle w:val="VerbatimChar"/>
          <w:sz w:val="20"/>
        </w:rPr>
        <w:t>vault/Tasks/andesite-ddr4-lpddr4/</w:t>
      </w:r>
      <w:r>
        <w:rPr>
          <w:sz w:val="20"/>
        </w:rPr>
        <w:t>). This book is the first of three: the MAS and the kmap book follow it, each owner-reviewed before the next starts.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9063_811569930"/>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9065_811569930"/>
      <w:bookmarkStart w:id="31" w:name="block-marking"/>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2" w:name="_Tab_4_Table_1_1__Block_mar"/>
      <w:r>
        <w:rPr/>
        <w:t>Table 1.1: Block markings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scoria counterpart</w:t>
            </w:r>
          </w:p>
        </w:tc>
      </w:tr>
    </w:tbl>
    <w:p>
      <w:pPr>
        <w:pStyle w:val="BodyText"/>
        <w:rPr/>
      </w:pPr>
      <w:bookmarkStart w:id="33" w:name="block-marking"/>
      <w:r>
        <w:rPr>
          <w:sz w:val="20"/>
        </w:rPr>
        <w:t>The marking is a property of the block, not of the chapter it appears in: the Chapter 2 table, the Chapter 3 prose, the Figure 2.1 colours, and the MAS inventory all carry the same marking for the same block, and a drift between those surfaces is a defect in this document.</w:t>
      </w:r>
      <w:bookmarkEnd w:id="33"/>
    </w:p>
    <w:p>
      <w:pPr>
        <w:pStyle w:val="Heading2"/>
        <w:pBdr>
          <w:bottom w:val="single" w:sz="12" w:space="0" w:color="228B22"/>
        </w:pBdr>
        <w:spacing w:before="280" w:after="80"/>
        <w:rPr/>
      </w:pPr>
      <w:bookmarkStart w:id="34" w:name="__RefHeading___Toc9067_811569930"/>
      <w:bookmarkStart w:id="35" w:name="what-this-book-does-not-restate"/>
      <w:bookmarkEnd w:id="34"/>
      <w:r>
        <w:rPr>
          <w:rStyle w:val="SectionNumber"/>
          <w:b/>
          <w:color w:val="228B22"/>
          <w:sz w:val="28"/>
        </w:rPr>
        <w:t>4.2</w:t>
      </w:r>
      <w:r>
        <w:rPr>
          <w:b/>
          <w:color w:val="228B22"/>
          <w:sz w:val="28"/>
        </w:rPr>
        <w:tab/>
        <w:t>What this book does not restate</w:t>
      </w:r>
    </w:p>
    <w:p>
      <w:pPr>
        <w:pStyle w:val="FirstParagraph"/>
        <w:rPr/>
      </w:pPr>
      <w:r>
        <w:rPr>
          <w:sz w:val="20"/>
        </w:rPr>
        <w:t xml:space="preserve">The family docs at </w:t>
      </w:r>
      <w:r>
        <w:rPr>
          <w:rStyle w:val="VerbatimChar"/>
          <w:sz w:val="20"/>
        </w:rPr>
        <w:t>../../../../docs/</w:t>
      </w:r>
      <w:r>
        <w:rPr>
          <w:sz w:val="20"/>
        </w:rPr>
        <w:t xml:space="preserve"> own the shared-core design and the family doctrine — the </w:t>
      </w:r>
      <w:r>
        <w:rPr>
          <w:rStyle w:val="VerbatimChar"/>
          <w:sz w:val="20"/>
        </w:rPr>
        <w:t>mem_ctrl_pkg</w:t>
      </w:r>
      <w:r>
        <w:rPr>
          <w:sz w:val="20"/>
        </w:rPr>
        <w:t xml:space="preserve"> design, the config-not-param rule, the maintenance request/grant discipline, the AXI4 host-side shape, and the evidentiary rule itself. This book references them and follows them; it does not restate them. Where this book and a family doc disagree, the family doc wins and this book is the defect.</w:t>
      </w:r>
      <w:bookmarkEnd w:id="35"/>
    </w:p>
    <w:p>
      <w:pPr>
        <w:pStyle w:val="Heading2"/>
        <w:pBdr>
          <w:bottom w:val="single" w:sz="12" w:space="0" w:color="228B22"/>
        </w:pBdr>
        <w:spacing w:before="280" w:after="80"/>
        <w:rPr/>
      </w:pPr>
      <w:bookmarkStart w:id="36" w:name="__RefHeading___Toc9069_811569930"/>
      <w:bookmarkStart w:id="37" w:name="signal-and-parameter-naming"/>
      <w:bookmarkEnd w:id="36"/>
      <w:r>
        <w:rPr>
          <w:rStyle w:val="SectionNumber"/>
          <w:b/>
          <w:color w:val="228B22"/>
          <w:sz w:val="28"/>
        </w:rPr>
        <w:t>4.3</w:t>
      </w:r>
      <w:r>
        <w:rPr>
          <w:b/>
          <w:color w:val="228B22"/>
          <w:sz w:val="28"/>
        </w:rPr>
        <w:tab/>
        <w:t>Signal and parameter naming</w:t>
      </w:r>
    </w:p>
    <w:p>
      <w:pPr>
        <w:pStyle w:val="FirstParagraph"/>
        <w:rPr/>
      </w:pPr>
      <w:r>
        <w:rPr>
          <w:sz w:val="20"/>
        </w:rPr>
        <w:t xml:space="preserve">Inherited from the scoria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6"/>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7"/>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bookmarkEnd w:id="37"/>
    </w:p>
    <w:p>
      <w:pPr>
        <w:pStyle w:val="Heading2"/>
        <w:pBdr>
          <w:bottom w:val="single" w:sz="12" w:space="0" w:color="228B22"/>
        </w:pBdr>
        <w:spacing w:before="280" w:after="80"/>
        <w:rPr/>
      </w:pPr>
      <w:bookmarkStart w:id="38" w:name="__RefHeading___Toc9071_811569930"/>
      <w:bookmarkStart w:id="39" w:name="timing-values"/>
      <w:bookmarkEnd w:id="38"/>
      <w:r>
        <w:rPr>
          <w:rStyle w:val="SectionNumber"/>
          <w:b/>
          <w:color w:val="228B22"/>
          <w:sz w:val="28"/>
        </w:rPr>
        <w:t>4.4</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through scoria and was learned there: a timing compiled in cannot be swept, and a controller whose timings cannot be swept cannot be characterized. andesite keeps it absolutely — geometry alone is build-time (Chapter 2.4).</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bookmarkEnd w:id="39"/>
    </w:p>
    <w:p>
      <w:pPr>
        <w:pStyle w:val="Heading2"/>
        <w:pBdr>
          <w:bottom w:val="single" w:sz="12" w:space="0" w:color="228B22"/>
        </w:pBdr>
        <w:spacing w:before="280" w:after="80"/>
        <w:rPr/>
      </w:pPr>
      <w:bookmarkStart w:id="40" w:name="__RefHeading___Toc9073_811569930"/>
      <w:bookmarkStart w:id="41" w:name="citations"/>
      <w:bookmarkEnd w:id="40"/>
      <w:r>
        <w:rPr>
          <w:rStyle w:val="SectionNumber"/>
          <w:b/>
          <w:color w:val="228B22"/>
          <w:sz w:val="28"/>
        </w:rPr>
        <w:t>4.5</w:t>
      </w:r>
      <w:r>
        <w:rPr>
          <w:b/>
          <w:color w:val="228B22"/>
          <w:sz w:val="28"/>
        </w:rPr>
        <w:tab/>
        <w:t>Citations</w:t>
      </w:r>
    </w:p>
    <w:p>
      <w:pPr>
        <w:pStyle w:val="FirstParagraph"/>
        <w:rPr/>
      </w:pPr>
      <w:r>
        <w:rPr>
          <w:sz w:val="20"/>
        </w:rPr>
        <w:t xml:space="preserve">A claim traceable to a standard is cited as JESD79-4 (DDR4), JESD209-4 (LPDDR4), or DFI v4.0 with a section number. Those PDFs are </w:t>
      </w:r>
      <w:r>
        <w:rPr>
          <w:b/>
          <w:bCs/>
          <w:sz w:val="20"/>
        </w:rPr>
        <w:t>not in the repository</w:t>
      </w:r>
      <w:r>
        <w:rPr>
          <w:sz w:val="20"/>
        </w:rPr>
        <w:t xml:space="preserve"> and must not be added to it — they are not redistributable, and the DFI 4.0 spec is additionally not on disk at all. Until andesite TASK-005 acquires and studies it, every DFI 4.0 clause citation is suffixed </w:t>
      </w:r>
      <w:r>
        <w:rPr>
          <w:rStyle w:val="VerbatimChar"/>
          <w:sz w:val="20"/>
        </w:rPr>
        <w:t>§TBC(TASK-005)</w:t>
      </w:r>
      <w:r>
        <w:rPr>
          <w:sz w:val="20"/>
        </w:rPr>
        <w:t>; the suffix is a promise to confirm, not a reference.</w:t>
      </w:r>
    </w:p>
    <w:p>
      <w:pPr>
        <w:pStyle w:val="BodyText"/>
        <w:rPr/>
      </w:pPr>
      <w:r>
        <w:rPr>
          <w:sz w:val="20"/>
        </w:rPr>
        <w:t>A claim inherited from scoria cites the scoria HAS or its design requirements, both of which are in the repository. A claim about the shared core or the family doctrine cites the family docs.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document-conventions"/>
      <w:bookmarkStart w:id="43" w:name="citation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9075_811569930"/>
      <w:bookmarkStart w:id="45" w:name="definitions-and-acronyms"/>
      <w:bookmarkEnd w:id="4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6" w:name="__RefHeading___Toc9077_811569930"/>
      <w:bookmarkStart w:id="47" w:name="interfaces"/>
      <w:bookmarkEnd w:id="46"/>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scoria unchanged, including the width-gearing converters that let the host bus width differ from the DRAM’s.</w:t>
      </w:r>
    </w:p>
    <w:p>
      <w:pPr>
        <w:pStyle w:val="BodyText"/>
        <w:rPr/>
      </w:pPr>
      <w:r>
        <w:rPr>
          <w:b/>
          <w:bCs/>
          <w:sz w:val="20"/>
        </w:rPr>
        <w:t>DFI</w:t>
      </w:r>
      <w:r>
        <w:rPr>
          <w:sz w:val="20"/>
        </w:rPr>
        <w:t xml:space="preserve"> DDR PHY Interface. andesite targets </w:t>
      </w:r>
      <w:r>
        <w:rPr>
          <w:b/>
          <w:bCs/>
          <w:sz w:val="20"/>
        </w:rPr>
        <w:t>v4.0</w:t>
      </w:r>
      <w:r>
        <w:rPr>
          <w:sz w:val="20"/>
        </w:rPr>
        <w:t xml:space="preserve"> — the DDR4-era revision that adds </w:t>
      </w:r>
      <w:r>
        <w:rPr>
          <w:rStyle w:val="VerbatimChar"/>
          <w:sz w:val="20"/>
        </w:rPr>
        <w:t>dfi_act_n</w:t>
      </w:r>
      <w:r>
        <w:rPr>
          <w:sz w:val="20"/>
        </w:rPr>
        <w:t xml:space="preserve">, the gear-down handshake, CA parity and </w:t>
      </w:r>
      <w:r>
        <w:rPr>
          <w:rStyle w:val="VerbatimChar"/>
          <w:sz w:val="20"/>
        </w:rPr>
        <w:t>dfi_alert_n</w:t>
      </w:r>
      <w:r>
        <w:rPr>
          <w:sz w:val="20"/>
        </w:rPr>
        <w:t xml:space="preserve">, and the DBI wires. Clause citations carry </w:t>
      </w:r>
      <w:r>
        <w:rPr>
          <w:rStyle w:val="VerbatimChar"/>
          <w:sz w:val="20"/>
        </w:rPr>
        <w:t>§TBC(TASK-005)</w:t>
      </w:r>
      <w:r>
        <w:rPr>
          <w:sz w:val="20"/>
        </w:rPr>
        <w:t xml:space="preserve"> until the spec is on disk.</w:t>
      </w:r>
    </w:p>
    <w:p>
      <w:pPr>
        <w:pStyle w:val="BodyText"/>
        <w:rPr/>
      </w:pPr>
      <w:r>
        <w:rPr>
          <w:b/>
          <w:bCs/>
          <w:sz w:val="20"/>
        </w:rPr>
        <w:t>APB</w:t>
      </w:r>
      <w:r>
        <w:rPr>
          <w:sz w:val="20"/>
        </w:rPr>
        <w:t xml:space="preserve"> The CSR access interface, through a PeakRDL-generated register block.</w:t>
      </w:r>
      <w:bookmarkEnd w:id="47"/>
    </w:p>
    <w:p>
      <w:pPr>
        <w:pStyle w:val="Heading2"/>
        <w:pBdr>
          <w:bottom w:val="single" w:sz="12" w:space="0" w:color="228B22"/>
        </w:pBdr>
        <w:spacing w:before="280" w:after="80"/>
        <w:rPr/>
      </w:pPr>
      <w:bookmarkStart w:id="48" w:name="__RefHeading___Toc9079_811569930"/>
      <w:bookmarkEnd w:id="48"/>
      <w:r>
        <w:rPr>
          <w:rStyle w:val="SectionNumber"/>
          <w:b/>
          <w:color w:val="228B22"/>
          <w:sz w:val="28"/>
        </w:rPr>
        <w:t>5.2</w:t>
      </w:r>
      <w:r>
        <w:rPr>
          <w:b/>
          <w:color w:val="228B22"/>
          <w:sz w:val="28"/>
        </w:rPr>
        <w:tab/>
        <w:t>DRAM commands this document refers to</w:t>
      </w:r>
    </w:p>
    <w:p>
      <w:pPr>
        <w:pStyle w:val="TableCaption"/>
        <w:rPr/>
      </w:pPr>
      <w:bookmarkStart w:id="49" w:name="_Tab_5_Table_1_2__Commands_"/>
      <w:r>
        <w:rPr/>
        <w:t>Table 1.2: Commands, and which are new to this family member</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scoria’s DDR3/LPDDR3?</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 encoding moves to the ACT_n/BG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precharge-all; DDR4 keeps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1x/2x/4x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selected in MR3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target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(DDR3), MR0-MR11 (LPDDR3)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MR0-MR6; LPDDR4: MR0-MR22 (used subset in 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 ZQ, training, and more over the CA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1/2-rate CA bus mode, entered after 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parity-aware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DDR4 CA parity; a parity error raises </w:t>
            </w:r>
            <w:r>
              <w:rPr>
                <w:rStyle w:val="VerbatimChar"/>
                <w:rFonts w:eastAsia="Cambria" w:cs=""/>
                <w:kern w:val="0"/>
                <w:szCs w:val="24"/>
                <w:lang w:val="en-US" w:eastAsia="en-US" w:bidi="ar-SA"/>
              </w:rPr>
              <w:t>alert_n</w:t>
            </w:r>
            <w:bookmarkStart w:id="50" w:name="dram-commands-this-document-refers-to"/>
            <w:bookmarkEnd w:id="50"/>
          </w:p>
        </w:tc>
      </w:tr>
    </w:tbl>
    <w:p>
      <w:pPr>
        <w:pStyle w:val="Heading2"/>
        <w:pBdr>
          <w:bottom w:val="single" w:sz="12" w:space="0" w:color="228B22"/>
        </w:pBdr>
        <w:spacing w:before="280" w:after="80"/>
        <w:rPr/>
      </w:pPr>
      <w:bookmarkStart w:id="51" w:name="__RefHeading___Toc9081_811569930"/>
      <w:bookmarkEnd w:id="51"/>
      <w:r>
        <w:rPr>
          <w:rStyle w:val="SectionNumber"/>
          <w:b/>
          <w:color w:val="228B22"/>
          <w:sz w:val="28"/>
        </w:rPr>
        <w:t>5.3</w:t>
      </w:r>
      <w:r>
        <w:rPr>
          <w:b/>
          <w:color w:val="228B22"/>
          <w:sz w:val="28"/>
        </w:rPr>
        <w:tab/>
        <w:t>Terms new to andesite</w:t>
      </w:r>
    </w:p>
    <w:p>
      <w:pPr>
        <w:pStyle w:val="FirstParagraph"/>
        <w:rPr/>
      </w:pPr>
      <w:r>
        <w:rPr>
          <w:b/>
          <w:bCs/>
          <w:sz w:val="20"/>
        </w:rPr>
        <w:t>Bank group</w:t>
      </w:r>
      <w:r>
        <w:rPr>
          <w:sz w:val="20"/>
        </w:rPr>
        <w:t xml:space="preserve"> DDR4’s partition of its 16 banks into 4 bank groups of 4 banks. Bank groups exist to relax same-bank timing constraints: back-to-back commands to different bank groups of the same bank number observe the short constraints, and same-group observe the long ones. LPDDR4 has no bank groups — its 8 banks per channel stand alone.</w:t>
      </w:r>
    </w:p>
    <w:p>
      <w:pPr>
        <w:pStyle w:val="TableCaption"/>
        <w:rPr/>
      </w:pPr>
      <w:bookmarkStart w:id="52" w:name="_Tab_6_Table_1_3__The_long_"/>
      <w:r>
        <w:rPr/>
        <w:t>Table 1.3: The long/short timing pairs bank groups introduce</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tCCD_S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delay: long, within one bank group; short, across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tRRD_S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delay, same split: long within a bank group, short across</w:t>
            </w:r>
          </w:p>
        </w:tc>
      </w:tr>
    </w:tbl>
    <w:p>
      <w:pPr>
        <w:pStyle w:val="BodyText"/>
        <w:rPr/>
      </w:pPr>
      <w:r>
        <w:rPr>
          <w:sz w:val="20"/>
        </w:rPr>
        <w:t>Both pairs are runtime CSRs, like every other timing.</w:t>
      </w:r>
    </w:p>
    <w:p>
      <w:pPr>
        <w:pStyle w:val="BodyText"/>
        <w:rPr/>
      </w:pPr>
      <w:r>
        <w:rPr>
          <w:b/>
          <w:bCs/>
          <w:sz w:val="20"/>
        </w:rPr>
        <w:t>Fine-Granularity Refresh (FGR)</w:t>
      </w:r>
      <w:r>
        <w:rPr>
          <w:sz w:val="20"/>
        </w:rPr>
        <w:t xml:space="preserve"> DDR4’s choice of refresh density, 1x/2x/4x, selected in MR3 (JESD79-4). 1x is scoria’s inherited all-bank refresh; 2x and 4x trade more frequent, shorter refresh bursts against the tREFI budget. andesite’s </w:t>
      </w:r>
      <w:r>
        <w:rPr>
          <w:rStyle w:val="VerbatimChar"/>
          <w:sz w:val="20"/>
        </w:rPr>
        <w:t>refresh_ctrl</w:t>
      </w:r>
      <w:r>
        <w:rPr>
          <w:sz w:val="20"/>
        </w:rPr>
        <w:t xml:space="preserve"> is MODIFIED to carry the selection; scoria’s landed TASK-001 modes (elastic refresh, TCR, ZQCS placement) remain the policy base.</w:t>
      </w:r>
    </w:p>
    <w:p>
      <w:pPr>
        <w:pStyle w:val="BodyText"/>
        <w:rPr/>
      </w:pPr>
      <w:r>
        <w:rPr>
          <w:b/>
          <w:bCs/>
          <w:sz w:val="20"/>
        </w:rPr>
        <w:t>Gear-down</w:t>
      </w:r>
      <w:r>
        <w:rPr>
          <w:sz w:val="20"/>
        </w:rPr>
        <w:t xml:space="preserve"> DDR4’s 1/2-rate command/address bus mode. The controller inits at full rate, programs MR3, then switches; DFI v4.0 defines the controller/PHY handshake for the switch </w:t>
      </w:r>
      <w:r>
        <w:rPr>
          <w:rStyle w:val="VerbatimChar"/>
          <w:sz w:val="20"/>
        </w:rPr>
        <w:t>§TBC(TASK-005)</w:t>
      </w:r>
      <w:r>
        <w:rPr>
          <w:sz w:val="20"/>
        </w:rPr>
        <w:t>.</w:t>
      </w:r>
    </w:p>
    <w:p>
      <w:pPr>
        <w:pStyle w:val="BodyText"/>
        <w:rPr/>
      </w:pPr>
      <w:r>
        <w:rPr>
          <w:b/>
          <w:bCs/>
          <w:sz w:val="20"/>
        </w:rPr>
        <w:t>CA parity</w:t>
      </w:r>
      <w:r>
        <w:rPr>
          <w:sz w:val="20"/>
        </w:rPr>
        <w:t xml:space="preserve"> DDR4 command/address parity. The controller counts commands and generates the parity bit; the DRAM checks it and signals errors back on </w:t>
      </w:r>
      <w:r>
        <w:rPr>
          <w:rStyle w:val="VerbatimChar"/>
          <w:sz w:val="20"/>
        </w:rPr>
        <w:t>dfi_alert_n</w:t>
      </w:r>
      <w:r>
        <w:rPr>
          <w:sz w:val="20"/>
        </w:rPr>
        <w:t>. How much of the parity machinery lands in hardware versus firmware is an open question (Chapter 6).</w:t>
      </w:r>
    </w:p>
    <w:p>
      <w:pPr>
        <w:pStyle w:val="BodyText"/>
        <w:rPr/>
      </w:pPr>
      <w:r>
        <w:rPr>
          <w:b/>
          <w:bCs/>
          <w:sz w:val="20"/>
        </w:rPr>
        <w:t>DBI (Data Bus Inversion)</w:t>
      </w:r>
      <w:r>
        <w:rPr>
          <w:sz w:val="20"/>
        </w:rPr>
        <w:t xml:space="preserve"> Per-byte inversion of the data bus to limit switching. DDR4 puts read DBI in MR5 with write DBI alongside; DFI v4.0 carries </w:t>
      </w:r>
      <w:r>
        <w:rPr>
          <w:rStyle w:val="VerbatimChar"/>
          <w:sz w:val="20"/>
        </w:rPr>
        <w:t>dfi_dbi_*</w:t>
      </w:r>
      <w:r>
        <w:rPr>
          <w:sz w:val="20"/>
        </w:rPr>
        <w:t xml:space="preserve"> wires </w:t>
      </w:r>
      <w:r>
        <w:rPr>
          <w:rStyle w:val="VerbatimChar"/>
          <w:sz w:val="20"/>
        </w:rPr>
        <w:t>§TBC(TASK-005)</w:t>
      </w:r>
      <w:r>
        <w:rPr>
          <w:sz w:val="20"/>
        </w:rPr>
        <w:t>. The DFI datapath block is MODIFIED to pass DBI through.</w:t>
      </w:r>
    </w:p>
    <w:p>
      <w:pPr>
        <w:pStyle w:val="BodyText"/>
        <w:rPr/>
      </w:pPr>
      <w:r>
        <w:rPr>
          <w:b/>
          <w:bCs/>
          <w:sz w:val="20"/>
        </w:rPr>
        <w:t>MPC (Multipurpose Command)</w:t>
      </w:r>
      <w:r>
        <w:rPr>
          <w:sz w:val="20"/>
        </w:rPr>
        <w:t xml:space="preserve"> LPDDR4’s single command opcode that carries what DDR4 spreads across several: ZQ calibration, training steps, and feature mode entry, all addressed over the 6-bit CA bus (JESD209-4). andesite’s </w:t>
      </w:r>
      <w:r>
        <w:rPr>
          <w:rStyle w:val="VerbatimChar"/>
          <w:sz w:val="20"/>
        </w:rPr>
        <w:t>zq_ctrl</w:t>
      </w:r>
      <w:r>
        <w:rPr>
          <w:sz w:val="20"/>
        </w:rPr>
        <w:t xml:space="preserve"> grows a NEW MPC path for it.</w:t>
      </w:r>
    </w:p>
    <w:p>
      <w:pPr>
        <w:pStyle w:val="BodyText"/>
        <w:rPr/>
      </w:pPr>
      <w:r>
        <w:rPr>
          <w:b/>
          <w:bCs/>
          <w:sz w:val="20"/>
        </w:rPr>
        <w:t>Controller-directed refresh (LPDDR4)</w:t>
      </w:r>
      <w:r>
        <w:rPr>
          <w:sz w:val="20"/>
        </w:rPr>
        <w:t xml:space="preserve"> LPDDR4’s per-bank refresh is directed by the controller — the controller names the bank, unlike DDR4’s FGR where the DRAM refreshes what it chooses inside the all-bank command. scoria already handles per-bank refresh for LPDDR3; the LPDDR4 delta is that per-bank becomes the commodity default, not the option.</w:t>
      </w:r>
    </w:p>
    <w:p>
      <w:pPr>
        <w:pStyle w:val="Heading2"/>
        <w:pBdr>
          <w:bottom w:val="single" w:sz="12" w:space="0" w:color="228B22"/>
        </w:pBdr>
        <w:spacing w:before="280" w:after="80"/>
        <w:rPr/>
      </w:pPr>
      <w:bookmarkStart w:id="53" w:name="__RefHeading___Toc9083_811569930"/>
      <w:bookmarkStart w:id="54" w:name="terms-used-with-a-specific-meaning-here"/>
      <w:bookmarkEnd w:id="53"/>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 The family doctrine binds how it arbitrates: request/grant, and it never preempts demand traffic.</w:t>
      </w:r>
    </w:p>
    <w:p>
      <w:pPr>
        <w:pStyle w:val="BodyText"/>
        <w:rPr/>
      </w:pPr>
      <w:r>
        <w:rPr>
          <w:b/>
          <w:bCs/>
          <w:sz w:val="20"/>
        </w:rPr>
        <w:t>Demand traffic</w:t>
      </w:r>
      <w:r>
        <w:rPr>
          <w:sz w:val="20"/>
        </w:rPr>
        <w:t xml:space="preserve"> Reads and writes originating from the AXI4 port.</w:t>
      </w:r>
    </w:p>
    <w:p>
      <w:pPr>
        <w:pStyle w:val="BodyText"/>
        <w:rPr/>
      </w:pPr>
      <w:r>
        <w:rPr>
          <w:b/>
          <w:bCs/>
          <w:sz w:val="20"/>
        </w:rPr>
        <w:t>Firmware-driven</w:t>
      </w:r>
      <w:r>
        <w:rPr>
          <w:sz w:val="20"/>
        </w:rPr>
        <w:t xml:space="preserve"> Performed by software over the CSR interface rather than by a hardware state machine. scoria’s write-leveling search is firmware-driven; andesite’s read leveling and LPDDR4 CA/WDQ training follow it, per the D2 precedent.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definitions-and-acronyms"/>
      <w:bookmarkStart w:id="56" w:name="terms-used-with-a-specific-meaning-her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9085_811569930"/>
      <w:bookmarkStart w:id="58" w:name="scope-and-goals"/>
      <w:bookmarkEnd w:id="57"/>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9" w:name="__RefHeading___Toc9087_811569930"/>
      <w:bookmarkStart w:id="60" w:name="what-andesite-is"/>
      <w:bookmarkEnd w:id="59"/>
      <w:r>
        <w:rPr>
          <w:rStyle w:val="SectionNumber"/>
          <w:b/>
          <w:color w:val="228B22"/>
          <w:sz w:val="28"/>
        </w:rPr>
        <w:t>6.1</w:t>
      </w:r>
      <w:r>
        <w:rPr>
          <w:b/>
          <w:color w:val="228B22"/>
          <w:sz w:val="28"/>
        </w:rPr>
        <w:tab/>
        <w:t>What andesite is</w:t>
      </w:r>
    </w:p>
    <w:p>
      <w:pPr>
        <w:pStyle w:val="FirstParagraph"/>
        <w:rPr/>
      </w:pPr>
      <w:bookmarkStart w:id="61" w:name="what-andesite-is"/>
      <w:r>
        <w:rPr>
          <w:sz w:val="20"/>
        </w:rPr>
        <w:t>A memory controller presenting an AXI4 slave to the host and a DFI v4.0 master to the PHY, supporting DDR4 SDRAM and LPDDR4 SDRAM from one parameterized design. It is the third member of a family: pumice covers DDR2/LPDDR2 and is built, measured and running on hardware; scoria covers DDR3/LPDDR3 with RTL verified in simulation (221 tests, 9 formal blocks at last measure). andesite inherits from scoria the same way scoria inherited from pumice.</w:t>
      </w:r>
      <w:bookmarkEnd w:id="61"/>
    </w:p>
    <w:p>
      <w:pPr>
        <w:pStyle w:val="Heading2"/>
        <w:pBdr>
          <w:bottom w:val="single" w:sz="12" w:space="0" w:color="228B22"/>
        </w:pBdr>
        <w:spacing w:before="280" w:after="80"/>
        <w:rPr/>
      </w:pPr>
      <w:bookmarkStart w:id="62" w:name="__RefHeading___Toc9089_811569930"/>
      <w:bookmarkStart w:id="63" w:name="goals"/>
      <w:bookmarkEnd w:id="62"/>
      <w:r>
        <w:rPr>
          <w:rStyle w:val="SectionNumber"/>
          <w:b/>
          <w:color w:val="228B22"/>
          <w:sz w:val="28"/>
        </w:rPr>
        <w:t>6.2</w:t>
      </w:r>
      <w:r>
        <w:rPr>
          <w:b/>
          <w:color w:val="228B22"/>
          <w:sz w:val="28"/>
        </w:rPr>
        <w:tab/>
        <w:t>Goals</w:t>
      </w:r>
    </w:p>
    <w:p>
      <w:pPr>
        <w:pStyle w:val="Compact"/>
        <w:numPr>
          <w:ilvl w:val="0"/>
          <w:numId w:val="18"/>
        </w:numPr>
        <w:rPr/>
      </w:pPr>
      <w:r>
        <w:rPr>
          <w:b/>
          <w:bCs/>
        </w:rPr>
        <w:t>Reuse the scoria architecture, and its evidence with it.</w:t>
      </w:r>
      <w:r>
        <w:rPr/>
        <w:t xml:space="preserve"> The front end, scheduler, timing enforcement and data paths are inherited. Reuse here is not laziness; those blocks carry simulation verification and formal proofs that a rewrite would discard.</w:t>
      </w:r>
    </w:p>
    <w:p>
      <w:pPr>
        <w:pStyle w:val="Compact"/>
        <w:numPr>
          <w:ilvl w:val="0"/>
          <w:numId w:val="3"/>
        </w:numPr>
        <w:rPr/>
      </w:pPr>
      <w:r>
        <w:rPr>
          <w:b/>
          <w:bCs/>
        </w:rPr>
        <w:t>Change only what the standards force.</w:t>
      </w:r>
      <w:r>
        <w:rPr/>
        <w:t xml:space="preserve"> Ten areas change, and the modified set is thirteen blocks, not a rewrite.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every training </w:t>
      </w:r>
      <w:r>
        <w:rPr>
          <w:i/>
          <w:iCs/>
        </w:rPr>
        <w:t>search</w:t>
      </w:r>
      <w:r>
        <w:rPr/>
        <w:t>, which DDR4 and LPDDR4 make tempting and decision D2’s precedent rules out.</w:t>
      </w:r>
    </w:p>
    <w:p>
      <w:pPr>
        <w:pStyle w:val="Compact"/>
        <w:numPr>
          <w:ilvl w:val="0"/>
          <w:numId w:val="3"/>
        </w:numPr>
        <w:rPr/>
      </w:pPr>
      <w:r>
        <w:rPr>
          <w:b/>
          <w:bCs/>
        </w:rPr>
        <w:t>Every enforced timing a runtime CSR.</w:t>
      </w:r>
      <w:r>
        <w:rPr/>
        <w:t xml:space="preserve"> Geometry alone is build-time (Chapter 2.4); everything that varies — including the long/short timing pairs that DDR4’s bank-group structure introduces — is a runtime register. Inherited from the family doctrine, and the precondition for characterization.</w:t>
      </w:r>
    </w:p>
    <w:p>
      <w:pPr>
        <w:pStyle w:val="Compact"/>
        <w:numPr>
          <w:ilvl w:val="0"/>
          <w:numId w:val="3"/>
        </w:numPr>
        <w:rPr/>
      </w:pPr>
      <w:r>
        <w:rPr>
          <w:b/>
          <w:bCs/>
        </w:rPr>
        <w:t>Verifiable before hardware.</w:t>
      </w:r>
      <w:r>
        <w:rPr/>
        <w:t xml:space="preserve"> The target is a DFI v4.0 bus functional model in simulation. No board is named, because the 7-series targets this repo’s boards carry do not support DDR4; naming one would promise what this generation can’t keep.</w:t>
      </w:r>
      <w:bookmarkEnd w:id="63"/>
    </w:p>
    <w:p>
      <w:pPr>
        <w:pStyle w:val="Heading2"/>
        <w:pBdr>
          <w:bottom w:val="single" w:sz="12" w:space="0" w:color="228B22"/>
        </w:pBdr>
        <w:spacing w:before="280" w:after="80"/>
        <w:rPr/>
      </w:pPr>
      <w:bookmarkStart w:id="64" w:name="__RefHeading___Toc9091_811569930"/>
      <w:bookmarkStart w:id="65" w:name="non-goals"/>
      <w:bookmarkEnd w:id="64"/>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DDR4 speeds.</w:t>
      </w:r>
      <w:r>
        <w:rPr>
          <w:sz w:val="20"/>
        </w:rPr>
        <w:t xml:space="preserve"> andesite’s design point is architectural clarity and measurability, the same posture scoria took. No throughput target is set in this edition.</w:t>
      </w:r>
    </w:p>
    <w:p>
      <w:pPr>
        <w:pStyle w:val="BodyText"/>
        <w:rPr/>
      </w:pPr>
      <w:r>
        <w:rPr>
          <w:b/>
          <w:bCs/>
          <w:sz w:val="20"/>
        </w:rPr>
        <w:t>The DDR5 surface of DFI v4.x.</w:t>
      </w:r>
      <w:r>
        <w:rPr>
          <w:sz w:val="20"/>
        </w:rPr>
        <w:t xml:space="preserve"> The 4.x revision family carries DDR5 features andesite has no use for. They are named in Chapter 4 so their absence is a decision on the record, then left unimplemented, as scoria left v3.1’s DDR4 surface.</w:t>
      </w:r>
    </w:p>
    <w:p>
      <w:pPr>
        <w:pStyle w:val="BodyText"/>
        <w:rPr/>
      </w:pPr>
      <w:r>
        <w:rPr>
          <w:b/>
          <w:bCs/>
          <w:sz w:val="20"/>
        </w:rPr>
        <w:t>Write CRC.</w:t>
      </w:r>
      <w:r>
        <w:rPr>
          <w:sz w:val="20"/>
        </w:rPr>
        <w:t xml:space="preserve"> DDR4 defines it; this edition excludes it with a named unblock condition (Chapter 3.5). It is a datapath addition, not an architecture change.</w:t>
      </w:r>
    </w:p>
    <w:p>
      <w:pPr>
        <w:pStyle w:val="BodyText"/>
        <w:rPr/>
      </w:pPr>
      <w:r>
        <w:rPr>
          <w:b/>
          <w:bCs/>
          <w:sz w:val="20"/>
        </w:rPr>
        <w:t>LPDDR4 DVFS and deep-sleep states.</w:t>
      </w:r>
      <w:r>
        <w:rPr>
          <w:sz w:val="20"/>
        </w:rPr>
        <w:t xml:space="preserve"> Named and deferred with the condition recorded in Chapter 6.</w:t>
      </w:r>
    </w:p>
    <w:p>
      <w:pPr>
        <w:pStyle w:val="BodyText"/>
        <w:rPr/>
      </w:pPr>
      <w:r>
        <w:rPr>
          <w:b/>
          <w:bCs/>
          <w:sz w:val="20"/>
        </w:rPr>
        <w:t>Multi-rank beyond scoria’s parameterization.</w:t>
      </w:r>
      <w:r>
        <w:rPr>
          <w:sz w:val="20"/>
        </w:rPr>
        <w:t xml:space="preserve"> </w:t>
      </w:r>
      <w:r>
        <w:rPr>
          <w:rStyle w:val="VerbatimChar"/>
          <w:sz w:val="20"/>
        </w:rPr>
        <w:t>NUM_RANKS</w:t>
      </w:r>
      <w:r>
        <w:rPr>
          <w:sz w:val="20"/>
        </w:rPr>
        <w:t xml:space="preserve"> is inherited; the practical limit is the board, not the controller.</w:t>
      </w:r>
      <w:bookmarkEnd w:id="65"/>
    </w:p>
    <w:p>
      <w:pPr>
        <w:pStyle w:val="Heading2"/>
        <w:pBdr>
          <w:bottom w:val="single" w:sz="12" w:space="0" w:color="228B22"/>
        </w:pBdr>
        <w:spacing w:before="280" w:after="80"/>
        <w:rPr/>
      </w:pPr>
      <w:bookmarkStart w:id="66" w:name="__RefHeading___Toc9093_811569930"/>
      <w:bookmarkStart w:id="67" w:name="Xd3e34b6707a560e57ad2903e3f2e7e41fd9405c"/>
      <w:bookmarkEnd w:id="66"/>
      <w:r>
        <w:rPr>
          <w:rStyle w:val="SectionNumber"/>
          <w:b/>
          <w:color w:val="228B22"/>
          <w:sz w:val="28"/>
        </w:rPr>
        <w:t>6.4</w:t>
      </w:r>
      <w:r>
        <w:rPr>
          <w:b/>
          <w:color w:val="228B22"/>
          <w:sz w:val="28"/>
        </w:rPr>
        <w:tab/>
        <w:t>What makes DDR4/LPDDR4 easier than it looks</w:t>
      </w:r>
    </w:p>
    <w:p>
      <w:pPr>
        <w:pStyle w:val="FirstParagraph"/>
        <w:rPr/>
      </w:pPr>
      <w:r>
        <w:rPr>
          <w:sz w:val="20"/>
        </w:rPr>
        <w:t>Three things reduce the work, and stating them keeps the project from being over-scoped:</w:t>
      </w:r>
    </w:p>
    <w:p>
      <w:pPr>
        <w:pStyle w:val="Compact"/>
        <w:numPr>
          <w:ilvl w:val="0"/>
          <w:numId w:val="19"/>
        </w:numPr>
        <w:rPr/>
      </w:pPr>
      <w:r>
        <w:rPr>
          <w:b/>
          <w:bCs/>
        </w:rPr>
        <w:t>LPDDR4 is not a protocol break from LPDDR3.</w:t>
      </w:r>
      <w:r>
        <w:rPr/>
        <w:t xml:space="preserve"> It stays a per-bank-refresh, CA-bus family; the deltas are the 6-bit DDR CA bus, MPC, and training — not a new command philosophy. scoria already handles per-bank refresh for LPDDR3; LPDDR4 makes that the commodity default.</w:t>
      </w:r>
    </w:p>
    <w:p>
      <w:pPr>
        <w:pStyle w:val="Compact"/>
        <w:numPr>
          <w:ilvl w:val="0"/>
          <w:numId w:val="20"/>
        </w:numPr>
        <w:rPr/>
      </w:pPr>
      <w:r>
        <w:rPr>
          <w:b/>
          <w:bCs/>
        </w:rPr>
        <w:t>scoria was written expecting this.</w:t>
      </w:r>
      <w:r>
        <w:rPr/>
        <w:t xml:space="preserve"> Its package note names the shared </w:t>
      </w:r>
      <w:r>
        <w:rPr>
          <w:rStyle w:val="VerbatimChar"/>
        </w:rPr>
        <w:t>mem_ctrl_pkg</w:t>
      </w:r>
      <w:r>
        <w:rPr/>
        <w:t xml:space="preserve"> migration as the DDR4/LPDDR4 controller’s job (family doc 01), and its refresh policy base (elastic refresh, TCR, ZQCS placement — scoria TASK-001’s landed Modes A/B/C) is exactly what FGR wants to sit on.</w:t>
      </w:r>
    </w:p>
    <w:p>
      <w:pPr>
        <w:pStyle w:val="Compact"/>
        <w:numPr>
          <w:ilvl w:val="0"/>
          <w:numId w:val="21"/>
        </w:numPr>
        <w:rPr/>
      </w:pPr>
      <w:r>
        <w:rPr>
          <w:b/>
          <w:bCs/>
        </w:rPr>
        <w:t>Bank groups are a scheduling change, not a datapath change.</w:t>
      </w:r>
      <w:r>
        <w:rPr/>
        <w:t xml:space="preserve"> They add a decode dimension and long/short timing pairs; the data paths don’t care.</w:t>
      </w:r>
      <w:bookmarkEnd w:id="67"/>
    </w:p>
    <w:p>
      <w:pPr>
        <w:pStyle w:val="Heading2"/>
        <w:pBdr>
          <w:bottom w:val="single" w:sz="12" w:space="0" w:color="228B22"/>
        </w:pBdr>
        <w:spacing w:before="280" w:after="80"/>
        <w:rPr/>
      </w:pPr>
      <w:bookmarkStart w:id="68" w:name="__RefHeading___Toc9095_811569930"/>
      <w:bookmarkStart w:id="69" w:name="what-is-genuinely-harder"/>
      <w:bookmarkEnd w:id="68"/>
      <w:r>
        <w:rPr>
          <w:rStyle w:val="SectionNumber"/>
          <w:b/>
          <w:color w:val="228B22"/>
          <w:sz w:val="28"/>
        </w:rPr>
        <w:t>6.5</w:t>
      </w:r>
      <w:r>
        <w:rPr>
          <w:b/>
          <w:color w:val="228B22"/>
          <w:sz w:val="28"/>
        </w:rPr>
        <w:tab/>
        <w:t>What is genuinely harder</w:t>
      </w:r>
    </w:p>
    <w:p>
      <w:pPr>
        <w:pStyle w:val="Compact"/>
        <w:numPr>
          <w:ilvl w:val="0"/>
          <w:numId w:val="22"/>
        </w:numPr>
        <w:rPr/>
      </w:pPr>
      <w:r>
        <w:rPr>
          <w:b/>
          <w:bCs/>
        </w:rPr>
        <w:t>Bank-group scheduling.</w:t>
      </w:r>
      <w:r>
        <w:rPr/>
        <w:t xml:space="preserve"> tCCD_L/S and tRRD_L/S make the arbiter and the global timers aware of which bank group a command targets — the one structural change DDR4 forces on the scheduler.</w:t>
      </w:r>
    </w:p>
    <w:p>
      <w:pPr>
        <w:pStyle w:val="Compact"/>
        <w:numPr>
          <w:ilvl w:val="0"/>
          <w:numId w:val="23"/>
        </w:numPr>
        <w:rPr/>
      </w:pPr>
      <w:r>
        <w:rPr>
          <w:b/>
          <w:bCs/>
        </w:rPr>
        <w:t>Dynamic ODT.</w:t>
      </w:r>
      <w:r>
        <w:rPr/>
        <w:t xml:space="preserve"> RTT_NOM/WR/PARK and the ODT latencies are new machinery with a new block (</w:t>
      </w:r>
      <w:r>
        <w:rPr>
          <w:rStyle w:val="VerbatimChar"/>
        </w:rPr>
        <w:t>odt_ctrl</w:t>
      </w:r>
      <w:r>
        <w:rPr/>
        <w:t>), and scoria’s static handling is insufficient.</w:t>
      </w:r>
    </w:p>
    <w:p>
      <w:pPr>
        <w:pStyle w:val="Compact"/>
        <w:numPr>
          <w:ilvl w:val="0"/>
          <w:numId w:val="24"/>
        </w:numPr>
        <w:rPr/>
      </w:pPr>
      <w:r>
        <w:rPr>
          <w:b/>
          <w:bCs/>
        </w:rPr>
        <w:t>Read leveling and LPDDR4 CA training.</w:t>
      </w:r>
      <w:r>
        <w:rPr/>
        <w:t xml:space="preserve"> New interfaces spanning controller, DRAM mode registers and PHY — the write-leveling lesson a generation later.</w:t>
      </w:r>
    </w:p>
    <w:p>
      <w:pPr>
        <w:pStyle w:val="Compact"/>
        <w:numPr>
          <w:ilvl w:val="0"/>
          <w:numId w:val="25"/>
        </w:numPr>
        <w:rPr/>
      </w:pPr>
      <w:r>
        <w:rPr>
          <w:b/>
          <w:bCs/>
        </w:rPr>
        <w:t>The init sequence.</w:t>
      </w:r>
      <w:r>
        <w:rPr/>
        <w:t xml:space="preserve"> Reset procedure, MR0-MR6, gear-down entry and parity enable in one ordered sequence; pumice’s init-order correction (an EMRS3-first sequence, benign but wrong) is the precedent for treating the order as JEDEC’s, not ours.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scope-and-goals"/>
      <w:bookmarkStart w:id="71" w:name="what-is-genuinely-harde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9097_811569930"/>
      <w:bookmarkStart w:id="73" w:name="block-diagram"/>
      <w:bookmarkEnd w:id="72"/>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4" w:name="__RefHeading___Toc9099_811569930"/>
      <w:bookmarkStart w:id="75" w:name="X7ff6a21efe9f2e46cb4bb91a39b5081ae1e360c"/>
      <w:bookmarkEnd w:id="74"/>
      <w:r>
        <w:rPr>
          <w:rStyle w:val="SectionNumber"/>
          <w:b/>
          <w:color w:val="228B22"/>
          <w:sz w:val="28"/>
        </w:rPr>
        <w:t>7.1</w:t>
      </w:r>
      <w:r>
        <w:rPr>
          <w:b/>
          <w:color w:val="228B22"/>
          <w:sz w:val="28"/>
        </w:rPr>
        <w:tab/>
        <w:t>The whole controller, marked against scoria</w:t>
      </w:r>
    </w:p>
    <w:p>
      <w:pPr>
        <w:pStyle w:val="FirstParagraph"/>
        <w:rPr/>
      </w:pPr>
      <w:r>
        <w:rPr>
          <w:sz w:val="20"/>
        </w:rPr>
        <w:t>Read this figure first. The colour of each block tells you the size of this project: green blocks are scoria’s, used as-is; amber blocks change in named, bounded ways; red blocks are new. One grey block is carried dormant — present in the RTL, unexercised at this design point, with the waking condition named in Chapter 3.1.</w:t>
      </w:r>
    </w:p>
    <w:p>
      <w:pPr>
        <w:pStyle w:val="DefinitionTerm"/>
        <w:rPr/>
      </w:pPr>
      <w:r>
        <w:rPr/>
        <w:drawing>
          <wp:inline distT="0" distB="0" distL="0" distR="0">
            <wp:extent cx="5334000" cy="3408680"/>
            <wp:effectExtent l="0" t="0" r="0" b="0"/>
            <wp:docPr id="13" name="Picture" descr=".1: andesite block diagram, with inheritance m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1: andesite block diagram, with inheritance marking"/>
                    <pic:cNvPicPr>
                      <a:picLocks noChangeAspect="1" noChangeArrowheads="1"/>
                    </pic:cNvPicPr>
                  </pic:nvPicPr>
                  <pic:blipFill>
                    <a:blip r:embed="rId2"/>
                    <a:stretch>
                      <a:fillRect/>
                    </a:stretch>
                  </pic:blipFill>
                  <pic:spPr bwMode="auto">
                    <a:xfrm>
                      <a:off x="0" y="0"/>
                      <a:ext cx="5334000" cy="3408680"/>
                    </a:xfrm>
                    <a:prstGeom prst="rect">
                      <a:avLst/>
                    </a:prstGeom>
                  </pic:spPr>
                </pic:pic>
              </a:graphicData>
            </a:graphic>
          </wp:inline>
        </w:drawing>
      </w:r>
    </w:p>
    <w:p>
      <w:pPr>
        <w:pStyle w:val="Definition"/>
        <w:rPr/>
      </w:pPr>
      <w:r>
        <w:rPr/>
        <w:t>Figure 2.1: andesite DDR4/LPDDR4, inherited (green), modified (amber), new (red), dormant (grey)</w:t>
      </w:r>
    </w:p>
    <w:p>
      <w:pPr>
        <w:pStyle w:val="FirstParagraph"/>
        <w:rPr/>
      </w:pPr>
      <w:r>
        <w:rPr>
          <w:b/>
          <w:bCs/>
          <w:sz w:val="20"/>
        </w:rPr>
        <w:t>Source:</w:t>
      </w:r>
      <w:r>
        <w:rPr>
          <w:sz w:val="20"/>
        </w:rPr>
        <w:t xml:space="preserve"> </w:t>
      </w:r>
      <w:hyperlink r:id="rId3">
        <w:r>
          <w:rPr>
            <w:rStyle w:val="Hyperlink"/>
          </w:rPr>
          <w:t>01_block_diagram.mmd</w:t>
        </w:r>
      </w:hyperlink>
      <w:r>
        <w:rPr>
          <w:sz w:val="20"/>
        </w:rPr>
        <w:t xml:space="preserve"> — the fence above and the </w:t>
      </w:r>
      <w:r>
        <w:rPr>
          <w:rStyle w:val="VerbatimChar"/>
          <w:sz w:val="20"/>
        </w:rPr>
        <w:t>.mmd</w:t>
      </w:r>
      <w:r>
        <w:rPr>
          <w:sz w:val="20"/>
        </w:rPr>
        <w:t xml:space="preserve"> file carry the same source; the doc pipeline renders it to PNG at build time. The layout is split into host, scheduler, maintenance, init and training, and DFI subgraphs rather than drawn wide.</w:t>
      </w:r>
      <w:bookmarkEnd w:id="75"/>
    </w:p>
    <w:p>
      <w:pPr>
        <w:pStyle w:val="Heading2"/>
        <w:pBdr>
          <w:bottom w:val="single" w:sz="12" w:space="0" w:color="228B22"/>
        </w:pBdr>
        <w:spacing w:before="280" w:after="80"/>
        <w:rPr/>
      </w:pPr>
      <w:bookmarkStart w:id="76" w:name="__RefHeading___Toc9101_811569930"/>
      <w:bookmarkStart w:id="77" w:name="reading-the-figure"/>
      <w:bookmarkEnd w:id="76"/>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read and write intakes, the write-data CAM’s front side, the burst chopper, the FSM-free split/aggregate — is untouched by the move to DDR4. Nothing about DDR4 or LPDDR4 reaches the host side.</w:t>
      </w:r>
    </w:p>
    <w:p>
      <w:pPr>
        <w:pStyle w:val="BodyText"/>
        <w:rPr/>
      </w:pPr>
      <w:r>
        <w:rPr>
          <w:b/>
          <w:bCs/>
          <w:sz w:val="20"/>
        </w:rPr>
        <w:t>The scheduler is green in structure, amber at the edges.</w:t>
      </w:r>
      <w:r>
        <w:rPr>
          <w:sz w:val="20"/>
        </w:rPr>
        <w:t xml:space="preserve"> The FR-FCFS arbiter mechanism, the per-(rank,bank) bank timers and the page policy are inherited. What turns amber is bank-group awareness: the address mapper grows the BG decode, the arbiter and the global timers learn the long/short pairs, and the scheduler keeps admitting maintenance traffic the way scoria’s does — request/grant, never preempt (family doctrine 2).</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scoria’s </w:t>
      </w:r>
      <w:r>
        <w:rPr>
          <w:rStyle w:val="VerbatimChar"/>
          <w:sz w:val="20"/>
        </w:rPr>
        <w:t>global_timers</w:t>
      </w:r>
      <w:r>
        <w:rPr>
          <w:sz w:val="20"/>
        </w:rPr>
        <w:t xml:space="preserve"> inherited pumice’s next-state-function fix (pumice ISSUE-018: readiness flags published one cycle late, which permitted tCCD and tRTW violations). andesite inherits the fixed form the same way; a fresh implementation of the same block from the same description would reintroduce the bug.</w:t>
      </w:r>
    </w:p>
    <w:p>
      <w:pPr>
        <w:pStyle w:val="BodyText"/>
        <w:rPr/>
      </w:pPr>
      <w:r>
        <w:rPr>
          <w:b/>
          <w:bCs/>
          <w:sz w:val="20"/>
        </w:rPr>
        <w:t>The amber maintenance block is refresh, for FGR.</w:t>
      </w:r>
      <w:r>
        <w:rPr>
          <w:sz w:val="20"/>
        </w:rPr>
        <w:t xml:space="preserve"> </w:t>
      </w:r>
      <w:r>
        <w:rPr>
          <w:rStyle w:val="VerbatimChar"/>
          <w:sz w:val="20"/>
        </w:rPr>
        <w:t>refresh_ctrl</w:t>
      </w:r>
      <w:r>
        <w:rPr>
          <w:sz w:val="20"/>
        </w:rPr>
        <w:t xml:space="preserve"> turns amber because DDR4’s fine-granularity refresh (1x/2x/4x, selected in MR3) adds a density dimension on top of the mechanism scoria landed with TASK-001 (elastic refresh, TCR, ZQCS placement — the policy base andesite keeps, Ch 3.4). </w:t>
      </w:r>
      <w:r>
        <w:rPr>
          <w:rStyle w:val="VerbatimChar"/>
          <w:sz w:val="20"/>
        </w:rPr>
        <w:t>zq_ctrl</w:t>
      </w:r>
      <w:r>
        <w:rPr>
          <w:sz w:val="20"/>
        </w:rPr>
        <w:t xml:space="preserve"> stays green for DDR4 — DDR4 keeps </w:t>
      </w:r>
      <w:r>
        <w:rPr>
          <w:rStyle w:val="VerbatimChar"/>
          <w:sz w:val="20"/>
        </w:rPr>
        <w:t>ZQCS</w:t>
      </w:r>
      <w:r>
        <w:rPr>
          <w:sz w:val="20"/>
        </w:rPr>
        <w:t>/</w:t>
      </w:r>
      <w:r>
        <w:rPr>
          <w:rStyle w:val="VerbatimChar"/>
          <w:sz w:val="20"/>
        </w:rPr>
        <w:t>ZQCL</w:t>
      </w:r>
      <w:r>
        <w:rPr>
          <w:sz w:val="20"/>
        </w:rPr>
        <w:t xml:space="preserve"> exactly as scoria issues them — with a red submodule for LPDDR4, whose calibration rides the MPC command.</w:t>
      </w:r>
    </w:p>
    <w:p>
      <w:pPr>
        <w:pStyle w:val="BodyText"/>
        <w:rPr/>
      </w:pPr>
      <w:r>
        <w:rPr>
          <w:b/>
          <w:bCs/>
          <w:sz w:val="20"/>
        </w:rPr>
        <w:t>The red blocks are three, and all three are bounded.</w:t>
      </w:r>
      <w:r>
        <w:rPr>
          <w:sz w:val="20"/>
        </w:rPr>
        <w:t xml:space="preserve"> </w:t>
      </w:r>
      <w:r>
        <w:rPr>
          <w:rStyle w:val="VerbatimChar"/>
          <w:sz w:val="20"/>
        </w:rPr>
        <w:t>odt_ctrl</w:t>
      </w:r>
      <w:r>
        <w:rPr>
          <w:sz w:val="20"/>
        </w:rPr>
        <w:t xml:space="preserve"> is new because dynamic ODT has no scoria counterpart. </w:t>
      </w:r>
      <w:r>
        <w:rPr>
          <w:rStyle w:val="VerbatimChar"/>
          <w:sz w:val="20"/>
        </w:rPr>
        <w:t>rdlvl_ifc</w:t>
      </w:r>
      <w:r>
        <w:rPr>
          <w:sz w:val="20"/>
        </w:rPr>
        <w:t xml:space="preserve"> and </w:t>
      </w:r>
      <w:r>
        <w:rPr>
          <w:rStyle w:val="VerbatimChar"/>
          <w:sz w:val="20"/>
        </w:rPr>
        <w:t>ca_train_ifc</w:t>
      </w:r>
      <w:r>
        <w:rPr>
          <w:sz w:val="20"/>
        </w:rPr>
        <w:t xml:space="preserve"> are new because read leveling and LPDDR4 CA/WDQ training have none. All three are interfaces with telemetry; none contains a search loop.</w:t>
      </w:r>
    </w:p>
    <w:p>
      <w:pPr>
        <w:pStyle w:val="BodyText"/>
        <w:rPr/>
      </w:pPr>
      <w:r>
        <w:rPr>
          <w:b/>
          <w:bCs/>
          <w:sz w:val="20"/>
        </w:rPr>
        <w:t xml:space="preserve">The grey block is </w:t>
      </w:r>
      <w:r>
        <w:rPr>
          <w:rStyle w:val="VerbatimChar"/>
          <w:b/>
          <w:bCs/>
          <w:sz w:val="20"/>
        </w:rPr>
        <w:t>dfi_signal_pack</w:t>
      </w:r>
      <w:r>
        <w:rPr>
          <w:b/>
          <w:bCs/>
          <w:sz w:val="20"/>
        </w:rPr>
        <w:t>, carried dormant.</w:t>
      </w:r>
      <w:r>
        <w:rPr>
          <w:sz w:val="20"/>
        </w:rPr>
        <w:t xml:space="preserve"> The pack stage stays a registered pipeline; its DFI 4.0 frequency-ratio variants go unexercised at this design point. The waking conditions for it and </w:t>
      </w:r>
      <w:r>
        <w:rPr>
          <w:rStyle w:val="VerbatimChar"/>
          <w:sz w:val="20"/>
        </w:rPr>
        <w:t>powerdown_ctrl</w:t>
      </w:r>
      <w:r>
        <w:rPr>
          <w:sz w:val="20"/>
        </w:rPr>
        <w:t xml:space="preserve"> are named in Chapter 3.1.</w:t>
      </w:r>
      <w:bookmarkEnd w:id="77"/>
    </w:p>
    <w:p>
      <w:pPr>
        <w:pStyle w:val="Heading2"/>
        <w:pBdr>
          <w:bottom w:val="single" w:sz="12" w:space="0" w:color="228B22"/>
        </w:pBdr>
        <w:spacing w:before="280" w:after="80"/>
        <w:rPr/>
      </w:pPr>
      <w:bookmarkStart w:id="78" w:name="__RefHeading___Toc9103_811569930"/>
      <w:bookmarkStart w:id="79" w:name="what-the-figure-deliberately-omits"/>
      <w:bookmarkEnd w:id="78"/>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Any training-search state machine, because the searches live in firmware per the D2 precedent. The DDR5-oriented signals of DFI v4.x, because andesite does not implement them. Each absence is named somewhere in this book so it reads as a decision rather than an oversight.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block-diagram"/>
      <w:bookmarkStart w:id="81" w:name="what-the-figure-deliberately-omit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9105_811569930"/>
      <w:bookmarkStart w:id="83" w:name="module-hierarchy"/>
      <w:bookmarkEnd w:id="82"/>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4" w:name="__RefHeading___Toc9107_811569930"/>
      <w:bookmarkEnd w:id="84"/>
      <w:r>
        <w:rPr>
          <w:rStyle w:val="SectionNumber"/>
          <w:b/>
          <w:color w:val="228B22"/>
          <w:sz w:val="28"/>
        </w:rPr>
        <w:t>8.1</w:t>
      </w:r>
      <w:r>
        <w:rPr>
          <w:b/>
          <w:color w:val="228B22"/>
          <w:sz w:val="28"/>
        </w:rPr>
        <w:tab/>
        <w:t>Planned hierarchy</w:t>
      </w:r>
    </w:p>
    <w:p>
      <w:pPr>
        <w:pStyle w:val="FirstParagraph"/>
        <w:rPr/>
      </w:pPr>
      <w:r>
        <w:rPr>
          <w:sz w:val="20"/>
        </w:rPr>
        <w:t xml:space="preserve">andesite mirrors scoria’s three-tier shape — FUBs under macros under a top — with the </w:t>
      </w:r>
      <w:r>
        <w:rPr>
          <w:rStyle w:val="VerbatimChar"/>
          <w:sz w:val="20"/>
        </w:rPr>
        <w:t>andesite_</w:t>
      </w:r>
      <w:r>
        <w:rPr>
          <w:sz w:val="20"/>
        </w:rPr>
        <w:t xml:space="preserve"> prefix replacing </w:t>
      </w:r>
      <w:r>
        <w:rPr>
          <w:rStyle w:val="VerbatimChar"/>
          <w:sz w:val="20"/>
        </w:rPr>
        <w:t>scoria_</w:t>
      </w:r>
      <w:r>
        <w:rPr>
          <w:sz w:val="20"/>
        </w:rPr>
        <w:t>. The tables below are the planned module list with its marking; they are a specification, and the RTL is expected to match them or this document to be corrected. The accounting counts scoria’s FUB files as they exist on disk — 26 of them — and the markings sum to that number.</w:t>
      </w:r>
    </w:p>
    <w:p>
      <w:pPr>
        <w:pStyle w:val="Heading3"/>
        <w:spacing w:before="200" w:after="80"/>
        <w:rPr/>
      </w:pPr>
      <w:bookmarkStart w:id="85" w:name="__RefHeading___Toc9109_811569930"/>
      <w:bookmarkStart w:id="86" w:name="top-and-macro-tier"/>
      <w:bookmarkEnd w:id="85"/>
      <w:r>
        <w:rPr>
          <w:rStyle w:val="SectionNumber"/>
          <w:b/>
          <w:color w:val="404040"/>
          <w:sz w:val="24"/>
        </w:rPr>
        <w:t>8.1.1</w:t>
      </w:r>
      <w:r>
        <w:rPr>
          <w:b/>
          <w:color w:val="404040"/>
          <w:sz w:val="24"/>
        </w:rPr>
        <w:tab/>
        <w:t>Top and macro tier</w:t>
      </w:r>
    </w:p>
    <w:p>
      <w:pPr>
        <w:pStyle w:val="TableCaption"/>
        <w:rPr/>
      </w:pPr>
      <w:bookmarkStart w:id="87" w:name="_Tab_7_Table_2_1__Top_and_m"/>
      <w:r>
        <w:rPr/>
        <w:t>Table 2.1: Top and macro tier</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andesite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andesite_axi4_layer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andesite_scheduler_layer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bank-group-aware L/S admission, on top of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holds the three training FUBs, owns the DFI training pins + one-active mux, and issues MRS/MPC on the scheduler’s maintenance training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 DFI 4.0 control surface, DBI wires (TASK-016 t6)</w:t>
            </w:r>
          </w:p>
        </w:tc>
      </w:tr>
    </w:tbl>
    <w:p>
      <w:pPr>
        <w:pStyle w:val="BodyText"/>
        <w:rPr/>
      </w:pPr>
      <w:r>
        <w:rPr>
          <w:sz w:val="20"/>
        </w:rPr>
        <w:t xml:space="preserve">The CSR block rides at the macro tier as scoria’s does: an </w:t>
      </w:r>
      <w:r>
        <w:rPr>
          <w:rStyle w:val="VerbatimChar"/>
          <w:sz w:val="20"/>
        </w:rPr>
        <w:t>andesite_csr.rdl</w:t>
      </w:r>
      <w:r>
        <w:rPr>
          <w:sz w:val="20"/>
        </w:rPr>
        <w:t xml:space="preserve"> generated through the same PeakRDL flow. The </w:t>
      </w:r>
      <w:r>
        <w:rPr>
          <w:b/>
          <w:bCs/>
          <w:sz w:val="20"/>
        </w:rPr>
        <w:t>flow is INHERITED</w:t>
      </w:r>
      <w:r>
        <w:rPr>
          <w:sz w:val="20"/>
        </w:rPr>
        <w:t xml:space="preserve">; the </w:t>
      </w:r>
      <w:r>
        <w:rPr>
          <w:b/>
          <w:bCs/>
          <w:sz w:val="20"/>
        </w:rPr>
        <w:t>contents grow</w:t>
      </w:r>
      <w:r>
        <w:rPr>
          <w:sz w:val="20"/>
        </w:rPr>
        <w:t xml:space="preserve"> (FGR select, ODT policy, DBI enable, gear-down, parity) — Chapter 5 owns the parameter and CSR inventory.</w:t>
      </w:r>
      <w:bookmarkEnd w:id="86"/>
    </w:p>
    <w:p>
      <w:pPr>
        <w:pStyle w:val="Heading3"/>
        <w:spacing w:before="200" w:after="80"/>
        <w:rPr/>
      </w:pPr>
      <w:bookmarkStart w:id="88" w:name="__RefHeading___Toc9111_811569930"/>
      <w:bookmarkStart w:id="89" w:name="fub-tier-inherited-unchanged"/>
      <w:bookmarkEnd w:id="88"/>
      <w:r>
        <w:rPr>
          <w:rStyle w:val="SectionNumber"/>
          <w:b/>
          <w:color w:val="404040"/>
          <w:sz w:val="24"/>
        </w:rPr>
        <w:t>8.1.2</w:t>
      </w:r>
      <w:r>
        <w:rPr>
          <w:b/>
          <w:color w:val="404040"/>
          <w:sz w:val="24"/>
        </w:rPr>
        <w:tab/>
        <w:t>FUB tier, inherited unchanged</w:t>
      </w:r>
    </w:p>
    <w:p>
      <w:pPr>
        <w:pStyle w:val="FirstParagraph"/>
        <w:rPr/>
      </w:pPr>
      <w:r>
        <w:rPr>
          <w:rStyle w:val="VerbatimChar"/>
          <w:sz w:val="20"/>
        </w:rPr>
        <w:t>bank_timer</w:t>
      </w:r>
      <w:r>
        <w:rPr>
          <w:sz w:val="20"/>
        </w:rPr>
        <w:t xml:space="preserve"> and </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w:t>
      </w:r>
    </w:p>
    <w:p>
      <w:pPr>
        <w:pStyle w:val="BodyText"/>
        <w:rPr/>
      </w:pPr>
      <w:r>
        <w:rPr>
          <w:sz w:val="20"/>
        </w:rPr>
        <w:t xml:space="preserve">That is 12 of the 26 scoria FUB files carried over with no functional change. Two more ride along in a grey area, each with its condition named in Chapter 3.1: </w:t>
      </w:r>
      <w:r>
        <w:rPr>
          <w:rStyle w:val="VerbatimChar"/>
          <w:b/>
          <w:bCs/>
          <w:sz w:val="20"/>
        </w:rPr>
        <w:t>powerdown_ctrl</w:t>
      </w:r>
      <w:r>
        <w:rPr>
          <w:b/>
          <w:bCs/>
          <w:sz w:val="20"/>
        </w:rPr>
        <w:t xml:space="preserve"> DORMANT</w:t>
      </w:r>
      <w:r>
        <w:rPr>
          <w:sz w:val="20"/>
        </w:rPr>
        <w:t xml:space="preserve"> — power-down is CKE plus </w:t>
      </w:r>
      <w:r>
        <w:rPr>
          <w:rStyle w:val="VerbatimChar"/>
          <w:sz w:val="20"/>
        </w:rPr>
        <w:t>SRE</w:t>
      </w:r>
      <w:r>
        <w:rPr>
          <w:sz w:val="20"/>
        </w:rPr>
        <w:t>/</w:t>
      </w:r>
      <w:r>
        <w:rPr>
          <w:rStyle w:val="VerbatimChar"/>
          <w:sz w:val="20"/>
        </w:rPr>
        <w:t>SRX</w:t>
      </w:r>
      <w:r>
        <w:rPr>
          <w:sz w:val="20"/>
        </w:rPr>
        <w:t xml:space="preserve">, unchanged in mechanism — and </w:t>
      </w:r>
      <w:r>
        <w:rPr>
          <w:rStyle w:val="VerbatimChar"/>
          <w:b/>
          <w:bCs/>
          <w:sz w:val="20"/>
        </w:rPr>
        <w:t>dfi_signal_pack</w:t>
      </w:r>
      <w:r>
        <w:rPr>
          <w:b/>
          <w:bCs/>
          <w:sz w:val="20"/>
        </w:rPr>
        <w:t xml:space="preserve"> DORMANT</w:t>
      </w:r>
      <w:r>
        <w:rPr>
          <w:sz w:val="20"/>
        </w:rPr>
        <w:t xml:space="preserve">, the registered pack stage. A thirteenth, </w:t>
      </w:r>
      <w:r>
        <w:rPr>
          <w:rStyle w:val="VerbatimChar"/>
          <w:b/>
          <w:bCs/>
          <w:sz w:val="20"/>
        </w:rPr>
        <w:t>zq_ctrl</w:t>
      </w:r>
      <w:r>
        <w:rPr>
          <w:b/>
          <w:bCs/>
          <w:sz w:val="20"/>
        </w:rPr>
        <w:t xml:space="preserve"> INHERITED</w:t>
      </w:r>
      <w:r>
        <w:rPr>
          <w:sz w:val="20"/>
        </w:rPr>
        <w:t xml:space="preserve"> for DDR4 exactly as scoria built it, with a NEW submodule for LPDDR4’s MPC calibration path (Chapter 3.2).</w:t>
      </w:r>
    </w:p>
    <w:p>
      <w:pPr>
        <w:pStyle w:val="BodyText"/>
        <w:rPr/>
      </w:pPr>
      <w:r>
        <w:rPr>
          <w:rStyle w:val="VerbatimChar"/>
          <w:sz w:val="20"/>
        </w:rPr>
        <w:t>cmd_history_checker</w:t>
      </w:r>
      <w:r>
        <w:rPr>
          <w:sz w:val="20"/>
        </w:rPr>
        <w:t xml:space="preserve"> is worth naming explicitly: it is the verification-side block that independently re-derives JEDEC spacing from the issued command stream. Its mechanism is inherited; its spacing-parameter set grows DDR4’s long/short pairs, and that growth is a parameter change, not a mechanism change — the same disposition scoria recorded for DDR3’s parameters.</w:t>
      </w:r>
      <w:bookmarkEnd w:id="89"/>
    </w:p>
    <w:p>
      <w:pPr>
        <w:pStyle w:val="Heading3"/>
        <w:spacing w:before="200" w:after="80"/>
        <w:rPr/>
      </w:pPr>
      <w:bookmarkStart w:id="90" w:name="__RefHeading___Toc9113_811569930"/>
      <w:bookmarkEnd w:id="90"/>
      <w:r>
        <w:rPr>
          <w:rStyle w:val="SectionNumber"/>
          <w:b/>
          <w:color w:val="404040"/>
          <w:sz w:val="24"/>
        </w:rPr>
        <w:t>8.1.3</w:t>
      </w:r>
      <w:r>
        <w:rPr>
          <w:b/>
          <w:color w:val="404040"/>
          <w:sz w:val="24"/>
        </w:rPr>
        <w:tab/>
        <w:t>FUB tier, modified</w:t>
      </w:r>
    </w:p>
    <w:p>
      <w:pPr>
        <w:pStyle w:val="TableCaption"/>
        <w:rPr/>
      </w:pPr>
      <w:bookmarkStart w:id="91" w:name="_Tab_8_Table_2_2__Modified_"/>
      <w:r>
        <w:rPr/>
        <w:t>Table 2.2: Modified FUBs — every row in this table is MODIFIED, and the marking column says so rather than leaving it to the section heading</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sit between chip select, bank and row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 same-bank-group pairs take tCCD_L/tRRD_L, cross-group take tCCD_S/tRRD_S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 join the enforced timing set as first-class 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command pin, BG0/BG1, CA parity; NEW submodule: the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via MR3 on the inherited elastic/TCR/placement base (scoria’s landed TASK-001 Modes A/B/C)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 to the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training-interface family grows a read-leveling sibling; still no search loop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bookmarkStart w:id="92" w:name="fub-tier-modified"/>
            <w:bookmarkEnd w:id="92"/>
          </w:p>
        </w:tc>
      </w:tr>
    </w:tbl>
    <w:p>
      <w:pPr>
        <w:pStyle w:val="Heading3"/>
        <w:spacing w:before="200" w:after="80"/>
        <w:rPr/>
      </w:pPr>
      <w:bookmarkStart w:id="93" w:name="__RefHeading___Toc9115_811569930"/>
      <w:bookmarkEnd w:id="93"/>
      <w:r>
        <w:rPr>
          <w:rStyle w:val="SectionNumber"/>
          <w:b/>
          <w:color w:val="404040"/>
          <w:sz w:val="24"/>
        </w:rPr>
        <w:t>8.1.4</w:t>
      </w:r>
      <w:r>
        <w:rPr>
          <w:b/>
          <w:color w:val="404040"/>
          <w:sz w:val="24"/>
        </w:rPr>
        <w:tab/>
        <w:t>FUB tier, new</w:t>
      </w:r>
    </w:p>
    <w:p>
      <w:pPr>
        <w:pStyle w:val="TableCaption"/>
        <w:rPr/>
      </w:pPr>
      <w:bookmarkStart w:id="94" w:name="_Tab_9_Table_2_3__New_FUBs_"/>
      <w:r>
        <w:rPr/>
        <w:t>Table 2.3: New FUBs — every row is NEW</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dynamic ODT: RTT_NOM/WR/PARK selection, ODT latency enforcement, </w:t>
            </w:r>
            <w:r>
              <w:rPr>
                <w:rStyle w:val="VerbatimChar"/>
                <w:rFonts w:eastAsia="Cambria" w:cs=""/>
                <w:kern w:val="0"/>
                <w:szCs w:val="24"/>
                <w:lang w:val="en-US" w:eastAsia="en-US" w:bidi="ar-SA"/>
              </w:rPr>
              <w:t>ODT</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scoria counterpart</w:t>
            </w:r>
            <w:r>
              <w:rPr>
                <w:rFonts w:eastAsia="Cambria" w:cs=""/>
                <w:kern w:val="0"/>
                <w:sz w:val="24"/>
                <w:szCs w:val="24"/>
                <w:lang w:val="en-US" w:eastAsia="en-US" w:bidi="ar-SA"/>
              </w:rPr>
              <w:t xml:space="preserve"> — scoria holds ODT static, which DDR4 makes insufficient (Ch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MPR-based read-leveling interface: DFI handshake, MR3 path, timing windows,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CA/WDQ training interface over the CA bus: DFI handshake, MPC paths,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bookmarkStart w:id="95" w:name="planned-hierarchy"/>
            <w:bookmarkEnd w:id="95"/>
          </w:p>
        </w:tc>
      </w:tr>
    </w:tbl>
    <w:p>
      <w:pPr>
        <w:pStyle w:val="Heading2"/>
        <w:pBdr>
          <w:bottom w:val="single" w:sz="12" w:space="0" w:color="228B22"/>
        </w:pBdr>
        <w:spacing w:before="280" w:after="80"/>
        <w:rPr/>
      </w:pPr>
      <w:bookmarkStart w:id="96" w:name="__RefHeading___Toc9117_811569930"/>
      <w:bookmarkEnd w:id="96"/>
      <w:r>
        <w:rPr>
          <w:rStyle w:val="SectionNumber"/>
          <w:b/>
          <w:color w:val="228B22"/>
          <w:sz w:val="28"/>
        </w:rPr>
        <w:t>8.2</w:t>
      </w:r>
      <w:r>
        <w:rPr>
          <w:b/>
          <w:color w:val="228B22"/>
          <w:sz w:val="28"/>
        </w:rPr>
        <w:tab/>
        <w:t>Naming, and the package</w:t>
      </w:r>
    </w:p>
    <w:p>
      <w:pPr>
        <w:pStyle w:val="FirstParagraph"/>
        <w:rPr/>
      </w:pPr>
      <w:r>
        <w:rPr>
          <w:sz w:val="20"/>
        </w:rPr>
        <w:t xml:space="preserve">Per the family doc 01, andesite carries its own </w:t>
      </w:r>
      <w:r>
        <w:rPr>
          <w:rStyle w:val="VerbatimChar"/>
          <w:sz w:val="20"/>
        </w:rPr>
        <w:t>andesite_pkg</w:t>
      </w:r>
      <w:r>
        <w:rPr>
          <w:sz w:val="20"/>
        </w:rPr>
        <w:t xml:space="preserve"> from day one, and the three near-identical family packages (pumice’s, scoria’s, andesite’s) are deliberate and time-boxed: the shared </w:t>
      </w:r>
      <w:r>
        <w:rPr>
          <w:rStyle w:val="VerbatimChar"/>
          <w:sz w:val="20"/>
        </w:rPr>
        <w:t>mem_ctrl_pkg</w:t>
      </w:r>
      <w:r>
        <w:rPr>
          <w:sz w:val="20"/>
        </w:rPr>
        <w:t xml:space="preserve"> migration executes once, when andesite RTL bring-up starts, and both shipping controllers move together. Chapter 5 owns </w:t>
      </w:r>
      <w:r>
        <w:rPr>
          <w:rStyle w:val="VerbatimChar"/>
          <w:sz w:val="20"/>
        </w:rPr>
        <w:t>andesite_pkg</w:t>
      </w:r>
      <w:r>
        <w:rPr>
          <w:sz w:val="20"/>
        </w:rPr>
        <w:t>’s initial contents; the family doc owns the migration plan and its conditions. Nothing about the package duplication is an oversight, and nobody should “fix” it by widening a shipping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module-hierarc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1"/>
        <w:shd w:val="clear" w:color="auto" w:fill="404040"/>
        <w:spacing w:before="360" w:after="120"/>
        <w:rPr/>
      </w:pPr>
      <w:bookmarkStart w:id="98" w:name="__RefHeading___Toc9119_811569930"/>
      <w:bookmarkStart w:id="99" w:name="the-target-design-point"/>
      <w:bookmarkEnd w:id="98"/>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100" w:name="__RefHeading___Toc9121_811569930"/>
      <w:bookmarkStart w:id="101" w:name="named-as-of-v0.1"/>
      <w:bookmarkEnd w:id="100"/>
      <w:r>
        <w:rPr>
          <w:rStyle w:val="SectionNumber"/>
          <w:b/>
          <w:color w:val="228B22"/>
          <w:sz w:val="28"/>
        </w:rPr>
        <w:t>9.1</w:t>
      </w:r>
      <w:r>
        <w:rPr>
          <w:b/>
          <w:color w:val="228B22"/>
          <w:sz w:val="28"/>
        </w:rPr>
        <w:tab/>
        <w:t>Named as of v0.1</w:t>
      </w:r>
    </w:p>
    <w:p>
      <w:pPr>
        <w:pStyle w:val="FirstParagraph"/>
        <w:rPr/>
      </w:pPr>
      <w:r>
        <w:rPr>
          <w:sz w:val="20"/>
        </w:rPr>
        <w:t xml:space="preserve">There is deliberately no board. The 7-series targets this repo’s boards carry do not support DDR4, and a named board would be a promise this generation can’t keep. So the design point is stated as a </w:t>
      </w:r>
      <w:r>
        <w:rPr>
          <w:b/>
          <w:bCs/>
          <w:sz w:val="20"/>
        </w:rPr>
        <w:t>simulation target</w:t>
      </w:r>
      <w:r>
        <w:rPr>
          <w:sz w:val="20"/>
        </w:rPr>
        <w:t>: the geometry, the data rates and the DFI boundary the parameters are chosen for, verified against a DFI v4.0 bus functional model (Chapter 6). What follows is what a future board target must match, not a claim that a bitstream exists.</w:t>
      </w:r>
    </w:p>
    <w:p>
      <w:pPr>
        <w:pStyle w:val="TableCaption"/>
        <w:rPr/>
      </w:pPr>
      <w:bookmarkStart w:id="102" w:name="_Tab_10_Table_2_4__The_targe"/>
      <w:r>
        <w:rPr/>
        <w:t>Table 2.4: The target design point</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MT/s both memtypes — 800 MHz CK, tCK 1.25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from the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frequency ratio 1:4 carried from scoria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BFM in simulation (BFM acquisition/study =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 MB/s</w:t>
            </w:r>
            <w:r>
              <w:rPr>
                <w:rFonts w:eastAsia="Cambria" w:cs=""/>
                <w:kern w:val="0"/>
                <w:sz w:val="24"/>
                <w:szCs w:val="24"/>
                <w:lang w:val="en-US" w:eastAsia="en-US" w:bidi="ar-SA"/>
              </w:rPr>
              <w:t xml:space="preserve"> per x8 device — 1600 MT/s x 8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the denominator for any bandwidth claim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r>
              <w:rPr>
                <w:rFonts w:eastAsia="Cambria" w:cs=""/>
                <w:kern w:val="0"/>
                <w:sz w:val="24"/>
                <w:szCs w:val="24"/>
                <w:lang w:val="en-US" w:eastAsia="en-US" w:bidi="ar-SA"/>
              </w:rPr>
              <w:t xml:space="preserve"> per x16 channel — 1600 MT/s x 16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same rule</w:t>
            </w:r>
          </w:p>
        </w:tc>
      </w:tr>
    </w:tbl>
    <w:p>
      <w:pPr>
        <w:pStyle w:val="BodyText"/>
        <w:rPr/>
      </w:pPr>
      <w:r>
        <w:rPr>
          <w:b/>
          <w:bCs/>
          <w:sz w:val="20"/>
        </w:rPr>
        <w:t>The denominator rule applies from this page on.</w:t>
      </w:r>
      <w:r>
        <w:rPr>
          <w:sz w:val="20"/>
        </w:rPr>
        <w:t xml:space="preserve"> Any bandwidth figure quoted anywhere in this book or its successors carries the theoretical maximum beside it. pumice learned this twice — a byte counter that was per-phase, and a percentage with no peak beside it — and the family doctrine keeps the lesson.</w:t>
      </w:r>
      <w:bookmarkEnd w:id="101"/>
    </w:p>
    <w:p>
      <w:pPr>
        <w:pStyle w:val="Heading2"/>
        <w:pBdr>
          <w:bottom w:val="single" w:sz="12" w:space="0" w:color="228B22"/>
        </w:pBdr>
        <w:spacing w:before="280" w:after="80"/>
        <w:rPr/>
      </w:pPr>
      <w:bookmarkStart w:id="103" w:name="__RefHeading___Toc9123_811569930"/>
      <w:bookmarkStart w:id="104" w:name="what-this-fixes"/>
      <w:bookmarkEnd w:id="103"/>
      <w:r>
        <w:rPr>
          <w:rStyle w:val="SectionNumber"/>
          <w:b/>
          <w:color w:val="228B22"/>
          <w:sz w:val="28"/>
        </w:rPr>
        <w:t>9.2</w:t>
      </w:r>
      <w:r>
        <w:rPr>
          <w:b/>
          <w:color w:val="228B22"/>
          <w:sz w:val="28"/>
        </w:rPr>
        <w:tab/>
        <w:t>What this fixes</w:t>
      </w:r>
    </w:p>
    <w:p>
      <w:pPr>
        <w:pStyle w:val="FirstParagraph"/>
        <w:rPr/>
      </w:pPr>
      <w:r>
        <w:rPr>
          <w:sz w:val="20"/>
        </w:rPr>
        <w:t>Build-time parameters the architecture left open now have values; everything else stays a runtime CSR:</w:t>
      </w:r>
    </w:p>
    <w:p>
      <w:pPr>
        <w:pStyle w:val="TableCaption"/>
        <w:rPr/>
      </w:pPr>
      <w:bookmarkStart w:id="105" w:name="_Tab_11_Table_2_5__Build_tim"/>
      <w:r>
        <w:rPr/>
        <w:t>Table 2.5: Build-time parameters fixed by the design point</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from scoria — the datapath’s phase structure transfers at the gear it was verified 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DDR4 design point; build-time because it sizes decode, not because it varies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 — ungrouped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LPDDR4 design point; same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 (DDR4) / x16 (LPDDR4)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design point’s devices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single-rank design point, as scoria’s was</w:t>
            </w:r>
          </w:p>
        </w:tc>
      </w:tr>
    </w:tbl>
    <w:p>
      <w:pPr>
        <w:pStyle w:val="BodyText"/>
        <w:rPr/>
      </w:pPr>
      <w:r>
        <w:rPr>
          <w:sz w:val="20"/>
        </w:rPr>
        <w:t xml:space="preserve">Note what is </w:t>
      </w:r>
      <w:r>
        <w:rPr>
          <w:i/>
          <w:iCs/>
          <w:sz w:val="20"/>
        </w:rPr>
        <w:t>not</w:t>
      </w:r>
      <w:r>
        <w:rPr>
          <w:sz w:val="20"/>
        </w:rPr>
        <w:t xml:space="preserve"> in the table: every timing. tCCD_L/S and tRRD_L/S are runtime CSRs exactly like their plain ancestors, and the JEDEC speed-bin values that initialise them belong to the CSR derivation (Chapter 5), cited to JESD79-4 / JESD209-4 — the standards live in cold storage, not the repo, per the house rule.</w:t>
      </w:r>
    </w:p>
    <w:p>
      <w:pPr>
        <w:pStyle w:val="BodyText"/>
        <w:rPr/>
      </w:pPr>
      <w:r>
        <w:rPr>
          <w:b/>
          <w:bCs/>
          <w:sz w:val="20"/>
        </w:rPr>
        <w:t>The 1:4 ratio is the same happy accident scoria had.</w:t>
      </w:r>
      <w:r>
        <w:rPr>
          <w:sz w:val="20"/>
        </w:rPr>
        <w:t xml:space="preserve"> pumice and scoria both run four DFI phases, so the inherited DFI datapath — the async-FIFO CDC, the per-phase pipelines — transfers at the gear it was built and verified at. DFI 4.0’s frequency-ratio options beyond 1:4 are named in Chapter 4 and left for a board PHY to justify.</w:t>
      </w:r>
      <w:bookmarkEnd w:id="104"/>
    </w:p>
    <w:p>
      <w:pPr>
        <w:pStyle w:val="Heading2"/>
        <w:pBdr>
          <w:bottom w:val="single" w:sz="12" w:space="0" w:color="228B22"/>
        </w:pBdr>
        <w:spacing w:before="280" w:after="80"/>
        <w:rPr/>
      </w:pPr>
      <w:bookmarkStart w:id="106" w:name="__RefHeading___Toc9125_811569930"/>
      <w:bookmarkStart w:id="107" w:name="what-is-still-open"/>
      <w:bookmarkEnd w:id="106"/>
      <w:r>
        <w:rPr>
          <w:rStyle w:val="SectionNumber"/>
          <w:b/>
          <w:color w:val="228B22"/>
          <w:sz w:val="28"/>
        </w:rPr>
        <w:t>9.3</w:t>
      </w:r>
      <w:r>
        <w:rPr>
          <w:b/>
          <w:color w:val="228B22"/>
          <w:sz w:val="28"/>
        </w:rPr>
        <w:tab/>
        <w:t>What is still open</w:t>
      </w:r>
    </w:p>
    <w:p>
      <w:pPr>
        <w:pStyle w:val="FirstParagraph"/>
        <w:rPr/>
      </w:pPr>
      <w:r>
        <w:rPr>
          <w:sz w:val="20"/>
        </w:rPr>
        <w:t>Nothing in the design point itself. Three adjacent choices are recorded as open questions in Chapter 6 rather than decided here: CA-parity scope (hardware counter vs firmware assist), the gear-down coverage scope for the BFM, and LPDDR4 channel count beyond the one-channel design point.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8" w:name="the-target-design-point"/>
      <w:bookmarkStart w:id="109" w:name="what-is-still-open"/>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r>
        <w:br w:type="page"/>
      </w:r>
    </w:p>
    <w:p>
      <w:pPr>
        <w:pStyle w:val="Heading1"/>
        <w:shd w:val="clear" w:color="auto" w:fill="404040"/>
        <w:spacing w:before="360" w:after="120"/>
        <w:rPr/>
      </w:pPr>
      <w:bookmarkStart w:id="110" w:name="__RefHeading___Toc9127_811569930"/>
      <w:bookmarkStart w:id="111" w:name="X8cef9dfc8520557169888349d3e3c8539f95223"/>
      <w:bookmarkEnd w:id="110"/>
      <w:r>
        <w:rPr>
          <w:rStyle w:val="SectionNumber"/>
          <w:b/>
          <w:color w:val="FFFFFF"/>
          <w:sz w:val="32"/>
        </w:rPr>
        <w:t>10</w:t>
      </w:r>
      <w:r>
        <w:rPr>
          <w:b/>
          <w:color w:val="FFFFFF"/>
          <w:sz w:val="32"/>
        </w:rPr>
        <w:tab/>
        <w:t>What Is Inherited, and the Ten Areas That Change</w:t>
      </w:r>
    </w:p>
    <w:p>
      <w:pPr>
        <w:pStyle w:val="Heading2"/>
        <w:pBdr>
          <w:bottom w:val="single" w:sz="12" w:space="0" w:color="228B22"/>
        </w:pBdr>
        <w:spacing w:before="280" w:after="80"/>
        <w:rPr/>
      </w:pPr>
      <w:bookmarkStart w:id="112" w:name="__RefHeading___Toc9129_811569930"/>
      <w:bookmarkStart w:id="113" w:name="the-inheritance-stated-once"/>
      <w:bookmarkEnd w:id="112"/>
      <w:r>
        <w:rPr>
          <w:rStyle w:val="SectionNumber"/>
          <w:b/>
          <w:color w:val="228B22"/>
          <w:sz w:val="28"/>
        </w:rPr>
        <w:t>10.1</w:t>
      </w:r>
      <w:r>
        <w:rPr>
          <w:b/>
          <w:color w:val="228B22"/>
          <w:sz w:val="28"/>
        </w:rPr>
        <w:tab/>
        <w:t>The inheritance, stated once</w:t>
      </w:r>
    </w:p>
    <w:p>
      <w:pPr>
        <w:pStyle w:val="FirstParagraph"/>
        <w:rPr/>
      </w:pPr>
      <w:r>
        <w:rPr>
          <w:sz w:val="20"/>
        </w:rPr>
        <w:t>Twelve of scoria’s twenty-six FUB files carry over with no functional change, plus the top, geared wrapper, core and AXI4 macro — Chapter 2.3 lists them and the count is reconciled there. This chapter covers only what changes: ten areas, absorbed by a modified set of thirteen blocks and three new ones. The list is short by design, and it is an argument, not a convenience — the inherited blocks carry scoria’s verification evidence (221 tests, 9 formal blocks at last measure), and re-deriving them would discard it.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scoria’s timers carry pumice’s next-state-function fix (pumice ISSUE-018: readiness flags one cycle late, which permitted tCCD and tRTW violations). andesite inherits the fixed form; a fresh implementation from a behavioural description would reintroduce the defect, because the description does not mention the flop. Copy the module.</w:t>
      </w:r>
      <w:bookmarkEnd w:id="113"/>
    </w:p>
    <w:p>
      <w:pPr>
        <w:pStyle w:val="Heading2"/>
        <w:pBdr>
          <w:bottom w:val="single" w:sz="12" w:space="0" w:color="228B22"/>
        </w:pBdr>
        <w:spacing w:before="280" w:after="80"/>
        <w:rPr/>
      </w:pPr>
      <w:bookmarkStart w:id="114" w:name="__RefHeading___Toc9131_811569930"/>
      <w:bookmarkStart w:id="115" w:name="the-changes-in-one-table"/>
      <w:bookmarkEnd w:id="114"/>
      <w:r>
        <w:rPr>
          <w:rStyle w:val="SectionNumber"/>
          <w:b/>
          <w:color w:val="228B22"/>
          <w:sz w:val="28"/>
        </w:rPr>
        <w:t>10.2</w:t>
      </w:r>
      <w:r>
        <w:rPr>
          <w:b/>
          <w:color w:val="228B22"/>
          <w:sz w:val="28"/>
        </w:rPr>
        <w:tab/>
        <w:t>The changes, in one table</w:t>
      </w:r>
    </w:p>
    <w:p>
      <w:pPr>
        <w:pStyle w:val="FirstParagraph"/>
        <w:rPr/>
      </w:pPr>
      <w:r>
        <w:rPr>
          <w:sz w:val="20"/>
        </w:rPr>
        <w:t>The ten areas the bootstrap spec settled, with the blocks that absorb them:</w:t>
      </w:r>
    </w:p>
    <w:p>
      <w:pPr>
        <w:pStyle w:val="TableCaption"/>
        <w:rPr/>
      </w:pPr>
      <w:bookmarkStart w:id="116" w:name="_Tab_12_Table_3_0__The_ten_d"/>
      <w:r>
        <w:rPr/>
        <w:t>Table 3.0: The ten delta areas, verbatim from the bootstrap spec</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 tCCD_L/S, tRRD_L/S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scheduler/</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encoding: ACT_n 5th pin, BG0/1; LPDDR4 6-bit CA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reset procedure, MR0–MR6, gear-down +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FGR 1x/2x/4x (MR3); LPDDR4 controller-directed per-bank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(inherits scoria’s landed TASK-001 modes A/B/C as the policy base)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DDR4 keeps ZQCS/ZQCL; LPDDR4 calibration via MPC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read leveling (MPR), LPDDR4 CA/WDQ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training blocks + </w:t>
            </w: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MODIFIED (search in firmware, per D2 precedent)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Datapath: DBI via DFI 4.0 </w:t>
            </w:r>
            <w:r>
              <w:rPr>
                <w:rStyle w:val="VerbatimChar"/>
                <w:rFonts w:eastAsia="Cambria" w:cs=""/>
                <w:kern w:val="0"/>
                <w:szCs w:val="24"/>
                <w:lang w:val="en-US" w:eastAsia="en-US" w:bidi="ar-SA"/>
              </w:rPr>
              <w:t>dfi_dbi_*</w:t>
            </w:r>
            <w:r>
              <w:rPr>
                <w:rFonts w:eastAsia="Cambria" w:cs=""/>
                <w:kern w:val="0"/>
                <w:sz w:val="24"/>
                <w:szCs w:val="24"/>
                <w:lang w:val="en-US" w:eastAsia="en-US" w:bidi="ar-SA"/>
              </w:rPr>
              <w:t>; write CRC excluded v0.1 with named unblock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blocks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 </w:t>
            </w:r>
            <w:r>
              <w:rPr>
                <w:rStyle w:val="VerbatimChar"/>
                <w:rFonts w:eastAsia="Cambria" w:cs=""/>
                <w:kern w:val="0"/>
                <w:szCs w:val="24"/>
                <w:lang w:val="en-US" w:eastAsia="en-US" w:bidi="ar-SA"/>
              </w:rPr>
              <w:t>alert_n</w:t>
            </w:r>
            <w:r>
              <w:rPr>
                <w:rFonts w:eastAsia="Cambria" w:cs=""/>
                <w:kern w:val="0"/>
                <w:sz w:val="24"/>
                <w:szCs w:val="24"/>
                <w:lang w:val="en-US" w:eastAsia="en-US" w:bidi="ar-SA"/>
              </w:rPr>
              <w:t>; gear-down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formatter/sequencer + new parity/alert handling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 ODT latencies (scoria holds ODT static — insufficient)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per-chapter deltas: no bank groups, 8 banks/channel, 2-channel x16, MPC bus, DSM power states (deferred, named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sz w:val="20"/>
        </w:rPr>
        <w:t>The command encodings, decode maps, MR maps, ODT policy, and FGR select named by the ten areas above are pinned table-by-table in the generated kmap book (</w:t>
      </w:r>
      <w:hyperlink r:id="rId4">
        <w:r>
          <w:rPr>
            <w:rStyle w:val="ListLabel138"/>
            <w:rFonts w:ascii="Consolas" w:hAnsi="Consolas"/>
            <w:sz w:val="22"/>
            <w:sz w:val="22"/>
          </w:rPr>
          <w:t>../../kmaps/generated/</w:t>
        </w:r>
      </w:hyperlink>
      <w:r>
        <w:rPr>
          <w:sz w:val="20"/>
        </w:rPr>
        <w:t>). The DDR4 command table’s expected values feed the Chapter 6 verification item 6 checker.</w:t>
      </w:r>
      <w:bookmarkEnd w:id="115"/>
    </w:p>
    <w:p>
      <w:pPr>
        <w:pStyle w:val="Heading2"/>
        <w:pBdr>
          <w:bottom w:val="single" w:sz="12" w:space="0" w:color="228B22"/>
        </w:pBdr>
        <w:spacing w:before="280" w:after="80"/>
        <w:rPr/>
      </w:pPr>
      <w:bookmarkStart w:id="117" w:name="__RefHeading___Toc9133_811569930"/>
      <w:bookmarkStart w:id="118" w:name="the-ten-areas-one-paragraph-each"/>
      <w:bookmarkEnd w:id="117"/>
      <w:r>
        <w:rPr>
          <w:rStyle w:val="SectionNumber"/>
          <w:b/>
          <w:color w:val="228B22"/>
          <w:sz w:val="28"/>
        </w:rPr>
        <w:t>10.3</w:t>
      </w:r>
      <w:r>
        <w:rPr>
          <w:b/>
          <w:color w:val="228B22"/>
          <w:sz w:val="28"/>
        </w:rPr>
        <w:tab/>
        <w:t>The ten areas, one paragraph each</w:t>
      </w:r>
    </w:p>
    <w:p>
      <w:pPr>
        <w:pStyle w:val="FirstParagraph"/>
        <w:rPr/>
      </w:pPr>
      <w:r>
        <w:rPr>
          <w:b/>
          <w:bCs/>
          <w:sz w:val="20"/>
        </w:rPr>
        <w:t>1 — Bank groups.</w:t>
      </w:r>
      <w:r>
        <w:rPr>
          <w:sz w:val="20"/>
        </w:rPr>
        <w:t xml:space="preserve"> DDR4 partitions its banks into groups, and command spacing becomes a function of which group a command targets: tCCD_S/tRRD_S across groups, tCCD_L/tRRD_L within one. The address mapper grows the BG0/BG1 decode, the arbiter learns same-group versus cross-group issue, and the global timers take the long/short pairs on as first-class counters. All four timings are runtime CSRs. LPDDR4 has no bank groups — its pair collapses to L = S, which the arbiter must degenerate to gracefully, not special-case. </w:t>
      </w:r>
      <w:r>
        <w:rPr>
          <w:b/>
          <w:bCs/>
          <w:sz w:val="20"/>
        </w:rPr>
        <w:t>Blocks:</w:t>
      </w:r>
      <w:r>
        <w:rPr>
          <w:sz w:val="20"/>
        </w:rPr>
        <w:t xml:space="preserve"> </w:t>
      </w:r>
      <w:r>
        <w:rPr>
          <w:rStyle w:val="VerbatimChar"/>
          <w:sz w:val="20"/>
        </w:rPr>
        <w:t>addr_mapper</w:t>
      </w:r>
      <w:r>
        <w:rPr>
          <w:sz w:val="20"/>
        </w:rPr>
        <w:t xml:space="preserve">, </w:t>
      </w:r>
      <w:r>
        <w:rPr>
          <w:rStyle w:val="VerbatimChar"/>
          <w:sz w:val="20"/>
        </w:rPr>
        <w:t>cmd_arbiter</w:t>
      </w:r>
      <w:r>
        <w:rPr>
          <w:sz w:val="20"/>
        </w:rPr>
        <w:t xml:space="preserve">, </w:t>
      </w:r>
      <w:r>
        <w:rPr>
          <w:rStyle w:val="VerbatimChar"/>
          <w:sz w:val="20"/>
        </w:rPr>
        <w:t>global_timers</w:t>
      </w:r>
      <w:r>
        <w:rPr>
          <w:sz w:val="20"/>
        </w:rPr>
        <w:t xml:space="preserve">, </w:t>
      </w:r>
      <w:r>
        <w:rPr>
          <w:rStyle w:val="VerbatimChar"/>
          <w:sz w:val="20"/>
        </w:rPr>
        <w:t>scheduler_layer</w:t>
      </w:r>
      <w:r>
        <w:rPr>
          <w:sz w:val="20"/>
        </w:rPr>
        <w:t xml:space="preserve"> — all MODIFIED (Ch 3.1).</w:t>
      </w:r>
    </w:p>
    <w:p>
      <w:pPr>
        <w:pStyle w:val="BodyText"/>
        <w:rPr/>
      </w:pPr>
      <w:r>
        <w:rPr>
          <w:b/>
          <w:bCs/>
          <w:sz w:val="20"/>
        </w:rPr>
        <w:t>2 — Command encoding.</w:t>
      </w:r>
      <w:r>
        <w:rPr>
          <w:sz w:val="20"/>
        </w:rPr>
        <w:t xml:space="preserve"> DDR4 makes ACT a five-pin command: </w:t>
      </w:r>
      <w:r>
        <w:rPr>
          <w:rStyle w:val="VerbatimChar"/>
          <w:sz w:val="20"/>
        </w:rPr>
        <w:t>ACT_n</w:t>
      </w:r>
      <w:r>
        <w:rPr>
          <w:sz w:val="20"/>
        </w:rPr>
        <w:t xml:space="preserve"> plus RAS/CAS/WE, and carries BG0/BG1 on the address pins during activate. The formatter’s truth table changes shape, and the command path widens to carry the new pins. LPDDR4 is the bigger change inside the same block: a 6-bit double-data-rate CA bus with commands taking two cycles, implemented as a NEW submodule so the DDR4 path stays reviewable on its own. </w:t>
      </w:r>
      <w:r>
        <w:rPr>
          <w:b/>
          <w:bCs/>
          <w:sz w:val="20"/>
        </w:rPr>
        <w:t>Blocks:</w:t>
      </w:r>
      <w:r>
        <w:rPr>
          <w:sz w:val="20"/>
        </w:rPr>
        <w:t xml:space="preserve"> </w:t>
      </w:r>
      <w:r>
        <w:rPr>
          <w:rStyle w:val="VerbatimChar"/>
          <w:sz w:val="20"/>
        </w:rPr>
        <w:t>dfi_cmd_formatter</w:t>
      </w:r>
      <w:r>
        <w:rPr>
          <w:sz w:val="20"/>
        </w:rPr>
        <w:t xml:space="preserve"> MODIFIED with a NEW LPDDR4 CA submodule (Ch 3.2, 3.6).</w:t>
      </w:r>
    </w:p>
    <w:p>
      <w:pPr>
        <w:pStyle w:val="BodyText"/>
        <w:rPr/>
      </w:pPr>
      <w:r>
        <w:rPr>
          <w:b/>
          <w:bCs/>
          <w:sz w:val="20"/>
        </w:rPr>
        <w:t>3 — Init.</w:t>
      </w:r>
      <w:r>
        <w:rPr>
          <w:sz w:val="20"/>
        </w:rPr>
        <w:t xml:space="preserve"> DDR4 brings a RESET# pin, a seven-register mode-register set, gear-down entry and parity enable into one ordered sequence. scoria’s lesson applies twice over: the MR order is JEDEC’s, not ours. </w:t>
      </w:r>
      <w:r>
        <w:rPr>
          <w:b/>
          <w:bCs/>
          <w:sz w:val="20"/>
        </w:rPr>
        <w:t>Blocks:</w:t>
      </w:r>
      <w:r>
        <w:rPr>
          <w:sz w:val="20"/>
        </w:rPr>
        <w:t xml:space="preserve"> </w:t>
      </w:r>
      <w:r>
        <w:rPr>
          <w:rStyle w:val="VerbatimChar"/>
          <w:sz w:val="20"/>
        </w:rPr>
        <w:t>init_sequencer</w:t>
      </w:r>
      <w:r>
        <w:rPr>
          <w:sz w:val="20"/>
        </w:rPr>
        <w:t xml:space="preserve">, </w:t>
      </w:r>
      <w:r>
        <w:rPr>
          <w:rStyle w:val="VerbatimChar"/>
          <w:sz w:val="20"/>
        </w:rPr>
        <w:t>mode_register</w:t>
      </w:r>
      <w:r>
        <w:rPr>
          <w:sz w:val="20"/>
        </w:rPr>
        <w:t xml:space="preserve"> — MODIFIED (Ch 3.2).</w:t>
      </w:r>
    </w:p>
    <w:p>
      <w:pPr>
        <w:pStyle w:val="BodyText"/>
        <w:rPr/>
      </w:pPr>
      <w:r>
        <w:rPr>
          <w:b/>
          <w:bCs/>
          <w:sz w:val="20"/>
        </w:rPr>
        <w:t>4 — Refresh.</w:t>
      </w:r>
      <w:r>
        <w:rPr>
          <w:sz w:val="20"/>
        </w:rPr>
        <w:t xml:space="preserve"> DDR4’s fine-granularity refresh (1x/2x/4x, selected in MR3) adds a density dimension; LPDDR4 makes per-bank refresh the commodity default and — unlike LPDDR2/3 — lets the controller name the bank. scoria’s landed TASK-001 modes (elastic refresh, TCR, ZQCS placement) stay the policy base. </w:t>
      </w:r>
      <w:r>
        <w:rPr>
          <w:b/>
          <w:bCs/>
          <w:sz w:val="20"/>
        </w:rPr>
        <w:t>Block:</w:t>
      </w:r>
      <w:r>
        <w:rPr>
          <w:sz w:val="20"/>
        </w:rPr>
        <w:t xml:space="preserve"> </w:t>
      </w:r>
      <w:r>
        <w:rPr>
          <w:rStyle w:val="VerbatimChar"/>
          <w:sz w:val="20"/>
        </w:rPr>
        <w:t>refresh_ctrl</w:t>
      </w:r>
      <w:r>
        <w:rPr>
          <w:sz w:val="20"/>
        </w:rPr>
        <w:t xml:space="preserve"> MODIFIED (Ch 3.4).</w:t>
      </w:r>
    </w:p>
    <w:p>
      <w:pPr>
        <w:pStyle w:val="BodyText"/>
        <w:rPr/>
      </w:pPr>
      <w:r>
        <w:rPr>
          <w:b/>
          <w:bCs/>
          <w:sz w:val="20"/>
        </w:rPr>
        <w:t>5 — ZQ.</w:t>
      </w:r>
      <w:r>
        <w:rPr>
          <w:sz w:val="20"/>
        </w:rPr>
        <w:t xml:space="preserve"> DDR4 keeps </w:t>
      </w:r>
      <w:r>
        <w:rPr>
          <w:rStyle w:val="VerbatimChar"/>
          <w:sz w:val="20"/>
        </w:rPr>
        <w:t>ZQCS</w:t>
      </w:r>
      <w:r>
        <w:rPr>
          <w:sz w:val="20"/>
        </w:rPr>
        <w:t>/</w:t>
      </w:r>
      <w:r>
        <w:rPr>
          <w:rStyle w:val="VerbatimChar"/>
          <w:sz w:val="20"/>
        </w:rPr>
        <w:t>ZQCL</w:t>
      </w:r>
      <w:r>
        <w:rPr>
          <w:sz w:val="20"/>
        </w:rPr>
        <w:t xml:space="preserve"> exactly as scoria issues them — the block is inherited unchanged for DDR4. LPDDR4 moves calibration onto the MPC command, a NEW submodule beside the inherited core. </w:t>
      </w:r>
      <w:r>
        <w:rPr>
          <w:b/>
          <w:bCs/>
          <w:sz w:val="20"/>
        </w:rPr>
        <w:t>Block:</w:t>
      </w:r>
      <w:r>
        <w:rPr>
          <w:sz w:val="20"/>
        </w:rPr>
        <w:t xml:space="preserve"> </w:t>
      </w:r>
      <w:r>
        <w:rPr>
          <w:rStyle w:val="VerbatimChar"/>
          <w:sz w:val="20"/>
        </w:rPr>
        <w:t>zq_ctrl</w:t>
      </w:r>
      <w:r>
        <w:rPr>
          <w:sz w:val="20"/>
        </w:rPr>
        <w:t xml:space="preserve"> INHERITED / NEW LPDDR4 path (Ch 3.2).</w:t>
      </w:r>
    </w:p>
    <w:p>
      <w:pPr>
        <w:pStyle w:val="BodyText"/>
        <w:rPr/>
      </w:pPr>
      <w:r>
        <w:rPr>
          <w:b/>
          <w:bCs/>
          <w:sz w:val="20"/>
        </w:rPr>
        <w:t>6 — Training.</w:t>
      </w:r>
      <w:r>
        <w:rPr>
          <w:sz w:val="20"/>
        </w:rPr>
        <w:t xml:space="preserve"> Write leveling’s interface is inherited; read leveling (MPR-based) and LPDDR4 CA/WDQ training are new interfaces in the same family — handshake, MR/MPC paths, timing windows, telemetry, and </w:t>
      </w:r>
      <w:r>
        <w:rPr>
          <w:b/>
          <w:bCs/>
          <w:sz w:val="20"/>
        </w:rPr>
        <w:t>no search loop anywhere</w:t>
      </w:r>
      <w:r>
        <w:rPr>
          <w:sz w:val="20"/>
        </w:rPr>
        <w:t xml:space="preserve"> (D2 precedent). </w:t>
      </w:r>
      <w:r>
        <w:rPr>
          <w:b/>
          <w:bCs/>
          <w:sz w:val="20"/>
        </w:rPr>
        <w:t>Blocks:</w:t>
      </w:r>
      <w:r>
        <w:rPr>
          <w:sz w:val="20"/>
        </w:rPr>
        <w:t xml:space="preserve"> </w:t>
      </w:r>
      <w:r>
        <w:rPr>
          <w:rStyle w:val="VerbatimChar"/>
          <w:sz w:val="20"/>
        </w:rPr>
        <w:t>wrlvl_ifc</w:t>
      </w:r>
      <w:r>
        <w:rPr>
          <w:sz w:val="20"/>
        </w:rPr>
        <w:t xml:space="preserve"> MODIFIED; </w:t>
      </w:r>
      <w:r>
        <w:rPr>
          <w:rStyle w:val="VerbatimChar"/>
          <w:sz w:val="20"/>
        </w:rPr>
        <w:t>rdlvl_ifc</w:t>
      </w:r>
      <w:r>
        <w:rPr>
          <w:sz w:val="20"/>
        </w:rPr>
        <w:t xml:space="preserve">, </w:t>
      </w:r>
      <w:r>
        <w:rPr>
          <w:rStyle w:val="VerbatimChar"/>
          <w:sz w:val="20"/>
        </w:rPr>
        <w:t>ca_train_ifc</w:t>
      </w:r>
      <w:r>
        <w:rPr>
          <w:sz w:val="20"/>
        </w:rPr>
        <w:t xml:space="preserve"> NEW (Ch 3.3).</w:t>
      </w:r>
    </w:p>
    <w:p>
      <w:pPr>
        <w:pStyle w:val="BodyText"/>
        <w:rPr/>
      </w:pPr>
      <w:r>
        <w:rPr>
          <w:b/>
          <w:bCs/>
          <w:sz w:val="20"/>
        </w:rPr>
        <w:t>7 — Datapath.</w:t>
      </w:r>
      <w:r>
        <w:rPr>
          <w:sz w:val="20"/>
        </w:rPr>
        <w:t xml:space="preserve"> DFI 4.0’s </w:t>
      </w:r>
      <w:r>
        <w:rPr>
          <w:rStyle w:val="VerbatimChar"/>
          <w:sz w:val="20"/>
        </w:rPr>
        <w:t>dfi_dbi_*</w:t>
      </w:r>
      <w:r>
        <w:rPr>
          <w:sz w:val="20"/>
        </w:rPr>
        <w:t xml:space="preserve"> wires pass Data Bus Inversion through the read and write paths. Write CRC is excluded from this edition with a named unblock condition below. </w:t>
      </w:r>
      <w:r>
        <w:rPr>
          <w:b/>
          <w:bCs/>
          <w:sz w:val="20"/>
        </w:rPr>
        <w:t>Blocks:</w:t>
      </w:r>
      <w:r>
        <w:rPr>
          <w:sz w:val="20"/>
        </w:rPr>
        <w:t xml:space="preserve"> </w:t>
      </w:r>
      <w:r>
        <w:rPr>
          <w:rStyle w:val="VerbatimChar"/>
          <w:sz w:val="20"/>
        </w:rPr>
        <w:t>dfi_rd_aligner</w:t>
      </w:r>
      <w:r>
        <w:rPr>
          <w:sz w:val="20"/>
        </w:rPr>
        <w:t xml:space="preserve">, </w:t>
      </w:r>
      <w:r>
        <w:rPr>
          <w:rStyle w:val="VerbatimChar"/>
          <w:sz w:val="20"/>
        </w:rPr>
        <w:t>dfi_wr_serializer</w:t>
      </w:r>
      <w:r>
        <w:rPr>
          <w:sz w:val="20"/>
        </w:rPr>
        <w:t xml:space="preserve">, </w:t>
      </w:r>
      <w:r>
        <w:rPr>
          <w:rStyle w:val="VerbatimChar"/>
          <w:sz w:val="20"/>
        </w:rPr>
        <w:t>dfi_layer</w:t>
      </w:r>
      <w:r>
        <w:rPr>
          <w:sz w:val="20"/>
        </w:rPr>
        <w:t xml:space="preserve"> — MODIFIED (Ch 3.5, 4.1).</w:t>
      </w:r>
    </w:p>
    <w:p>
      <w:pPr>
        <w:pStyle w:val="BodyText"/>
        <w:rPr/>
      </w:pPr>
      <w:r>
        <w:rPr>
          <w:b/>
          <w:bCs/>
          <w:sz w:val="20"/>
        </w:rPr>
        <w:t>8 — CA parity and gear-down.</w:t>
      </w:r>
      <w:r>
        <w:rPr>
          <w:sz w:val="20"/>
        </w:rPr>
        <w:t xml:space="preserve"> DDR4 CA parity adds a counting/checking obligation and the </w:t>
      </w:r>
      <w:r>
        <w:rPr>
          <w:rStyle w:val="VerbatimChar"/>
          <w:sz w:val="20"/>
        </w:rPr>
        <w:t>alert_n</w:t>
      </w:r>
      <w:r>
        <w:rPr>
          <w:sz w:val="20"/>
        </w:rPr>
        <w:t xml:space="preserve"> return path; gear-down halves the CA rate after init with a controller/PHY handshake. Parity machinery splits between the formatter (counting) and the sequencer (enable at init); </w:t>
      </w:r>
      <w:r>
        <w:rPr>
          <w:rStyle w:val="VerbatimChar"/>
          <w:sz w:val="20"/>
        </w:rPr>
        <w:t>alert_n</w:t>
      </w:r>
      <w:r>
        <w:rPr>
          <w:sz w:val="20"/>
        </w:rPr>
        <w:t xml:space="preserve"> handling is a NEW submodule at the DFI boundary. Scope split between hardware and firmware is an open question (Ch 6). </w:t>
      </w:r>
      <w:r>
        <w:rPr>
          <w:b/>
          <w:bCs/>
          <w:sz w:val="20"/>
        </w:rPr>
        <w:t>Blocks:</w:t>
      </w:r>
      <w:r>
        <w:rPr>
          <w:sz w:val="20"/>
        </w:rPr>
        <w:t xml:space="preserve"> </w:t>
      </w:r>
      <w:r>
        <w:rPr>
          <w:rStyle w:val="VerbatimChar"/>
          <w:sz w:val="20"/>
        </w:rPr>
        <w:t>dfi_cmd_formatter</w:t>
      </w:r>
      <w:r>
        <w:rPr>
          <w:sz w:val="20"/>
        </w:rPr>
        <w:t xml:space="preserve">, </w:t>
      </w:r>
      <w:r>
        <w:rPr>
          <w:rStyle w:val="VerbatimChar"/>
          <w:sz w:val="20"/>
        </w:rPr>
        <w:t>init_sequencer</w:t>
      </w:r>
      <w:r>
        <w:rPr>
          <w:sz w:val="20"/>
        </w:rPr>
        <w:t xml:space="preserve"> MODIFIED; NEW </w:t>
      </w:r>
      <w:r>
        <w:rPr>
          <w:rStyle w:val="VerbatimChar"/>
          <w:sz w:val="20"/>
        </w:rPr>
        <w:t>alert_n</w:t>
      </w:r>
      <w:r>
        <w:rPr>
          <w:sz w:val="20"/>
        </w:rPr>
        <w:t xml:space="preserve"> handling (Ch 3.2, 4.1).</w:t>
      </w:r>
    </w:p>
    <w:p>
      <w:pPr>
        <w:pStyle w:val="BodyText"/>
        <w:rPr/>
      </w:pPr>
      <w:r>
        <w:rPr>
          <w:b/>
          <w:bCs/>
          <w:sz w:val="20"/>
        </w:rPr>
        <w:t>9 — Dynamic ODT.</w:t>
      </w:r>
      <w:r>
        <w:rPr>
          <w:sz w:val="20"/>
        </w:rPr>
        <w:t xml:space="preserve"> DDR4’s termination is dynamic: RTT_NOM, RTT_WR during write bursts, RTT_PARK when idle, with ODT-pin latencies around each transition. scoria holds ODT static — that is insufficient the moment writes and reads interleave, and the policy decisions (which ranks terminate when) need a home. </w:t>
      </w:r>
      <w:r>
        <w:rPr>
          <w:rStyle w:val="VerbatimChar"/>
          <w:b/>
          <w:bCs/>
          <w:sz w:val="20"/>
        </w:rPr>
        <w:t>odt_ctrl</w:t>
      </w:r>
      <w:r>
        <w:rPr>
          <w:b/>
          <w:bCs/>
          <w:sz w:val="20"/>
        </w:rPr>
        <w:t xml:space="preserve"> is NEW</w:t>
      </w:r>
      <w:r>
        <w:rPr>
          <w:sz w:val="20"/>
        </w:rPr>
        <w:t xml:space="preserve"> (Ch 3.5).</w:t>
      </w:r>
    </w:p>
    <w:p>
      <w:pPr>
        <w:pStyle w:val="BodyText"/>
        <w:rPr/>
      </w:pPr>
      <w:r>
        <w:rPr>
          <w:b/>
          <w:bCs/>
          <w:sz w:val="20"/>
        </w:rPr>
        <w:t>10 — LPDDR4 per-chapter deltas.</w:t>
      </w:r>
      <w:r>
        <w:rPr>
          <w:sz w:val="20"/>
        </w:rPr>
        <w:t xml:space="preserve"> LPDDR4’s deltas ride the chapters above rather than forming an eleventh area: no bank groups (area 1), the CA bus (area 2), MPC-carried ZQ (area 5), CA/WDQ training (area 6), controller- directed refresh (area 4), MR-programmed termination (area 9), and DSM power states deferred with the condition below. Chapter 3.6 collects them as a reading aid.</w:t>
      </w:r>
      <w:bookmarkEnd w:id="118"/>
    </w:p>
    <w:p>
      <w:pPr>
        <w:pStyle w:val="Heading2"/>
        <w:pBdr>
          <w:bottom w:val="single" w:sz="12" w:space="0" w:color="228B22"/>
        </w:pBdr>
        <w:spacing w:before="280" w:after="80"/>
        <w:rPr/>
      </w:pPr>
      <w:bookmarkStart w:id="119" w:name="__RefHeading___Toc9135_811569930"/>
      <w:bookmarkStart w:id="120" w:name="the-full-reuse-table"/>
      <w:bookmarkEnd w:id="119"/>
      <w:r>
        <w:rPr>
          <w:rStyle w:val="SectionNumber"/>
          <w:b/>
          <w:color w:val="228B22"/>
          <w:sz w:val="28"/>
        </w:rPr>
        <w:t>10.4</w:t>
      </w:r>
      <w:r>
        <w:rPr>
          <w:b/>
          <w:color w:val="228B22"/>
          <w:sz w:val="28"/>
        </w:rPr>
        <w:tab/>
        <w:t>The full reuse table</w:t>
      </w:r>
    </w:p>
    <w:p>
      <w:pPr>
        <w:pStyle w:val="FirstParagraph"/>
        <w:rPr/>
      </w:pPr>
      <w:r>
        <w:rPr>
          <w:sz w:val="20"/>
        </w:rPr>
        <w:t>Every scoria module, its andesite marking, and its cause. This table and Chapter 2.3 carry the same markings; where they disagree, one of them is wrong and both get fixed.</w:t>
      </w:r>
    </w:p>
    <w:p>
      <w:pPr>
        <w:pStyle w:val="TableCaption"/>
        <w:rPr/>
      </w:pPr>
      <w:bookmarkStart w:id="121" w:name="_Tab_13_Table_3_1__The_compl"/>
      <w:r>
        <w:rPr/>
        <w:t>Table 3.1: The complete reuse table — every scoria module with its andesite marking</w:t>
      </w:r>
      <w:bookmarkEnd w:id="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host/DRAM width-gearing wrapper,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 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BG0/1, CA parity; NEW submodule: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bl>
    <w:p>
      <w:pPr>
        <w:pStyle w:val="BodyText"/>
        <w:rPr/>
      </w:pPr>
      <w:r>
        <w:rPr>
          <w:sz w:val="20"/>
        </w:rPr>
        <w:t xml:space="preserve">Twelve further FUBs are inherited unchanged and live in Chapter 2.3’s prose: </w:t>
      </w:r>
      <w:r>
        <w:rPr>
          <w:rStyle w:val="VerbatimChar"/>
          <w:sz w:val="20"/>
        </w:rPr>
        <w:t>bank_timer</w:t>
      </w:r>
      <w:r>
        <w:rPr>
          <w:sz w:val="20"/>
        </w:rPr>
        <w:t>/</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 xml:space="preserve"> (whose spacing-parameter set grows DDR4’s pairs — a parameter change, not a mechanism change). The CSR block’s generation flow is INHERITED; its contents grow and Chapter 5 owns that.</w:t>
      </w:r>
      <w:bookmarkEnd w:id="120"/>
    </w:p>
    <w:p>
      <w:pPr>
        <w:pStyle w:val="Heading2"/>
        <w:pBdr>
          <w:bottom w:val="single" w:sz="12" w:space="0" w:color="228B22"/>
        </w:pBdr>
        <w:spacing w:before="280" w:after="80"/>
        <w:rPr/>
      </w:pPr>
      <w:bookmarkStart w:id="122" w:name="__RefHeading___Toc9137_811569930"/>
      <w:bookmarkStart w:id="123" w:name="Xf7c29de870fda86e6d0539a49b8fd359afe374c"/>
      <w:bookmarkEnd w:id="122"/>
      <w:r>
        <w:rPr>
          <w:rStyle w:val="SectionNumber"/>
          <w:b/>
          <w:color w:val="228B22"/>
          <w:sz w:val="28"/>
        </w:rPr>
        <w:t>10.5</w:t>
      </w:r>
      <w:r>
        <w:rPr>
          <w:b/>
          <w:color w:val="228B22"/>
          <w:sz w:val="28"/>
        </w:rPr>
        <w:tab/>
        <w:t xml:space="preserve">Dormant: </w:t>
      </w:r>
      <w:r>
        <w:rPr>
          <w:rStyle w:val="VerbatimChar"/>
          <w:b/>
          <w:color w:val="228B22"/>
          <w:sz w:val="28"/>
        </w:rPr>
        <w:t>powerdown_ctrl</w:t>
      </w:r>
      <w:r>
        <w:rPr>
          <w:b/>
          <w:color w:val="228B22"/>
          <w:sz w:val="28"/>
        </w:rPr>
        <w:t xml:space="preserve"> and </w:t>
      </w:r>
      <w:r>
        <w:rPr>
          <w:rStyle w:val="VerbatimChar"/>
          <w:b/>
          <w:color w:val="228B22"/>
          <w:sz w:val="28"/>
        </w:rPr>
        <w:t>dfi_signal_pack</w:t>
      </w:r>
    </w:p>
    <w:p>
      <w:pPr>
        <w:pStyle w:val="FirstParagraph"/>
        <w:rPr/>
      </w:pPr>
      <w:r>
        <w:rPr>
          <w:sz w:val="20"/>
        </w:rPr>
        <w:t xml:space="preserve">Both are carried dormant, the same disposition scoria reached for the same pair, with the condition named rather than implied. </w:t>
      </w:r>
      <w:r>
        <w:rPr>
          <w:b/>
          <w:bCs/>
          <w:sz w:val="20"/>
        </w:rPr>
        <w:t>Waking condition:</w:t>
      </w:r>
      <w:r>
        <w:rPr>
          <w:sz w:val="20"/>
        </w:rPr>
        <w:t xml:space="preserve"> a board target exists for andesite, or the LPDDR4 DSM work below un-defers — whichever comes first. Until then both files are kept in the tree as the starting point for that work, worth more dormant than deleted.</w:t>
      </w:r>
    </w:p>
    <w:p>
      <w:pPr>
        <w:pStyle w:val="BodyText"/>
        <w:rPr/>
      </w:pPr>
      <w:r>
        <w:rPr>
          <w:sz w:val="20"/>
        </w:rPr>
        <w:t xml:space="preserve">The reasoning splits by memtype. For DDR4, power-down is CKE plus </w:t>
      </w:r>
      <w:r>
        <w:rPr>
          <w:rStyle w:val="VerbatimChar"/>
          <w:sz w:val="20"/>
        </w:rPr>
        <w:t>SRE</w:t>
      </w:r>
      <w:r>
        <w:rPr>
          <w:sz w:val="20"/>
        </w:rPr>
        <w:t>/</w:t>
      </w:r>
      <w:r>
        <w:rPr>
          <w:rStyle w:val="VerbatimChar"/>
          <w:sz w:val="20"/>
        </w:rPr>
        <w:t>SRX</w:t>
      </w:r>
      <w:r>
        <w:rPr>
          <w:sz w:val="20"/>
        </w:rPr>
        <w:t>, and the sim-only design point exercises neither meaningfully — the DRAM simply stays in normal operation, which is parity with the references this design point is verified against. For LPDDR4 the pair is load-bearing: deep-sleep states need the DRAM clock stopped (</w:t>
      </w:r>
      <w:r>
        <w:rPr>
          <w:rStyle w:val="VerbatimChar"/>
          <w:sz w:val="20"/>
        </w:rPr>
        <w:t>dfi_dram_clk_disable</w:t>
      </w:r>
      <w:r>
        <w:rPr>
          <w:sz w:val="20"/>
        </w:rPr>
        <w:t xml:space="preserve">), and that is </w:t>
      </w:r>
      <w:r>
        <w:rPr>
          <w:rStyle w:val="VerbatimChar"/>
          <w:sz w:val="20"/>
        </w:rPr>
        <w:t>dfi_signal_pack</w:t>
      </w:r>
      <w:r>
        <w:rPr>
          <w:sz w:val="20"/>
        </w:rPr>
        <w:t xml:space="preserve">’s one function the phase-multiplied buses don’t cover. LPDDR4 </w:t>
      </w:r>
      <w:r>
        <w:rPr>
          <w:i/>
          <w:iCs/>
          <w:sz w:val="20"/>
        </w:rPr>
        <w:t>exists</w:t>
      </w:r>
      <w:r>
        <w:rPr>
          <w:sz w:val="20"/>
        </w:rPr>
        <w:t xml:space="preserve"> for power; deferring its sleep states is a scope decision, not a judgment that they don’t matter.</w:t>
      </w:r>
      <w:bookmarkEnd w:id="123"/>
    </w:p>
    <w:p>
      <w:pPr>
        <w:pStyle w:val="Heading2"/>
        <w:pBdr>
          <w:bottom w:val="single" w:sz="12" w:space="0" w:color="228B22"/>
        </w:pBdr>
        <w:spacing w:before="280" w:after="80"/>
        <w:rPr/>
      </w:pPr>
      <w:bookmarkStart w:id="124" w:name="__RefHeading___Toc9139_811569930"/>
      <w:bookmarkStart w:id="125" w:name="deferred-with-named-conditions"/>
      <w:bookmarkEnd w:id="124"/>
      <w:r>
        <w:rPr>
          <w:rStyle w:val="SectionNumber"/>
          <w:b/>
          <w:color w:val="228B22"/>
          <w:sz w:val="28"/>
        </w:rPr>
        <w:t>10.6</w:t>
      </w:r>
      <w:r>
        <w:rPr>
          <w:b/>
          <w:color w:val="228B22"/>
          <w:sz w:val="28"/>
        </w:rPr>
        <w:tab/>
        <w:t>Deferred, with named conditions</w:t>
      </w:r>
    </w:p>
    <w:p>
      <w:pPr>
        <w:pStyle w:val="FirstParagraph"/>
        <w:rPr/>
      </w:pPr>
      <w:r>
        <w:rPr>
          <w:sz w:val="20"/>
        </w:rPr>
        <w:t>Three items are deliberately out of this edition, each with the condition that un-defers it recorded so the parking is a decision rather than neglect:</w:t>
      </w:r>
    </w:p>
    <w:p>
      <w:pPr>
        <w:pStyle w:val="TableCaption"/>
        <w:rPr/>
      </w:pPr>
      <w:bookmarkStart w:id="126" w:name="_Tab_14_Table_3_2__The_defer"/>
      <w:r>
        <w:rPr/>
        <w:t>Table 3.2: The deferred list</w:t>
      </w:r>
      <w:bookmarkEnd w:id="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Deferred 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 that un-defers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(DDR4, datapath)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and its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 / deep-sleep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low-power consumer and a target that can measure power; wakes the dormant pair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scheduling as a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waking condition as the dormant pair, plus a workload whose idle behaviour makes the policy a question worth answering</w:t>
            </w:r>
          </w:p>
        </w:tc>
      </w:tr>
    </w:tbl>
    <w:p>
      <w:pPr>
        <w:pStyle w:val="BodyText"/>
        <w:rPr/>
      </w:pPr>
      <w:r>
        <w:rPr>
          <w:b/>
          <w:bCs/>
          <w:sz w:val="20"/>
        </w:rPr>
        <w:t>A note on the cleverer refresh schemes.</w:t>
      </w:r>
      <w:r>
        <w:rPr>
          <w:sz w:val="20"/>
        </w:rPr>
        <w:t xml:space="preserve"> Out-of-order per-bank refresh, write-refresh parallelisation, refresh pausing and SARP/DSARP are surveyed in andesite TASK-001 (it predates this book and its roadmap is the </w:t>
      </w:r>
      <w:r>
        <w:rPr>
          <w:rStyle w:val="VerbatimChar"/>
          <w:sz w:val="20"/>
        </w:rPr>
        <w:t>ADVANCED_MODES_ROADMAP</w:t>
      </w:r>
      <w:r>
        <w:rPr>
          <w:sz w:val="20"/>
        </w:rPr>
        <w:t>); this edition implements commodity refresh only and leaves the survey’s research items where they are.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X8cef9dfc8520557169888349d3e3c8539f95223"/>
      <w:bookmarkStart w:id="128" w:name="deferred-with-named-condition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9141_811569930"/>
      <w:bookmarkStart w:id="130" w:name="init-and-zq-reset-mr0-mr6-gear-down"/>
      <w:bookmarkEnd w:id="129"/>
      <w:r>
        <w:rPr>
          <w:rStyle w:val="SectionNumber"/>
          <w:b/>
          <w:color w:val="FFFFFF"/>
          <w:sz w:val="32"/>
        </w:rPr>
        <w:t>11</w:t>
      </w:r>
      <w:r>
        <w:rPr>
          <w:b/>
          <w:color w:val="FFFFFF"/>
          <w:sz w:val="32"/>
        </w:rPr>
        <w:tab/>
        <w:t>Init and ZQ: RESET#, MR0-MR6, Gear-Down</w:t>
      </w:r>
    </w:p>
    <w:p>
      <w:pPr>
        <w:pStyle w:val="Heading2"/>
        <w:pBdr>
          <w:bottom w:val="single" w:sz="12" w:space="0" w:color="228B22"/>
        </w:pBdr>
        <w:spacing w:before="280" w:after="80"/>
        <w:rPr/>
      </w:pPr>
      <w:bookmarkStart w:id="131" w:name="__RefHeading___Toc9143_811569930"/>
      <w:bookmarkStart w:id="132" w:name="the-sequence-is-jedecs-verbatim"/>
      <w:bookmarkEnd w:id="131"/>
      <w:r>
        <w:rPr>
          <w:rStyle w:val="SectionNumber"/>
          <w:b/>
          <w:color w:val="228B22"/>
          <w:sz w:val="28"/>
        </w:rPr>
        <w:t>11.1</w:t>
      </w:r>
      <w:r>
        <w:rPr>
          <w:b/>
          <w:color w:val="228B22"/>
          <w:sz w:val="28"/>
        </w:rPr>
        <w:tab/>
        <w:t>The sequence is JEDEC’s, verbatim</w:t>
      </w:r>
    </w:p>
    <w:p>
      <w:pPr>
        <w:pStyle w:val="FirstParagraph"/>
        <w:rPr/>
      </w:pPr>
      <w:r>
        <w:rPr>
          <w:sz w:val="20"/>
        </w:rPr>
        <w:t xml:space="preserve">JESD79-4 specifies DDR4 power-up initialization as a numbered sequence, and JESD209-4 specifies LPDDR4’s own. Both are reproduced here as </w:t>
      </w:r>
      <w:r>
        <w:rPr>
          <w:i/>
          <w:iCs/>
          <w:sz w:val="20"/>
        </w:rPr>
        <w:t>requirements on the sequencer</w:t>
      </w:r>
      <w:r>
        <w:rPr>
          <w:sz w:val="20"/>
        </w:rPr>
        <w:t>, in each spec’s order, because the order is not ours to choose. The timings are named with their JEDEC symbols; their values are cited to the standards’ initialization sections and land in the CSR derivation (Chapter 5). What binds the sequencer is the order and the dependencies, and those are stated fully.</w:t>
      </w:r>
    </w:p>
    <w:p>
      <w:pPr>
        <w:pStyle w:val="BodyText"/>
        <w:rPr/>
      </w:pPr>
      <w:r>
        <w:rPr>
          <w:sz w:val="20"/>
        </w:rPr>
        <w:t>DDR4:</w:t>
      </w:r>
    </w:p>
    <w:p>
      <w:pPr>
        <w:pStyle w:val="TableCaption"/>
        <w:rPr/>
      </w:pPr>
      <w:bookmarkStart w:id="133" w:name="_Tab_15_Table_3_3__DDR4_init"/>
      <w:r>
        <w:rPr/>
        <w:t>Table 3.3: DDR4 initialization requirements, ordered per JESD79-4</w:t>
      </w:r>
      <w:bookmarkEnd w:id="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voltage-ordering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through its power-up window (</w:t>
            </w:r>
            <w:r>
              <w:rPr>
                <w:rStyle w:val="VerbatimChar"/>
                <w:rFonts w:eastAsia="Cambria" w:cs=""/>
                <w:kern w:val="0"/>
                <w:szCs w:val="24"/>
                <w:lang w:val="en-US" w:eastAsia="en-US" w:bidi="ar-SA"/>
              </w:rPr>
              <w:t>tINIT1</w:t>
            </w:r>
            <w:r>
              <w:rPr>
                <w:rFonts w:eastAsia="Cambria" w:cs=""/>
                <w:kern w:val="0"/>
                <w:sz w:val="24"/>
                <w:szCs w:val="24"/>
                <w:lang w:val="en-US" w:eastAsia="en-US" w:bidi="ar-SA"/>
              </w:rPr>
              <w:t>), then de-assert; keep CKE inactive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the RESET#-deassertion-to-CKE interval (</w:t>
            </w:r>
            <w:r>
              <w:rPr>
                <w:rStyle w:val="VerbatimChar"/>
                <w:rFonts w:eastAsia="Cambria" w:cs=""/>
                <w:kern w:val="0"/>
                <w:szCs w:val="24"/>
                <w:lang w:val="en-US" w:eastAsia="en-US" w:bidi="ar-SA"/>
              </w:rPr>
              <w:t>tINIT3</w:t>
            </w:r>
            <w:r>
              <w:rPr>
                <w:rFonts w:eastAsia="Cambria" w:cs=""/>
                <w:kern w:val="0"/>
                <w:sz w:val="24"/>
                <w:szCs w:val="24"/>
                <w:lang w:val="en-US" w:eastAsia="en-US" w:bidi="ar-SA"/>
              </w:rPr>
              <w:t>), clocks stable per the spec’s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active starts the internal init; wait </w:t>
            </w: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xml:space="preserve"> (DLL enable, and ODT/RTT_NOM programming per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xml:space="preserve">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r>
              <w:rPr>
                <w:rFonts w:eastAsia="Cambria" w:cs=""/>
                <w:kern w:val="0"/>
                <w:sz w:val="24"/>
                <w:szCs w:val="24"/>
                <w:lang w:val="en-US" w:eastAsia="en-US" w:bidi="ar-SA"/>
              </w:rPr>
              <w:t>; ready for normal operation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If gear-down is used:</w:t>
            </w:r>
            <w:r>
              <w:rPr>
                <w:rFonts w:eastAsia="Cambria" w:cs=""/>
                <w:kern w:val="0"/>
                <w:sz w:val="24"/>
                <w:szCs w:val="24"/>
                <w:lang w:val="en-US" w:eastAsia="en-US" w:bidi="ar-SA"/>
              </w:rPr>
              <w:t xml:space="preserve"> program gear-down in MR3, run the gear-down entry sequence, wait its sync time — then normal operation at half CA rate</w:t>
            </w:r>
          </w:p>
        </w:tc>
      </w:tr>
    </w:tbl>
    <w:p>
      <w:pPr>
        <w:pStyle w:val="BodyText"/>
        <w:rPr/>
      </w:pPr>
      <w:r>
        <w:rPr>
          <w:sz w:val="20"/>
        </w:rPr>
        <w:t>LPDDR4:</w:t>
      </w:r>
    </w:p>
    <w:p>
      <w:pPr>
        <w:pStyle w:val="TableCaption"/>
        <w:rPr/>
      </w:pPr>
      <w:bookmarkStart w:id="134" w:name="_Tab_16_Table_3_4__LPDDR4_in"/>
      <w:r>
        <w:rPr/>
        <w:t>Table 3.4: LPDDR4 initialization requirements, ordered per JESD209-4</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sequencing; MRW to the reset-related mode states per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(performed over the CA bus or the reset pin per the part), then the spec’s initialization wait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writes in JESD209-4’s order — including the ODT, drive-strength and DQ ODT programming LPDDR4 carries in its MR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via </w:t>
            </w:r>
            <w:r>
              <w:rPr>
                <w:rFonts w:eastAsia="Cambria" w:cs=""/>
                <w:b/>
                <w:bCs/>
                <w:kern w:val="0"/>
                <w:sz w:val="24"/>
                <w:szCs w:val="24"/>
                <w:lang w:val="en-US" w:eastAsia="en-US" w:bidi="ar-SA"/>
              </w:rPr>
              <w:t>MPC</w:t>
            </w:r>
            <w:r>
              <w:rPr>
                <w:rFonts w:eastAsia="Cambria" w:cs=""/>
                <w:kern w:val="0"/>
                <w:sz w:val="24"/>
                <w:szCs w:val="24"/>
                <w:lang w:val="en-US" w:eastAsia="en-US" w:bidi="ar-SA"/>
              </w:rPr>
              <w:t xml:space="preserve"> (the LPDDR4 path — see the ZQ section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 CA training before reliable operation if the board requires it (Ch 3.3)</w:t>
            </w:r>
          </w:p>
        </w:tc>
      </w:tr>
    </w:tbl>
    <w:p>
      <w:pPr>
        <w:pStyle w:val="BodyText"/>
        <w:rPr/>
      </w:pPr>
      <w:r>
        <w:rPr>
          <w:sz w:val="20"/>
        </w:rPr>
        <w:t xml:space="preserve">Two recordings follow the tables, per the evidentiary rule. </w:t>
      </w:r>
      <w:r>
        <w:rPr>
          <w:b/>
          <w:bCs/>
          <w:sz w:val="20"/>
        </w:rPr>
        <w:t>First:</w:t>
      </w:r>
      <w:r>
        <w:rPr>
          <w:sz w:val="20"/>
        </w:rPr>
        <w:t xml:space="preserve"> the numeric init constants (the </w:t>
      </w:r>
      <w:r>
        <w:rPr>
          <w:rStyle w:val="VerbatimChar"/>
          <w:sz w:val="20"/>
        </w:rPr>
        <w:t>tINIT*</w:t>
      </w:r>
      <w:r>
        <w:rPr>
          <w:sz w:val="20"/>
        </w:rPr>
        <w:t xml:space="preserve"> family, </w:t>
      </w:r>
      <w:r>
        <w:rPr>
          <w:rStyle w:val="VerbatimChar"/>
          <w:sz w:val="20"/>
        </w:rPr>
        <w:t>tDLLK</w:t>
      </w:r>
      <w:r>
        <w:rPr>
          <w:sz w:val="20"/>
        </w:rPr>
        <w:t xml:space="preserve">, </w:t>
      </w:r>
      <w:r>
        <w:rPr>
          <w:rStyle w:val="VerbatimChar"/>
          <w:sz w:val="20"/>
        </w:rPr>
        <w:t>tZQinit</w:t>
      </w:r>
      <w:r>
        <w:rPr>
          <w:sz w:val="20"/>
        </w:rPr>
        <w:t xml:space="preserve">, </w:t>
      </w:r>
      <w:r>
        <w:rPr>
          <w:rStyle w:val="VerbatimChar"/>
          <w:sz w:val="20"/>
        </w:rPr>
        <w:t>tMRD</w:t>
      </w:r>
      <w:r>
        <w:rPr>
          <w:sz w:val="20"/>
        </w:rPr>
        <w:t xml:space="preserve">, </w:t>
      </w:r>
      <w:r>
        <w:rPr>
          <w:rStyle w:val="VerbatimChar"/>
          <w:sz w:val="20"/>
        </w:rPr>
        <w:t>tMOD</w:t>
      </w:r>
      <w:r>
        <w:rPr>
          <w:sz w:val="20"/>
        </w:rPr>
        <w:t xml:space="preserve">) are cited to JESD79-4 §3 / JESD209-4’s initialization sections and are recorded as open question Q1 in Chapter 6 until read from cold storage at CSR-derivation time — this book does not state them from memory. </w:t>
      </w:r>
      <w:r>
        <w:rPr>
          <w:b/>
          <w:bCs/>
          <w:sz w:val="20"/>
        </w:rPr>
        <w:t>Second:</w:t>
      </w:r>
      <w:r>
        <w:rPr>
          <w:sz w:val="20"/>
        </w:rPr>
        <w:t xml:space="preserve"> the MRS order above is MR3-MR6-MR5-MR4-MR2-MR1-MR0, and it is not sorted — MR0 carries the DLL reset and goes last, so the order encodes a dependency the way scoria’s MR2-MR3-MR1-MR0 did. pumice’s EMRS3-first correction is the family precedent: the sequence is a citation, not a design choice.</w:t>
      </w:r>
      <w:bookmarkEnd w:id="132"/>
    </w:p>
    <w:p>
      <w:pPr>
        <w:pStyle w:val="Heading2"/>
        <w:pBdr>
          <w:bottom w:val="single" w:sz="12" w:space="0" w:color="228B22"/>
        </w:pBdr>
        <w:spacing w:before="280" w:after="80"/>
        <w:rPr/>
      </w:pPr>
      <w:bookmarkStart w:id="135" w:name="__RefHeading___Toc9145_811569930"/>
      <w:bookmarkStart w:id="136" w:name="what-the-sequencer-owns"/>
      <w:bookmarkEnd w:id="135"/>
      <w:r>
        <w:rPr>
          <w:rStyle w:val="SectionNumber"/>
          <w:b/>
          <w:color w:val="228B22"/>
          <w:sz w:val="28"/>
        </w:rPr>
        <w:t>11.2</w:t>
      </w:r>
      <w:r>
        <w:rPr>
          <w:b/>
          <w:color w:val="228B22"/>
          <w:sz w:val="28"/>
        </w:rPr>
        <w:tab/>
        <w:t>What the sequencer owns</w:t>
      </w:r>
    </w:p>
    <w:p>
      <w:pPr>
        <w:pStyle w:val="FirstParagraph"/>
        <w:rPr/>
      </w:pPr>
      <w:r>
        <w:rPr>
          <w:rStyle w:val="VerbatimChar"/>
          <w:b/>
          <w:bCs/>
          <w:sz w:val="20"/>
        </w:rPr>
        <w:t>RESET#</w:t>
      </w:r>
      <w:r>
        <w:rPr>
          <w:b/>
          <w:bCs/>
          <w:sz w:val="20"/>
        </w:rPr>
        <w:t xml:space="preserve"> is a pin, not a command</w:t>
      </w:r>
      <w:r>
        <w:rPr>
          <w:sz w:val="20"/>
        </w:rPr>
        <w:t xml:space="preserve"> — scoria already learned this shape, and andesite inherits the pattern: the sequencer drives a reset output, holds it through its timed window, and the output reaches the top level and the PHY.</w:t>
      </w:r>
    </w:p>
    <w:p>
      <w:pPr>
        <w:pStyle w:val="BodyText"/>
        <w:rPr/>
      </w:pPr>
      <w:r>
        <w:rPr>
          <w:b/>
          <w:bCs/>
          <w:sz w:val="20"/>
        </w:rPr>
        <w:t>Gear-down entry.</w:t>
      </w:r>
      <w:r>
        <w:rPr>
          <w:sz w:val="20"/>
        </w:rPr>
        <w:t xml:space="preserve"> DDR4 runs its CA bus at full rate for initialization, then optionally halves it. The entry is a sequenced mode switch: program gear-down in MR3, issue the entry sequence, wait the sync interval, then operate at half rate. The DFI side has a matching controller/PHY handshake so both sides of the boundary switch together </w:t>
      </w:r>
      <w:r>
        <w:rPr>
          <w:rStyle w:val="VerbatimChar"/>
          <w:sz w:val="20"/>
        </w:rPr>
        <w:t>§TBC(TASK-005)</w:t>
      </w:r>
      <w:r>
        <w:rPr>
          <w:sz w:val="20"/>
        </w:rPr>
        <w:t>. Whether the design point uses gear-down is a CSR-selectable choice; the FSM must support both rates because initialization always happens at full rate.</w:t>
      </w:r>
    </w:p>
    <w:p>
      <w:pPr>
        <w:pStyle w:val="BodyText"/>
        <w:rPr/>
      </w:pPr>
      <w:r>
        <w:rPr>
          <w:b/>
          <w:bCs/>
          <w:sz w:val="20"/>
        </w:rPr>
        <w:t>Parity enable.</w:t>
      </w:r>
      <w:r>
        <w:rPr>
          <w:sz w:val="20"/>
        </w:rPr>
        <w:t xml:space="preserve"> CA parity is enabled through the MR sequence (MR5 carries parity’s programming; the exact fields are the MAS’s mode-register chapter). The sequencer’s obligation is ordering: parity may only be enabled once the bus is stable, and the formatter’s parity counter starts counting from that point — a dependency between the sequencer and the formatter that the FSM states must make explicit.</w:t>
      </w:r>
    </w:p>
    <w:p>
      <w:pPr>
        <w:pStyle w:val="BodyText"/>
        <w:rPr/>
      </w:pPr>
      <w:r>
        <w:rPr>
          <w:b/>
          <w:bCs/>
          <w:sz w:val="20"/>
        </w:rPr>
        <w:t>The mode-register set becomes seven.</w:t>
      </w:r>
      <w:r>
        <w:rPr>
          <w:sz w:val="20"/>
        </w:rPr>
        <w:t xml:space="preserve"> </w:t>
      </w:r>
      <w:r>
        <w:rPr>
          <w:rStyle w:val="VerbatimChar"/>
          <w:sz w:val="20"/>
        </w:rPr>
        <w:t>mode_register</w:t>
      </w:r>
      <w:r>
        <w:rPr>
          <w:sz w:val="20"/>
        </w:rPr>
        <w:t xml:space="preserve"> (MODIFIED) carries MR0-MR6 for DDR4 — MR0 (burst, CAS latency, DLL reset, write recovery), MR1 (DLL enable, additive latency, RTT_NOM, write leveling), MR2 (CAS write latency, RTT_WR, write CRC mode bits — inert this edition, LP ASR), MR3 (</w:t>
      </w:r>
      <w:r>
        <w:rPr>
          <w:b/>
          <w:bCs/>
          <w:sz w:val="20"/>
        </w:rPr>
        <w:t>MPR access, FGR select, gear-down</w:t>
      </w:r>
      <w:r>
        <w:rPr>
          <w:sz w:val="20"/>
        </w:rPr>
        <w:t xml:space="preserve">), MR4 (temperature status, preamble, CAL), MR5 (read and write DBI, RTT_PARK, data-mask enable, CA parity latency/mode), MR6 (VrefDQ training) — and the LPDDR4 MR set beside it. Field-level maps are the MAS’s business; this chapter binds the register count, the programming order, and which MRs couple to other blocks (MR3 to refresh and training, MR5 to ODT, DBI datapath and parity machinery, MR2 RTT_WR to </w:t>
      </w:r>
      <w:r>
        <w:rPr>
          <w:rStyle w:val="VerbatimChar"/>
          <w:sz w:val="20"/>
        </w:rPr>
        <w:t>odt_ctrl</w:t>
      </w:r>
      <w:r>
        <w:rPr>
          <w:sz w:val="20"/>
        </w:rPr>
        <w:t>).</w:t>
      </w:r>
      <w:bookmarkEnd w:id="136"/>
    </w:p>
    <w:p>
      <w:pPr>
        <w:pStyle w:val="Heading2"/>
        <w:pBdr>
          <w:bottom w:val="single" w:sz="12" w:space="0" w:color="228B22"/>
        </w:pBdr>
        <w:spacing w:before="280" w:after="80"/>
        <w:rPr/>
      </w:pPr>
      <w:bookmarkStart w:id="137" w:name="__RefHeading___Toc9147_811569930"/>
      <w:bookmarkStart w:id="138" w:name="zq-calibration"/>
      <w:bookmarkEnd w:id="137"/>
      <w:r>
        <w:rPr>
          <w:rStyle w:val="SectionNumber"/>
          <w:b/>
          <w:color w:val="228B22"/>
          <w:sz w:val="28"/>
        </w:rPr>
        <w:t>11.3</w:t>
      </w:r>
      <w:r>
        <w:rPr>
          <w:b/>
          <w:color w:val="228B22"/>
          <w:sz w:val="28"/>
        </w:rPr>
        <w:tab/>
        <w:t>ZQ calibration</w:t>
      </w:r>
    </w:p>
    <w:p>
      <w:pPr>
        <w:pStyle w:val="FirstParagraph"/>
        <w:rPr/>
      </w:pPr>
      <w:r>
        <w:rPr>
          <w:sz w:val="20"/>
        </w:rPr>
        <w:t xml:space="preserve">DDR4’s ZQ story is inherited. </w:t>
      </w:r>
      <w:r>
        <w:rPr>
          <w:rStyle w:val="VerbatimChar"/>
          <w:sz w:val="20"/>
        </w:rPr>
        <w:t>ZQCL</w:t>
      </w:r>
      <w:r>
        <w:rPr>
          <w:sz w:val="20"/>
        </w:rPr>
        <w:t xml:space="preserve"> closes initialization, </w:t>
      </w:r>
      <w:r>
        <w:rPr>
          <w:rStyle w:val="VerbatimChar"/>
          <w:sz w:val="20"/>
        </w:rPr>
        <w:t>tZQinit</w:t>
      </w:r>
      <w:r>
        <w:rPr>
          <w:sz w:val="20"/>
        </w:rPr>
        <w:t xml:space="preserve"> gates readiness, </w:t>
      </w:r>
      <w:r>
        <w:rPr>
          <w:rStyle w:val="VerbatimChar"/>
          <w:sz w:val="20"/>
        </w:rPr>
        <w:t>ZQCS</w:t>
      </w:r>
      <w:r>
        <w:rPr>
          <w:sz w:val="20"/>
        </w:rPr>
        <w:t xml:space="preserve"> runs periodically as maintenance traffic with its interval a runtime CSR, and the module requests the bus and waits — it never preempts (family doctrine 2). scoria’s </w:t>
      </w:r>
      <w:r>
        <w:rPr>
          <w:rStyle w:val="VerbatimChar"/>
          <w:sz w:val="20"/>
        </w:rPr>
        <w:t>zq_ctrl</w:t>
      </w:r>
      <w:r>
        <w:rPr>
          <w:sz w:val="20"/>
        </w:rPr>
        <w:t xml:space="preserve"> does exactly this and andesite uses it for DDR4 unchanged, including the CSR-selectable placement policy scoria landed as TASK-001 Mode C.</w:t>
      </w:r>
    </w:p>
    <w:p>
      <w:pPr>
        <w:pStyle w:val="BodyText"/>
        <w:rPr/>
      </w:pPr>
      <w:r>
        <w:rPr>
          <w:sz w:val="20"/>
        </w:rPr>
        <w:t xml:space="preserve">LPDDR4’s is the new path. JESD209-4 carries calibration on the </w:t>
      </w:r>
      <w:r>
        <w:rPr>
          <w:b/>
          <w:bCs/>
          <w:sz w:val="20"/>
        </w:rPr>
        <w:t>MPC</w:t>
      </w:r>
      <w:r>
        <w:rPr>
          <w:sz w:val="20"/>
        </w:rPr>
        <w:t xml:space="preserve"> command — ZQCal start and latch as MPC opcodes on the CA bus — so </w:t>
      </w:r>
      <w:r>
        <w:rPr>
          <w:rStyle w:val="VerbatimChar"/>
          <w:sz w:val="20"/>
        </w:rPr>
        <w:t>zq_ctrl</w:t>
      </w:r>
      <w:r>
        <w:rPr>
          <w:sz w:val="20"/>
        </w:rPr>
        <w:t xml:space="preserve"> grows a NEW submodule: an MPC issuer that sequences calibration through the formatter’s LPDDR4 CA path and reports the same way the inherited core does. The maintenance shape is unchanged: interval CSR, request and wait, telemetry count. What changes is only the bus the calibration rides.</w:t>
      </w:r>
    </w:p>
    <w:p>
      <w:pPr>
        <w:pStyle w:val="BodyText"/>
        <w:rPr/>
      </w:pPr>
      <w:r>
        <w:rPr>
          <w:b/>
          <w:bCs/>
          <w:sz w:val="20"/>
        </w:rPr>
        <w:t>The scheduler consequence is one input, as it was in scoria.</w:t>
      </w:r>
      <w:r>
        <w:rPr>
          <w:sz w:val="20"/>
        </w:rPr>
        <w:t xml:space="preserve"> Refresh demand, ZQ demand (DDR4 or LPDDR4), and the new odt_ctrl’s turnarounds all arrive as maintenance-class requests; </w:t>
      </w:r>
      <w:r>
        <w:rPr>
          <w:rStyle w:val="VerbatimChar"/>
          <w:sz w:val="20"/>
        </w:rPr>
        <w:t>scheduler_layer</w:t>
      </w:r>
      <w:r>
        <w:rPr>
          <w:sz w:val="20"/>
        </w:rPr>
        <w:t xml:space="preserve"> arbitrates them with the same request/grant machinery it inherited.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init-and-zq-reset-mr0-mr6-gear-down"/>
      <w:bookmarkStart w:id="140" w:name="zq-calibratio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9149_811569930"/>
      <w:bookmarkStart w:id="142" w:name="X4f2a811f364b2caeb2d5028161ec58c9b27c703"/>
      <w:bookmarkEnd w:id="141"/>
      <w:r>
        <w:rPr>
          <w:rStyle w:val="SectionNumber"/>
          <w:b/>
          <w:color w:val="FFFFFF"/>
          <w:sz w:val="32"/>
        </w:rPr>
        <w:t>12</w:t>
      </w:r>
      <w:r>
        <w:rPr>
          <w:b/>
          <w:color w:val="FFFFFF"/>
          <w:sz w:val="32"/>
        </w:rPr>
        <w:tab/>
        <w:t>Training: Write Leveling Inherited, Read Leveling New</w:t>
      </w:r>
    </w:p>
    <w:p>
      <w:pPr>
        <w:pStyle w:val="Heading2"/>
        <w:pBdr>
          <w:bottom w:val="single" w:sz="12" w:space="0" w:color="228B22"/>
        </w:pBdr>
        <w:spacing w:before="280" w:after="80"/>
        <w:rPr/>
      </w:pPr>
      <w:bookmarkStart w:id="143" w:name="__RefHeading___Toc9151_811569930"/>
      <w:bookmarkStart w:id="144" w:name="Xf9fe17d76fccbfba3170f0e267f7a14217617d5"/>
      <w:bookmarkEnd w:id="143"/>
      <w:r>
        <w:rPr>
          <w:rStyle w:val="SectionNumber"/>
          <w:b/>
          <w:color w:val="228B22"/>
          <w:sz w:val="28"/>
        </w:rPr>
        <w:t>12.1</w:t>
      </w:r>
      <w:r>
        <w:rPr>
          <w:b/>
          <w:color w:val="228B22"/>
          <w:sz w:val="28"/>
        </w:rPr>
        <w:tab/>
        <w:t>The family rule: interfaces in hardware, searches in firmware</w:t>
      </w:r>
    </w:p>
    <w:p>
      <w:pPr>
        <w:pStyle w:val="FirstParagraph"/>
        <w:rPr/>
      </w:pPr>
      <w:r>
        <w:rPr>
          <w:sz w:val="20"/>
        </w:rPr>
        <w:t xml:space="preserve">This family has made the training decision once already, and andesite makes the same decision for the same reasons. scoria’s D2 settled it for write leveling: the controller provides the </w:t>
      </w:r>
      <w:r>
        <w:rPr>
          <w:i/>
          <w:iCs/>
          <w:sz w:val="20"/>
        </w:rPr>
        <w:t>interface</w:t>
      </w:r>
      <w:r>
        <w:rPr>
          <w:sz w:val="20"/>
        </w:rPr>
        <w:t xml:space="preserve"> — the DFI handshake, the MR path, the timing windows, the telemetry — and the </w:t>
      </w:r>
      <w:r>
        <w:rPr>
          <w:i/>
          <w:iCs/>
          <w:sz w:val="20"/>
        </w:rPr>
        <w:t>search</w:t>
      </w:r>
      <w:r>
        <w:rPr>
          <w:sz w:val="20"/>
        </w:rPr>
        <w:t xml:space="preserve"> runs in firmware. A delay-line walk’s step size, tap count, monotonicity and temperature behaviour are PHY properties, not controller properties, and a calibration bug should be a script edit, not a respin.</w:t>
      </w:r>
    </w:p>
    <w:p>
      <w:pPr>
        <w:pStyle w:val="BodyText"/>
        <w:rPr/>
      </w:pPr>
      <w:r>
        <w:rPr>
          <w:b/>
          <w:bCs/>
          <w:sz w:val="20"/>
        </w:rPr>
        <w:t>Corroborated by LiteDRAM, once again.</w:t>
      </w:r>
      <w:r>
        <w:rPr>
          <w:sz w:val="20"/>
        </w:rPr>
        <w:t xml:space="preserve"> The same generated-core check that backed scoria’s D2 backs this extension: LiteDRAM’s training support is enable-plus-strobe registers with no leveling state machine, and its DDR4 generation adds read-leveling and CA-training knobs in exactly that shape. An independent, deployed controller reaching the same conclusion is worth more than the argument on its own — and it tells us the interface shape that works in practice.</w:t>
      </w:r>
    </w:p>
    <w:p>
      <w:pPr>
        <w:pStyle w:val="BodyText"/>
        <w:rPr/>
      </w:pPr>
      <w:r>
        <w:rPr>
          <w:sz w:val="20"/>
        </w:rPr>
        <w:t>So andesite’s training blocks obey three rules, inherited:</w:t>
      </w:r>
    </w:p>
    <w:p>
      <w:pPr>
        <w:pStyle w:val="Compact"/>
        <w:numPr>
          <w:ilvl w:val="0"/>
          <w:numId w:val="26"/>
        </w:numPr>
        <w:rPr/>
      </w:pPr>
      <w:r>
        <w:rPr>
          <w:b/>
          <w:bCs/>
        </w:rPr>
        <w:t>No search loop in hardware.</w:t>
      </w:r>
      <w:r>
        <w:rPr/>
        <w:t xml:space="preserve"> Anywhere. The blocks handshake, sequence, window, and report; firmware walks.</w:t>
      </w:r>
    </w:p>
    <w:p>
      <w:pPr>
        <w:pStyle w:val="Compact"/>
        <w:numPr>
          <w:ilvl w:val="0"/>
          <w:numId w:val="27"/>
        </w:numPr>
        <w:rPr/>
      </w:pPr>
      <w:r>
        <w:rPr>
          <w:b/>
          <w:bCs/>
        </w:rPr>
        <w:t>The four-state telemetry rule.</w:t>
      </w:r>
      <w:r>
        <w:rPr/>
        <w:t xml:space="preserve"> A host must distinguish never attempted, attempted and converged, attempted and timed out, and attempted with no result across the whole window — a detector that has never fired is not evidence of anything (pumice’s data-integrity CRC lesson, quoted in full in scoria’s book and not repeated here).</w:t>
      </w:r>
    </w:p>
    <w:p>
      <w:pPr>
        <w:pStyle w:val="Compact"/>
        <w:numPr>
          <w:ilvl w:val="0"/>
          <w:numId w:val="28"/>
        </w:numPr>
        <w:rPr/>
      </w:pPr>
      <w:r>
        <w:rPr>
          <w:b/>
          <w:bCs/>
        </w:rPr>
        <w:t>Timeout is the controller’s to define.</w:t>
      </w:r>
      <w:r>
        <w:rPr/>
        <w:t xml:space="preserve"> Where a JEDEC window’s maximum is controller-dependent, the CSR defines it with a distinct status bit — a host that waits forever for a result it will never get is indistinguishable from a broken link.</w:t>
      </w:r>
      <w:bookmarkEnd w:id="144"/>
    </w:p>
    <w:p>
      <w:pPr>
        <w:pStyle w:val="Heading2"/>
        <w:pBdr>
          <w:bottom w:val="single" w:sz="12" w:space="0" w:color="228B22"/>
        </w:pBdr>
        <w:spacing w:before="280" w:after="80"/>
        <w:rPr/>
      </w:pPr>
      <w:bookmarkStart w:id="145" w:name="__RefHeading___Toc9153_811569930"/>
      <w:bookmarkStart w:id="146" w:name="write-leveling-wrlvl_ifc-modified"/>
      <w:bookmarkEnd w:id="145"/>
      <w:r>
        <w:rPr>
          <w:rStyle w:val="SectionNumber"/>
          <w:b/>
          <w:color w:val="228B22"/>
          <w:sz w:val="28"/>
        </w:rPr>
        <w:t>12.2</w:t>
      </w:r>
      <w:r>
        <w:rPr>
          <w:b/>
          <w:color w:val="228B22"/>
          <w:sz w:val="28"/>
        </w:rPr>
        <w:tab/>
        <w:t xml:space="preserve">Write leveling: </w:t>
      </w:r>
      <w:r>
        <w:rPr>
          <w:rStyle w:val="VerbatimChar"/>
          <w:b/>
          <w:color w:val="228B22"/>
          <w:sz w:val="28"/>
        </w:rPr>
        <w:t>wrlvl_ifc</w:t>
      </w:r>
      <w:r>
        <w:rPr>
          <w:b/>
          <w:color w:val="228B22"/>
          <w:sz w:val="28"/>
        </w:rPr>
        <w:t>, MODIFIED</w:t>
      </w:r>
    </w:p>
    <w:p>
      <w:pPr>
        <w:pStyle w:val="FirstParagraph"/>
        <w:rPr/>
      </w:pPr>
      <w:r>
        <w:rPr>
          <w:sz w:val="20"/>
        </w:rPr>
        <w:t xml:space="preserve">The interface is scoria’s, carried with its contract intact: DFI leveling handshake, MR1 path in and out of the DRAM’s leveling mode, the </w:t>
      </w:r>
      <w:r>
        <w:rPr>
          <w:rStyle w:val="VerbatimChar"/>
          <w:sz w:val="20"/>
        </w:rPr>
        <w:t>tWL*</w:t>
      </w:r>
      <w:r>
        <w:rPr>
          <w:sz w:val="20"/>
        </w:rPr>
        <w:t xml:space="preserve"> timing windows as runtime CSRs, prime-DQ result capture, and the four-state telemetry. The marking is MODIFIED for one bounded reason: the training-interface family grows a read-leveling sibling, and the shared machinery (handshake discipline, window enforcement, telemetry framing) is factored so both interfaces ride it. What the module owes the host is unchanged.</w:t>
      </w:r>
      <w:bookmarkEnd w:id="146"/>
    </w:p>
    <w:p>
      <w:pPr>
        <w:pStyle w:val="Heading2"/>
        <w:pBdr>
          <w:bottom w:val="single" w:sz="12" w:space="0" w:color="228B22"/>
        </w:pBdr>
        <w:spacing w:before="280" w:after="80"/>
        <w:rPr/>
      </w:pPr>
      <w:bookmarkStart w:id="147" w:name="__RefHeading___Toc9155_811569930"/>
      <w:bookmarkStart w:id="148" w:name="read-leveling-rdlvl_ifc-new"/>
      <w:bookmarkEnd w:id="147"/>
      <w:r>
        <w:rPr>
          <w:rStyle w:val="SectionNumber"/>
          <w:b/>
          <w:color w:val="228B22"/>
          <w:sz w:val="28"/>
        </w:rPr>
        <w:t>12.3</w:t>
      </w:r>
      <w:r>
        <w:rPr>
          <w:b/>
          <w:color w:val="228B22"/>
          <w:sz w:val="28"/>
        </w:rPr>
        <w:tab/>
        <w:t xml:space="preserve">Read leveling: </w:t>
      </w:r>
      <w:r>
        <w:rPr>
          <w:rStyle w:val="VerbatimChar"/>
          <w:b/>
          <w:color w:val="228B22"/>
          <w:sz w:val="28"/>
        </w:rPr>
        <w:t>rdlvl_ifc</w:t>
      </w:r>
      <w:r>
        <w:rPr>
          <w:b/>
          <w:color w:val="228B22"/>
          <w:sz w:val="28"/>
        </w:rPr>
        <w:t>, NEW</w:t>
      </w:r>
    </w:p>
    <w:p>
      <w:pPr>
        <w:pStyle w:val="FirstParagraph"/>
        <w:rPr/>
      </w:pPr>
      <w:r>
        <w:rPr>
          <w:sz w:val="20"/>
        </w:rPr>
        <w:t xml:space="preserve">DDR4’s fly-by topology skews DQS against CK on the read side too, and the DRAM can help: MR3’s </w:t>
      </w:r>
      <w:r>
        <w:rPr>
          <w:b/>
          <w:bCs/>
          <w:sz w:val="20"/>
        </w:rPr>
        <w:t>MPR</w:t>
      </w:r>
      <w:r>
        <w:rPr>
          <w:sz w:val="20"/>
        </w:rPr>
        <w:t xml:space="preserve"> (multi-purpose register) makes the DRAM drive a known, training- only pattern onto DQ, so the controller can observe its read capture timing without any memory array in the loop.</w:t>
      </w:r>
    </w:p>
    <w:p>
      <w:pPr>
        <w:pStyle w:val="TableCaption"/>
        <w:rPr/>
      </w:pPr>
      <w:bookmarkStart w:id="149" w:name="_Tab_17_Table_3_5__rdlvl_ifc"/>
      <w:r>
        <w:rPr/>
        <w:t xml:space="preserve">Table 3.5: </w:t>
      </w:r>
      <w:r>
        <w:rPr>
          <w:rStyle w:val="VerbatimChar"/>
        </w:rPr>
        <w:t>rdlvl_ifc</w:t>
      </w:r>
      <w:r>
        <w:rPr/>
        <w:t xml:space="preserve"> responsibilities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request/acknowledge per chip select with the DFI v4.0 read-training signals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into and out of MPR access mode via MR3,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MPR readout and pre/post-pattern intervals as runtime CSRs, named per JESD79-4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pattern’s observed value per chip select,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above: attempts, results, window, completion</w:t>
            </w:r>
          </w:p>
        </w:tc>
      </w:tr>
    </w:tbl>
    <w:p>
      <w:pPr>
        <w:pStyle w:val="BodyText"/>
        <w:rPr/>
      </w:pPr>
      <w:bookmarkStart w:id="150" w:name="read-leveling-rdlvl_ifc-new"/>
      <w:r>
        <w:rPr>
          <w:sz w:val="20"/>
        </w:rPr>
        <w:t>The search is firmware’s: enable MPR, capture, walk the read delay, cache the result. The block never decides anything.</w:t>
      </w:r>
      <w:bookmarkEnd w:id="150"/>
    </w:p>
    <w:p>
      <w:pPr>
        <w:pStyle w:val="Heading2"/>
        <w:pBdr>
          <w:bottom w:val="single" w:sz="12" w:space="0" w:color="228B22"/>
        </w:pBdr>
        <w:spacing w:before="280" w:after="80"/>
        <w:rPr/>
      </w:pPr>
      <w:bookmarkStart w:id="151" w:name="__RefHeading___Toc9157_811569930"/>
      <w:bookmarkStart w:id="152" w:name="lpddr4-cawdq-training-ca_train_ifc-new"/>
      <w:bookmarkEnd w:id="151"/>
      <w:r>
        <w:rPr>
          <w:rStyle w:val="SectionNumber"/>
          <w:b/>
          <w:color w:val="228B22"/>
          <w:sz w:val="28"/>
        </w:rPr>
        <w:t>12.4</w:t>
      </w:r>
      <w:r>
        <w:rPr>
          <w:b/>
          <w:color w:val="228B22"/>
          <w:sz w:val="28"/>
        </w:rPr>
        <w:tab/>
        <w:t xml:space="preserve">LPDDR4 CA/WDQ training: </w:t>
      </w:r>
      <w:r>
        <w:rPr>
          <w:rStyle w:val="VerbatimChar"/>
          <w:b/>
          <w:color w:val="228B22"/>
          <w:sz w:val="28"/>
        </w:rPr>
        <w:t>ca_train_ifc</w:t>
      </w:r>
      <w:r>
        <w:rPr>
          <w:b/>
          <w:color w:val="228B22"/>
          <w:sz w:val="28"/>
        </w:rPr>
        <w:t>, NEW</w:t>
      </w:r>
    </w:p>
    <w:p>
      <w:pPr>
        <w:pStyle w:val="FirstParagraph"/>
        <w:rPr/>
      </w:pPr>
      <w:r>
        <w:rPr>
          <w:sz w:val="20"/>
        </w:rPr>
        <w:t xml:space="preserve">LPDDR4’s bus needs training DDR4 doesn’t: the </w:t>
      </w:r>
      <w:r>
        <w:rPr>
          <w:b/>
          <w:bCs/>
          <w:sz w:val="20"/>
        </w:rPr>
        <w:t>CA bus itself</w:t>
      </w:r>
      <w:r>
        <w:rPr>
          <w:sz w:val="20"/>
        </w:rPr>
        <w:t xml:space="preserve"> must be trained (LPDDR4 samples CA against CK, and both edges matter), and the write-DQ path needs its own calibration step. JESD209-4 carries both through the MPC command’s training opcodes — which is why this block sits beside </w:t>
      </w:r>
      <w:r>
        <w:rPr>
          <w:rStyle w:val="VerbatimChar"/>
          <w:sz w:val="20"/>
        </w:rPr>
        <w:t>zq_ctrl</w:t>
      </w:r>
      <w:r>
        <w:rPr>
          <w:sz w:val="20"/>
        </w:rPr>
        <w:t>’s MPC submodule in the dependency graph and reuses the formatter’s LPDDR4 CA path.</w:t>
      </w:r>
    </w:p>
    <w:p>
      <w:pPr>
        <w:pStyle w:val="TableCaption"/>
        <w:rPr/>
      </w:pPr>
      <w:bookmarkStart w:id="153" w:name="_Tab_18_Table_3_6__ca_train_"/>
      <w:r>
        <w:rPr/>
        <w:t xml:space="preserve">Table 3.6: </w:t>
      </w:r>
      <w:r>
        <w:rPr>
          <w:rStyle w:val="VerbatimChar"/>
        </w:rPr>
        <w:t>ca_train_ifc</w:t>
      </w:r>
      <w:r>
        <w:rPr/>
        <w:t xml:space="preserve"> responsibilities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training-opcode issuer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entry/exit and WDQ calibration steps over the 6-bit CA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LPDDR4’s training-mode signalling to the PHY, per DFI v4.0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training intervals as 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sampled CA/DQ observation per step,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per-channel because LPDDR4’s channels train independently</w:t>
            </w:r>
          </w:p>
        </w:tc>
      </w:tr>
    </w:tbl>
    <w:p>
      <w:pPr>
        <w:pStyle w:val="BodyText"/>
        <w:rPr/>
      </w:pPr>
      <w:r>
        <w:rPr>
          <w:b/>
          <w:bCs/>
          <w:sz w:val="20"/>
        </w:rPr>
        <w:t>A scope note.</w:t>
      </w:r>
      <w:r>
        <w:rPr>
          <w:sz w:val="20"/>
        </w:rPr>
        <w:t xml:space="preserve"> Whether LPDDR4 CA training is </w:t>
      </w:r>
      <w:r>
        <w:rPr>
          <w:i/>
          <w:iCs/>
          <w:sz w:val="20"/>
        </w:rPr>
        <w:t>mandatory before operation</w:t>
      </w:r>
      <w:r>
        <w:rPr>
          <w:sz w:val="20"/>
        </w:rPr>
        <w:t xml:space="preserve"> is board-dependent; the init chapter (3.2) records it as a conditional step. The interface exists either way — a board that needs it must not require new hardware to use it.</w:t>
      </w:r>
      <w:bookmarkEnd w:id="152"/>
    </w:p>
    <w:p>
      <w:pPr>
        <w:pStyle w:val="Heading2"/>
        <w:pBdr>
          <w:bottom w:val="single" w:sz="12" w:space="0" w:color="228B22"/>
        </w:pBdr>
        <w:spacing w:before="280" w:after="80"/>
        <w:rPr/>
      </w:pPr>
      <w:bookmarkStart w:id="154" w:name="__RefHeading___Toc9159_811569930"/>
      <w:bookmarkStart w:id="155" w:name="X654aa2292919de923c9a07c9b69f412d806832f"/>
      <w:bookmarkEnd w:id="154"/>
      <w:r>
        <w:rPr>
          <w:rStyle w:val="SectionNumber"/>
          <w:b/>
          <w:color w:val="228B22"/>
          <w:sz w:val="28"/>
        </w:rPr>
        <w:t>12.5</w:t>
      </w:r>
      <w:r>
        <w:rPr>
          <w:b/>
          <w:color w:val="228B22"/>
          <w:sz w:val="28"/>
        </w:rPr>
        <w:tab/>
        <w:t>What training costs the surrounding blocks</w:t>
      </w:r>
    </w:p>
    <w:p>
      <w:pPr>
        <w:pStyle w:val="FirstParagraph"/>
        <w:rPr/>
      </w:pPr>
      <w:r>
        <w:rPr>
          <w:sz w:val="20"/>
        </w:rPr>
        <w:t xml:space="preserve">The training interfaces touch a handful of other blocks, and the touches are bounded. The new </w:t>
      </w:r>
      <w:r>
        <w:rPr>
          <w:rStyle w:val="VerbatimChar"/>
          <w:sz w:val="20"/>
        </w:rPr>
        <w:t>andesite_training_layer</w:t>
      </w:r>
      <w:r>
        <w:rPr>
          <w:sz w:val="20"/>
        </w:rPr>
        <w:t xml:space="preserve"> macro holds the three training FUBs, owns the DFI training pins and the one-active mux, and issues MRS/MPC commands on a dedicated maintenance training channel (</w:t>
      </w:r>
      <w:r>
        <w:rPr>
          <w:rStyle w:val="VerbatimChar"/>
          <w:sz w:val="20"/>
        </w:rPr>
        <w:t>trn_cmd_*</w:t>
      </w:r>
      <w:r>
        <w:rPr>
          <w:sz w:val="20"/>
        </w:rPr>
        <w:t xml:space="preserve">) into the scheduler. The </w:t>
      </w:r>
      <w:r>
        <w:rPr>
          <w:rStyle w:val="VerbatimChar"/>
          <w:sz w:val="20"/>
        </w:rPr>
        <w:t>init_sequencer</w:t>
      </w:r>
      <w:r>
        <w:rPr>
          <w:sz w:val="20"/>
        </w:rPr>
        <w:t xml:space="preserve"> gains training-entry states after ZQ (firmware-triggered, not autonomous — init hands the bus to training explicitly). The </w:t>
      </w:r>
      <w:r>
        <w:rPr>
          <w:rStyle w:val="VerbatimChar"/>
          <w:sz w:val="20"/>
        </w:rPr>
        <w:t>mode_register</w:t>
      </w:r>
      <w:r>
        <w:rPr>
          <w:sz w:val="20"/>
        </w:rPr>
        <w:t xml:space="preserve"> carries the MR3 MPR fields and the LPDDR4 training-related MRs. The </w:t>
      </w:r>
      <w:r>
        <w:rPr>
          <w:rStyle w:val="VerbatimChar"/>
          <w:sz w:val="20"/>
        </w:rPr>
        <w:t>dfi_cmd_formatter</w:t>
      </w:r>
      <w:r>
        <w:rPr>
          <w:sz w:val="20"/>
        </w:rPr>
        <w:t>’s LPDDR4 CA submodule issues the MPC training opcodes. No datapath block changes for training; the read and write paths already carry whatever the PHY loops back.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X4f2a811f364b2caeb2d5028161ec58c9b27c703"/>
      <w:bookmarkStart w:id="157" w:name="X654aa2292919de923c9a07c9b69f412d806832f"/>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9161_811569930"/>
      <w:bookmarkStart w:id="159" w:name="X50f66e570961a0a433f6ef329cae868a45849f8"/>
      <w:bookmarkEnd w:id="158"/>
      <w:r>
        <w:rPr>
          <w:rStyle w:val="SectionNumber"/>
          <w:b/>
          <w:color w:val="FFFFFF"/>
          <w:sz w:val="32"/>
        </w:rPr>
        <w:t>13</w:t>
      </w:r>
      <w:r>
        <w:rPr>
          <w:b/>
          <w:color w:val="FFFFFF"/>
          <w:sz w:val="32"/>
        </w:rPr>
        <w:tab/>
        <w:t>Refresh: FGR and Controller-Directed Per-Bank</w:t>
      </w:r>
    </w:p>
    <w:p>
      <w:pPr>
        <w:pStyle w:val="Heading2"/>
        <w:pBdr>
          <w:bottom w:val="single" w:sz="12" w:space="0" w:color="228B22"/>
        </w:pBdr>
        <w:spacing w:before="280" w:after="80"/>
        <w:rPr/>
      </w:pPr>
      <w:bookmarkStart w:id="160" w:name="__RefHeading___Toc9163_811569930"/>
      <w:bookmarkStart w:id="161" w:name="X5e5a87f5c122325a550bdce091ab4ad970e8b79"/>
      <w:bookmarkEnd w:id="160"/>
      <w:r>
        <w:rPr>
          <w:rStyle w:val="SectionNumber"/>
          <w:b/>
          <w:color w:val="228B22"/>
          <w:sz w:val="28"/>
        </w:rPr>
        <w:t>13.1</w:t>
      </w:r>
      <w:r>
        <w:rPr>
          <w:b/>
          <w:color w:val="228B22"/>
          <w:sz w:val="28"/>
        </w:rPr>
        <w:tab/>
        <w:t>Marking: MODIFIED — inherited mechanism, FGR density on top</w:t>
      </w:r>
    </w:p>
    <w:p>
      <w:pPr>
        <w:pStyle w:val="FirstParagraph"/>
        <w:rPr/>
      </w:pPr>
      <w:r>
        <w:rPr>
          <w:rStyle w:val="VerbatimChar"/>
          <w:sz w:val="20"/>
        </w:rPr>
        <w:t>refresh_ctrl</w:t>
      </w:r>
      <w:r>
        <w:rPr>
          <w:sz w:val="20"/>
        </w:rPr>
        <w:t xml:space="preserve"> is modified for a named, bounded change: DDR4’s fine-granularity refresh adds a density dimension, and LPDDR4’s per-bank refresh changes who picks the bank. Both changes sit on top of the mechanism scoria landed and verified — the retention interval, all-bank refresh, the JEDEC ±8 postpone/pull-in credit window, the </w:t>
      </w:r>
      <w:r>
        <w:rPr>
          <w:rStyle w:val="VerbatimChar"/>
          <w:sz w:val="20"/>
        </w:rPr>
        <w:t>REFpb</w:t>
      </w:r>
      <w:r>
        <w:rPr>
          <w:sz w:val="20"/>
        </w:rPr>
        <w:t xml:space="preserve"> machinery, and TASK-001’s Modes A (elastic refresh), B (TCR) and C’s sibling scheduling discipline — which andesite inherits as the policy base. The credit ceiling is untouched by every mode this block carries.</w:t>
      </w:r>
      <w:bookmarkEnd w:id="161"/>
    </w:p>
    <w:p>
      <w:pPr>
        <w:pStyle w:val="Heading2"/>
        <w:pBdr>
          <w:bottom w:val="single" w:sz="12" w:space="0" w:color="228B22"/>
        </w:pBdr>
        <w:spacing w:before="280" w:after="80"/>
        <w:rPr/>
      </w:pPr>
      <w:bookmarkStart w:id="162" w:name="__RefHeading___Toc9165_811569930"/>
      <w:bookmarkStart w:id="163" w:name="X43721e50829262a2cd404a9b1bae321f52dc7e3"/>
      <w:bookmarkEnd w:id="162"/>
      <w:r>
        <w:rPr>
          <w:rStyle w:val="SectionNumber"/>
          <w:b/>
          <w:color w:val="228B22"/>
          <w:sz w:val="28"/>
        </w:rPr>
        <w:t>13.2</w:t>
      </w:r>
      <w:r>
        <w:rPr>
          <w:b/>
          <w:color w:val="228B22"/>
          <w:sz w:val="28"/>
        </w:rPr>
        <w:tab/>
        <w:t>What scoria already has, and what andesite keeps</w:t>
      </w:r>
    </w:p>
    <w:p>
      <w:pPr>
        <w:pStyle w:val="FirstParagraph"/>
        <w:rPr/>
      </w:pPr>
      <w:r>
        <w:rPr>
          <w:sz w:val="20"/>
        </w:rPr>
        <w:t xml:space="preserve">The inherited block carries: the tREFI interval counter; all-bank </w:t>
      </w:r>
      <w:r>
        <w:rPr>
          <w:rStyle w:val="VerbatimChar"/>
          <w:sz w:val="20"/>
        </w:rPr>
        <w:t>REF</w:t>
      </w:r>
      <w:r>
        <w:rPr>
          <w:sz w:val="20"/>
        </w:rPr>
        <w:t xml:space="preserve"> with JEDEC’s ±8 postpone/pull-in scheduling; the elastic pull-in/postpone streaks of Mode A behind CSRs; Mode B’s temperature-compensated tREFI derate; the bank rotor that mirrors the device’s internal per-bank counter; and the </w:t>
      </w:r>
      <w:r>
        <w:rPr>
          <w:rStyle w:val="VerbatimChar"/>
          <w:sz w:val="20"/>
        </w:rPr>
        <w:t>REF_STATS</w:t>
      </w:r>
      <w:r>
        <w:rPr>
          <w:sz w:val="20"/>
        </w:rPr>
        <w:t xml:space="preserve"> telemetry. The formal evidence transfers with the mechanism: retention and accounting properties proven in </w:t>
      </w:r>
      <w:r>
        <w:rPr>
          <w:rStyle w:val="VerbatimChar"/>
          <w:sz w:val="20"/>
        </w:rPr>
        <w:t>formal/scoria/refresh_ctrl</w:t>
      </w:r>
      <w:r>
        <w:rPr>
          <w:sz w:val="20"/>
        </w:rPr>
        <w:t>, with the per-bank retention arithmetic re-derived for LPDDR3 as scoria’s book records.</w:t>
      </w:r>
    </w:p>
    <w:p>
      <w:pPr>
        <w:pStyle w:val="BodyText"/>
        <w:rPr/>
      </w:pPr>
      <w:bookmarkStart w:id="164" w:name="X43721e50829262a2cd404a9b1bae321f52dc7e3"/>
      <w:r>
        <w:rPr>
          <w:sz w:val="20"/>
        </w:rPr>
        <w:t>One inherited subtlety rides with the block and deserves the same explicit passing-on scoria gave it: demand-aware pull-in must not treat CAM micro-gaps as idle. The sixteen-cycle (CSR-sweepable) idle confirmation exists because demand occupancy blinks off between bursts; releasing postponed refreshes into those gaps would fire pull-ins mid-stream. Copy the constant with its reason.</w:t>
      </w:r>
      <w:bookmarkEnd w:id="164"/>
    </w:p>
    <w:p>
      <w:pPr>
        <w:pStyle w:val="Heading2"/>
        <w:pBdr>
          <w:bottom w:val="single" w:sz="12" w:space="0" w:color="228B22"/>
        </w:pBdr>
        <w:spacing w:before="280" w:after="80"/>
        <w:rPr/>
      </w:pPr>
      <w:bookmarkStart w:id="165" w:name="__RefHeading___Toc9167_811569930"/>
      <w:bookmarkStart w:id="166" w:name="the-ddr4-delta-fgr"/>
      <w:bookmarkEnd w:id="165"/>
      <w:r>
        <w:rPr>
          <w:rStyle w:val="SectionNumber"/>
          <w:b/>
          <w:color w:val="228B22"/>
          <w:sz w:val="28"/>
        </w:rPr>
        <w:t>13.3</w:t>
      </w:r>
      <w:r>
        <w:rPr>
          <w:b/>
          <w:color w:val="228B22"/>
          <w:sz w:val="28"/>
        </w:rPr>
        <w:tab/>
        <w:t>The DDR4 delta: FGR</w:t>
      </w:r>
    </w:p>
    <w:p>
      <w:pPr>
        <w:pStyle w:val="FirstParagraph"/>
        <w:rPr/>
      </w:pPr>
      <w:r>
        <w:rPr>
          <w:sz w:val="20"/>
        </w:rPr>
        <w:t xml:space="preserve">DDR4’s MR3 selects the refresh granularity — </w:t>
      </w:r>
      <w:r>
        <w:rPr>
          <w:b/>
          <w:bCs/>
          <w:sz w:val="20"/>
        </w:rPr>
        <w:t>1x, 2x or 4x</w:t>
      </w:r>
      <w:r>
        <w:rPr>
          <w:sz w:val="20"/>
        </w:rPr>
        <w:t xml:space="preserve"> — trading refresh frequency against per-refresh length inside the same tREFI budget (JESD79-4). The controller’s obligations:</w:t>
      </w:r>
    </w:p>
    <w:p>
      <w:pPr>
        <w:pStyle w:val="Compact"/>
        <w:numPr>
          <w:ilvl w:val="0"/>
          <w:numId w:val="29"/>
        </w:numPr>
        <w:rPr/>
      </w:pPr>
      <w:r>
        <w:rPr>
          <w:b/>
          <w:bCs/>
        </w:rPr>
        <w:t>Hold the FGR select as a runtime CSR</w:t>
      </w:r>
      <w:r>
        <w:rPr/>
        <w:t xml:space="preserve"> (it programs MR3), so every density can be measured from one bitstream — the config-not-param rule again, and the only genuinely new surface on the DDR4 side.</w:t>
      </w:r>
    </w:p>
    <w:p>
      <w:pPr>
        <w:pStyle w:val="Compact"/>
        <w:numPr>
          <w:ilvl w:val="0"/>
          <w:numId w:val="30"/>
        </w:numPr>
        <w:rPr/>
      </w:pPr>
      <w:r>
        <w:rPr>
          <w:b/>
          <w:bCs/>
        </w:rPr>
        <w:t>Scale the interval arithmetic by the FGR factor.</w:t>
      </w:r>
      <w:r>
        <w:rPr/>
        <w:t xml:space="preserve"> 2x refreshes twice as often at roughly half the length; 4x four times. The tREFI counter, the credit window’s bookkeeping and the </w:t>
      </w:r>
      <w:r>
        <w:rPr>
          <w:rStyle w:val="VerbatimChar"/>
        </w:rPr>
        <w:t>REF_STATS</w:t>
      </w:r>
      <w:r>
        <w:rPr/>
        <w:t xml:space="preserve"> denominators all take the factor into account.</w:t>
      </w:r>
    </w:p>
    <w:p>
      <w:pPr>
        <w:pStyle w:val="Compact"/>
        <w:numPr>
          <w:ilvl w:val="0"/>
          <w:numId w:val="31"/>
        </w:numPr>
        <w:rPr/>
      </w:pPr>
      <w:r>
        <w:rPr>
          <w:b/>
          <w:bCs/>
        </w:rPr>
        <w:t>Re-derive the retention property per factor.</w:t>
      </w:r>
      <w:r>
        <w:rPr/>
        <w:t xml:space="preserve"> The inherited proof covers the 1x arithmetic; each FGR factor changes the interval arithmetic the proof checks. Carrying the 1x proof forward unchanged would prove the wrong thing while appearing green — the failure mode this family has been bitten by before, and the rule is the same one scoria applied to </w:t>
      </w:r>
      <w:r>
        <w:rPr>
          <w:rStyle w:val="VerbatimChar"/>
        </w:rPr>
        <w:t>REFpb</w:t>
      </w:r>
      <w:r>
        <w:rPr/>
        <w:t>: a changed interval changes the proof, and the proof is never carried forward green.</w:t>
      </w:r>
    </w:p>
    <w:p>
      <w:pPr>
        <w:pStyle w:val="Compact"/>
        <w:numPr>
          <w:ilvl w:val="0"/>
          <w:numId w:val="32"/>
        </w:numPr>
        <w:rPr/>
      </w:pPr>
      <w:r>
        <w:rPr>
          <w:b/>
          <w:bCs/>
        </w:rPr>
        <w:t>tRFC tracks the selected density.</w:t>
      </w:r>
      <w:r>
        <w:rPr/>
        <w:t xml:space="preserve"> The per-refresh busy window differs by granularity and is a runtime CSR like every other timing.</w:t>
      </w:r>
      <w:bookmarkEnd w:id="166"/>
    </w:p>
    <w:p>
      <w:pPr>
        <w:pStyle w:val="Heading2"/>
        <w:pBdr>
          <w:bottom w:val="single" w:sz="12" w:space="0" w:color="228B22"/>
        </w:pBdr>
        <w:spacing w:before="280" w:after="80"/>
        <w:rPr/>
      </w:pPr>
      <w:bookmarkStart w:id="167" w:name="__RefHeading___Toc9169_811569930"/>
      <w:bookmarkStart w:id="168" w:name="X94008e211352be7e216f019514c9aac421671ec"/>
      <w:bookmarkEnd w:id="167"/>
      <w:r>
        <w:rPr>
          <w:rStyle w:val="SectionNumber"/>
          <w:b/>
          <w:color w:val="228B22"/>
          <w:sz w:val="28"/>
        </w:rPr>
        <w:t>13.4</w:t>
      </w:r>
      <w:r>
        <w:rPr>
          <w:b/>
          <w:color w:val="228B22"/>
          <w:sz w:val="28"/>
        </w:rPr>
        <w:tab/>
        <w:t>The LPDDR4 delta: the controller names the bank</w:t>
      </w:r>
    </w:p>
    <w:p>
      <w:pPr>
        <w:pStyle w:val="FirstParagraph"/>
        <w:rPr/>
      </w:pPr>
      <w:r>
        <w:rPr>
          <w:sz w:val="20"/>
        </w:rPr>
        <w:t xml:space="preserve">This is the refresh change worth understanding, because it inverts the constraint scoria designed around. For LPDDR2/3, the </w:t>
      </w:r>
      <w:r>
        <w:rPr>
          <w:rStyle w:val="VerbatimChar"/>
          <w:sz w:val="20"/>
        </w:rPr>
        <w:t>REFpb</w:t>
      </w:r>
      <w:r>
        <w:rPr>
          <w:sz w:val="20"/>
        </w:rPr>
        <w:t xml:space="preserve"> command carries </w:t>
      </w:r>
      <w:r>
        <w:rPr>
          <w:b/>
          <w:bCs/>
          <w:sz w:val="20"/>
        </w:rPr>
        <w:t>no bank address</w:t>
      </w:r>
      <w:r>
        <w:rPr>
          <w:sz w:val="20"/>
        </w:rPr>
        <w:t xml:space="preserve"> — the device’s internal counter picks the bank, in a fixed round-robin, and scoria’s rotor exists solely to </w:t>
      </w:r>
      <w:r>
        <w:rPr>
          <w:i/>
          <w:iCs/>
          <w:sz w:val="20"/>
        </w:rPr>
        <w:t>mirror</w:t>
      </w:r>
      <w:r>
        <w:rPr>
          <w:sz w:val="20"/>
        </w:rPr>
        <w:t xml:space="preserve"> that counter so the bank timers know which bank is about to go busy. Occupancy-aware ordering was not available at any price; scoria’s book struck the question as malformed.</w:t>
      </w:r>
    </w:p>
    <w:p>
      <w:pPr>
        <w:pStyle w:val="BodyText"/>
        <w:rPr/>
      </w:pPr>
      <w:r>
        <w:rPr>
          <w:sz w:val="20"/>
        </w:rPr>
        <w:t xml:space="preserve">JESD209-4 changes that: LPDDR4’s per-bank refresh </w:t>
      </w:r>
      <w:r>
        <w:rPr>
          <w:b/>
          <w:bCs/>
          <w:sz w:val="20"/>
        </w:rPr>
        <w:t>does</w:t>
      </w:r>
      <w:r>
        <w:rPr>
          <w:sz w:val="20"/>
        </w:rPr>
        <w:t xml:space="preserve"> carry the bank on the CA bus. The controller picks. Consequences:</w:t>
      </w:r>
    </w:p>
    <w:p>
      <w:pPr>
        <w:pStyle w:val="Compact"/>
        <w:numPr>
          <w:ilvl w:val="0"/>
          <w:numId w:val="33"/>
        </w:numPr>
        <w:rPr/>
      </w:pPr>
      <w:r>
        <w:rPr>
          <w:b/>
          <w:bCs/>
        </w:rPr>
        <w:t>The rotor is replaced by explicit bank scheduling</w:t>
      </w:r>
      <w:r>
        <w:rPr/>
        <w:t xml:space="preserve"> on the LPDDR4 path — a real mechanism change, and the heart of why this block is MODIFIED.</w:t>
      </w:r>
    </w:p>
    <w:p>
      <w:pPr>
        <w:pStyle w:val="Compact"/>
        <w:numPr>
          <w:ilvl w:val="0"/>
          <w:numId w:val="34"/>
        </w:numPr>
        <w:rPr/>
      </w:pPr>
      <w:r>
        <w:rPr>
          <w:b/>
          <w:bCs/>
        </w:rPr>
        <w:t>Sequential round-robins still work</w:t>
      </w:r>
      <w:r>
        <w:rPr/>
        <w:t xml:space="preserve"> (the rotor’s old mirror image is one legal policy), so the DDR4-style default is available; but the scheduler now has the information to do better, and the policy hook belongs in the block.</w:t>
      </w:r>
    </w:p>
    <w:p>
      <w:pPr>
        <w:pStyle w:val="Compact"/>
        <w:numPr>
          <w:ilvl w:val="0"/>
          <w:numId w:val="35"/>
        </w:numPr>
        <w:rPr/>
      </w:pPr>
      <w:r>
        <w:rPr>
          <w:b/>
          <w:bCs/>
        </w:rPr>
        <w:t>The advanced schemes become implementable</w:t>
      </w:r>
      <w:r>
        <w:rPr/>
        <w:t xml:space="preserve"> — out-of-order per-bank refresh, write-refresh parallelisation and the rest of the DARP family surveyed in andesite TASK-001. This book implements the commodity round-robin and leaves the survey’s schemes where they are; the scheduling-policy layering that scoria’s TASK-001 built (CSR-select, reset-off, telemetry-instrumented) is exactly the hook they’d hang on.</w:t>
      </w:r>
      <w:bookmarkEnd w:id="168"/>
    </w:p>
    <w:p>
      <w:pPr>
        <w:pStyle w:val="Heading2"/>
        <w:pBdr>
          <w:bottom w:val="single" w:sz="12" w:space="0" w:color="228B22"/>
        </w:pBdr>
        <w:spacing w:before="280" w:after="80"/>
        <w:rPr/>
      </w:pPr>
      <w:bookmarkStart w:id="169" w:name="__RefHeading___Toc9171_811569930"/>
      <w:bookmarkStart w:id="170" w:name="requirements"/>
      <w:bookmarkEnd w:id="169"/>
      <w:r>
        <w:rPr>
          <w:rStyle w:val="SectionNumber"/>
          <w:b/>
          <w:color w:val="228B22"/>
          <w:sz w:val="28"/>
        </w:rPr>
        <w:t>13.5</w:t>
      </w:r>
      <w:r>
        <w:rPr>
          <w:b/>
          <w:color w:val="228B22"/>
          <w:sz w:val="28"/>
        </w:rPr>
        <w:tab/>
        <w:t>Requirements</w:t>
      </w:r>
    </w:p>
    <w:p>
      <w:pPr>
        <w:pStyle w:val="Compact"/>
        <w:numPr>
          <w:ilvl w:val="0"/>
          <w:numId w:val="36"/>
        </w:numPr>
        <w:rPr/>
      </w:pPr>
      <w:r>
        <w:rPr/>
        <w:t xml:space="preserve">Offer all-bank </w:t>
      </w:r>
      <w:r>
        <w:rPr>
          <w:rStyle w:val="VerbatimChar"/>
        </w:rPr>
        <w:t>REF</w:t>
      </w:r>
      <w:r>
        <w:rPr/>
        <w:t xml:space="preserve"> at the MR3-selected FGR density for DDR4, with the JEDEC credit window (inherited), and per-bank refresh for LPDDR4 with controller-selected banks (new scheduling, inherited credit discipline).</w:t>
      </w:r>
    </w:p>
    <w:p>
      <w:pPr>
        <w:pStyle w:val="Compact"/>
        <w:numPr>
          <w:ilvl w:val="0"/>
          <w:numId w:val="37"/>
        </w:numPr>
        <w:rPr/>
      </w:pPr>
      <w:r>
        <w:rPr/>
        <w:t xml:space="preserve">All-bank versus per-bank, and the FGR factor, are </w:t>
      </w:r>
      <w:r>
        <w:rPr>
          <w:b/>
          <w:bCs/>
        </w:rPr>
        <w:t>runtime CSRs</w:t>
      </w:r>
      <w:r>
        <w:rPr/>
        <w:t>; every combination is measurable from one bitstream.</w:t>
      </w:r>
    </w:p>
    <w:p>
      <w:pPr>
        <w:pStyle w:val="Compact"/>
        <w:numPr>
          <w:ilvl w:val="0"/>
          <w:numId w:val="38"/>
        </w:numPr>
        <w:rPr/>
      </w:pPr>
      <w:r>
        <w:rPr/>
        <w:t xml:space="preserve">Retention is re-derived per FGR factor and for the per-bank arithmetic, in </w:t>
      </w:r>
      <w:r>
        <w:rPr>
          <w:rStyle w:val="VerbatimChar"/>
        </w:rPr>
        <w:t>formal/andesite/refresh_ctrl</w:t>
      </w:r>
      <w:r>
        <w:rPr/>
        <w:t xml:space="preserve"> when RTL exists; until then the obligation is recorded here and in Chapter 6.</w:t>
      </w:r>
    </w:p>
    <w:p>
      <w:pPr>
        <w:pStyle w:val="Compact"/>
        <w:numPr>
          <w:ilvl w:val="0"/>
          <w:numId w:val="39"/>
        </w:numPr>
        <w:rPr/>
      </w:pPr>
      <w:r>
        <w:rPr/>
        <w:t>A refresh of either kind is an ordinary occupant of the banks it touches: the bank timers own the banks, and the request/grant discipline with the scheduler is inherited — maintenance requests, never preempts.</w:t>
      </w:r>
    </w:p>
    <w:p>
      <w:pPr>
        <w:pStyle w:val="Compact"/>
        <w:numPr>
          <w:ilvl w:val="0"/>
          <w:numId w:val="40"/>
        </w:numPr>
        <w:rPr/>
      </w:pPr>
      <w:r>
        <w:rPr>
          <w:rStyle w:val="VerbatimChar"/>
        </w:rPr>
        <w:t>REFpb</w:t>
      </w:r>
      <w:r>
        <w:rPr/>
        <w:t>-equivalent traffic must respect per-bank timing as any operation on that bank would.</w:t>
      </w:r>
      <w:bookmarkEnd w:id="170"/>
    </w:p>
    <w:p>
      <w:pPr>
        <w:pStyle w:val="Heading2"/>
        <w:pBdr>
          <w:bottom w:val="single" w:sz="12" w:space="0" w:color="228B22"/>
        </w:pBdr>
        <w:spacing w:before="280" w:after="80"/>
        <w:rPr/>
      </w:pPr>
      <w:bookmarkStart w:id="171" w:name="__RefHeading___Toc9173_811569930"/>
      <w:bookmarkStart w:id="172" w:name="telemetry"/>
      <w:bookmarkEnd w:id="171"/>
      <w:r>
        <w:rPr>
          <w:rStyle w:val="SectionNumber"/>
          <w:b/>
          <w:color w:val="228B22"/>
          <w:sz w:val="28"/>
        </w:rPr>
        <w:t>13.6</w:t>
      </w:r>
      <w:r>
        <w:rPr>
          <w:b/>
          <w:color w:val="228B22"/>
          <w:sz w:val="28"/>
        </w:rPr>
        <w:tab/>
        <w:t>Telemetry</w:t>
      </w:r>
    </w:p>
    <w:p>
      <w:pPr>
        <w:pStyle w:val="FirstParagraph"/>
        <w:rPr/>
      </w:pPr>
      <w:r>
        <w:rPr>
          <w:rStyle w:val="VerbatimChar"/>
          <w:sz w:val="20"/>
        </w:rPr>
        <w:t>REF_STATS</w:t>
      </w:r>
      <w:r>
        <w:rPr>
          <w:sz w:val="20"/>
        </w:rPr>
        <w:t xml:space="preserve"> and the Mode A/B instruments carry over, and the FGR factor plus the per-bank policy state join them — so a refresh sweep (density, policy, workload) is measurable in-system rather than inferred. A detector that has never fired is not evidence of anything; this block’s telemetry exists so “refresh is fine” is a measurement, not a hope.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3" w:name="X50f66e570961a0a433f6ef329cae868a45849f8"/>
      <w:bookmarkStart w:id="174" w:name="telemetr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bookmarkEnd w:id="174"/>
      <w:r>
        <w:br w:type="page"/>
      </w:r>
    </w:p>
    <w:p>
      <w:pPr>
        <w:pStyle w:val="Heading1"/>
        <w:shd w:val="clear" w:color="auto" w:fill="404040"/>
        <w:spacing w:before="360" w:after="120"/>
        <w:rPr/>
      </w:pPr>
      <w:bookmarkStart w:id="175" w:name="__RefHeading___Toc9175_811569930"/>
      <w:bookmarkStart w:id="176" w:name="odt-dynamic-with-a-new-odt_ctrl"/>
      <w:bookmarkEnd w:id="175"/>
      <w:r>
        <w:rPr>
          <w:rStyle w:val="SectionNumber"/>
          <w:b/>
          <w:color w:val="FFFFFF"/>
          <w:sz w:val="32"/>
        </w:rPr>
        <w:t>14</w:t>
      </w:r>
      <w:r>
        <w:rPr>
          <w:b/>
          <w:color w:val="FFFFFF"/>
          <w:sz w:val="32"/>
        </w:rPr>
        <w:tab/>
        <w:t>ODT: Dynamic, with a New odt_ctrl</w:t>
      </w:r>
    </w:p>
    <w:p>
      <w:pPr>
        <w:pStyle w:val="Heading2"/>
        <w:pBdr>
          <w:bottom w:val="single" w:sz="12" w:space="0" w:color="228B22"/>
        </w:pBdr>
        <w:spacing w:before="280" w:after="80"/>
        <w:rPr/>
      </w:pPr>
      <w:bookmarkStart w:id="177" w:name="__RefHeading___Toc9177_811569930"/>
      <w:bookmarkStart w:id="178" w:name="why-static-odt-doesnt-survive-ddr4"/>
      <w:bookmarkEnd w:id="177"/>
      <w:r>
        <w:rPr>
          <w:rStyle w:val="SectionNumber"/>
          <w:b/>
          <w:color w:val="228B22"/>
          <w:sz w:val="28"/>
        </w:rPr>
        <w:t>14.1</w:t>
      </w:r>
      <w:r>
        <w:rPr>
          <w:b/>
          <w:color w:val="228B22"/>
          <w:sz w:val="28"/>
        </w:rPr>
        <w:tab/>
        <w:t>Why static ODT doesn’t survive DDR4</w:t>
      </w:r>
    </w:p>
    <w:p>
      <w:pPr>
        <w:pStyle w:val="FirstParagraph"/>
        <w:rPr/>
      </w:pPr>
      <w:r>
        <w:rPr>
          <w:sz w:val="20"/>
        </w:rPr>
        <w:t>scoria holds ODT static: RTT_NOM is programmed in MR1 at init, the ODT pin is held at a fixed level through initialization, and nothing changes at runtime. That was defensible at DDR3-800 with one rank, and scoria’s book says so plainly. It is insufficient for DDR4, for two reasons the standard builds in:</w:t>
      </w:r>
    </w:p>
    <w:p>
      <w:pPr>
        <w:pStyle w:val="Compact"/>
        <w:numPr>
          <w:ilvl w:val="0"/>
          <w:numId w:val="41"/>
        </w:numPr>
        <w:rPr/>
      </w:pPr>
      <w:r>
        <w:rPr>
          <w:b/>
          <w:bCs/>
        </w:rPr>
        <w:t>RTT_WR.</w:t>
      </w:r>
      <w:r>
        <w:rPr/>
        <w:t xml:space="preserve"> DDR4 expects the termination to switch to a write-appropriate value </w:t>
      </w:r>
      <w:r>
        <w:rPr>
          <w:i/>
          <w:iCs/>
        </w:rPr>
        <w:t>during write bursts</w:t>
      </w:r>
      <w:r>
        <w:rPr/>
        <w:t xml:space="preserve"> and back after them (JESD79-4). A static programming either over-terminates reads or under-terminates writes.</w:t>
      </w:r>
    </w:p>
    <w:p>
      <w:pPr>
        <w:pStyle w:val="Compact"/>
        <w:numPr>
          <w:ilvl w:val="0"/>
          <w:numId w:val="42"/>
        </w:numPr>
        <w:rPr/>
      </w:pPr>
      <w:r>
        <w:rPr>
          <w:b/>
          <w:bCs/>
        </w:rPr>
        <w:t>RTT_PARK.</w:t>
      </w:r>
      <w:r>
        <w:rPr/>
        <w:t xml:space="preserve"> DDR4 adds a parked termination value (MR5) applied when no rank is selected — the idle state’s impedance is a policy decision the standard exposes and boards exploit.</w:t>
      </w:r>
    </w:p>
    <w:p>
      <w:pPr>
        <w:pStyle w:val="FirstParagraph"/>
        <w:rPr/>
      </w:pPr>
      <w:r>
        <w:rPr>
          <w:sz w:val="20"/>
        </w:rPr>
        <w:t xml:space="preserve">On top of the values, the </w:t>
      </w:r>
      <w:r>
        <w:rPr>
          <w:b/>
          <w:bCs/>
          <w:sz w:val="20"/>
        </w:rPr>
        <w:t>ODT pin itself is timed</w:t>
      </w:r>
      <w:r>
        <w:rPr>
          <w:sz w:val="20"/>
        </w:rPr>
        <w:t>: assertion and de-assertion follow the command stream with defined latencies (the ODTL family and the ODT turn-around timings, all named per JESD79-4 and all runtime CSRs). Termination on DDR4 is not a setting; it is a schedule.</w:t>
      </w:r>
      <w:bookmarkEnd w:id="178"/>
    </w:p>
    <w:p>
      <w:pPr>
        <w:pStyle w:val="Heading2"/>
        <w:pBdr>
          <w:bottom w:val="single" w:sz="12" w:space="0" w:color="228B22"/>
        </w:pBdr>
        <w:spacing w:before="280" w:after="80"/>
        <w:rPr/>
      </w:pPr>
      <w:bookmarkStart w:id="179" w:name="__RefHeading___Toc9179_811569930"/>
      <w:bookmarkStart w:id="180" w:name="what-odt_ctrl-owns"/>
      <w:bookmarkEnd w:id="179"/>
      <w:r>
        <w:rPr>
          <w:rStyle w:val="SectionNumber"/>
          <w:b/>
          <w:color w:val="228B22"/>
          <w:sz w:val="28"/>
        </w:rPr>
        <w:t>14.2</w:t>
      </w:r>
      <w:r>
        <w:rPr>
          <w:b/>
          <w:color w:val="228B22"/>
          <w:sz w:val="28"/>
        </w:rPr>
        <w:tab/>
        <w:t xml:space="preserve">What </w:t>
      </w:r>
      <w:r>
        <w:rPr>
          <w:rStyle w:val="VerbatimChar"/>
          <w:b/>
          <w:color w:val="228B22"/>
          <w:sz w:val="28"/>
        </w:rPr>
        <w:t>odt_ctrl</w:t>
      </w:r>
      <w:r>
        <w:rPr>
          <w:b/>
          <w:color w:val="228B22"/>
          <w:sz w:val="28"/>
        </w:rPr>
        <w:t xml:space="preserve"> owns</w:t>
      </w:r>
    </w:p>
    <w:p>
      <w:pPr>
        <w:pStyle w:val="FirstParagraph"/>
        <w:rPr/>
      </w:pPr>
      <w:r>
        <w:rPr>
          <w:rStyle w:val="VerbatimChar"/>
          <w:sz w:val="20"/>
        </w:rPr>
        <w:t>odt_ctrl</w:t>
      </w:r>
      <w:r>
        <w:rPr>
          <w:sz w:val="20"/>
        </w:rPr>
        <w:t xml:space="preserve"> is NEW. It is a policy block, not a datapath block — it touches no DQ bits; it decides what the DRAM’s termination does and when, and it drives the ODT pin(s) accordingly.</w:t>
      </w:r>
    </w:p>
    <w:p>
      <w:pPr>
        <w:pStyle w:val="TableCaption"/>
        <w:rPr/>
      </w:pPr>
      <w:bookmarkStart w:id="181" w:name="_Tab_19_Table_3_7__odt_ctrl_"/>
      <w:r>
        <w:rPr/>
        <w:t xml:space="preserve">Table 3.7: </w:t>
      </w:r>
      <w:r>
        <w:rPr>
          <w:rStyle w:val="VerbatimChar"/>
        </w:rPr>
        <w:t>odt_ctrl</w:t>
      </w:r>
      <w:r>
        <w:rPr/>
        <w:t xml:space="preserve"> responsibilities</w:t>
      </w:r>
      <w:bookmarkEnd w:id="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RTT selection per rank: NOM / WR / PARK, CSR-programmed values at init, runtime-selectable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scheduler’s write grants, switch the writing rank’s termination to RTT_WR for the burst and back after — the coupling is a command-stream tap, not a datapath tap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ODTL assertion/de-assertion latencies and ODT turn-arounds as runtime CSRs, enforced on the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ODT (the rank not being accessed terminates per policy) — exercised when </w:t>
            </w:r>
            <w:r>
              <w:rPr>
                <w:rStyle w:val="VerbatimChar"/>
                <w:rFonts w:eastAsia="Cambria" w:cs=""/>
                <w:kern w:val="0"/>
                <w:szCs w:val="24"/>
                <w:lang w:val="en-US" w:eastAsia="en-US" w:bidi="ar-SA"/>
              </w:rPr>
              <w:t>NUM_RANKS &gt; 1</w:t>
            </w:r>
            <w:r>
              <w:rPr>
                <w:rFonts w:eastAsia="Cambria" w:cs=""/>
                <w:kern w:val="0"/>
                <w:sz w:val="24"/>
                <w:szCs w:val="24"/>
                <w:lang w:val="en-US" w:eastAsia="en-US" w:bidi="ar-SA"/>
              </w:rPr>
              <w:t>, dormant at the single-rank design point but not special-cased in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decisions ride the same request/grant channel as other maintenance-class traffic — odt_ctrl never blocks a command to make a termination point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state history and transition counts, so a termination policy sweep is measurable</w:t>
            </w:r>
          </w:p>
        </w:tc>
      </w:tr>
    </w:tbl>
    <w:p>
      <w:pPr>
        <w:pStyle w:val="BodyText"/>
        <w:rPr/>
      </w:pPr>
      <w:r>
        <w:rPr>
          <w:b/>
          <w:bCs/>
          <w:sz w:val="20"/>
        </w:rPr>
        <w:t>The init seam.</w:t>
      </w:r>
      <w:r>
        <w:rPr>
          <w:sz w:val="20"/>
        </w:rPr>
        <w:t xml:space="preserve"> During initialization the DRAM holds ODT high-impedance until CKE is registered active, then static — the init sequencer owns ODT through that window exactly as scoria’s does, and hands ownership to </w:t>
      </w:r>
      <w:r>
        <w:rPr>
          <w:rStyle w:val="VerbatimChar"/>
          <w:sz w:val="20"/>
        </w:rPr>
        <w:t>odt_ctrl</w:t>
      </w:r>
      <w:r>
        <w:rPr>
          <w:sz w:val="20"/>
        </w:rPr>
        <w:t xml:space="preserve"> at the ready-for-operation boundary. Which block drives the pin in which state is a named, bounded seam the MAS pins.</w:t>
      </w:r>
    </w:p>
    <w:p>
      <w:pPr>
        <w:pStyle w:val="BodyText"/>
        <w:rPr/>
      </w:pPr>
      <w:r>
        <w:rPr>
          <w:b/>
          <w:bCs/>
          <w:sz w:val="20"/>
        </w:rPr>
        <w:t>LPDDR4.</w:t>
      </w:r>
      <w:r>
        <w:rPr>
          <w:sz w:val="20"/>
        </w:rPr>
        <w:t xml:space="preserve"> LPDDR4 has no ODT pin; its termination (DQ ODT) is programmed through the mode registers and is intentionally static for this edition — absorbed into </w:t>
      </w:r>
      <w:r>
        <w:rPr>
          <w:rStyle w:val="VerbatimChar"/>
          <w:sz w:val="20"/>
        </w:rPr>
        <w:t>mode_register</w:t>
      </w:r>
      <w:r>
        <w:rPr>
          <w:sz w:val="20"/>
        </w:rPr>
        <w:t>’s LPDDR4 maps and the init sequence. The dynamic machinery above is DDR4-scoped, and the block’s structure keeps that scoping explicit rather than dead-genericing over a pin LPDDR4 doesn’t have.</w:t>
      </w:r>
      <w:bookmarkEnd w:id="180"/>
    </w:p>
    <w:p>
      <w:pPr>
        <w:pStyle w:val="Heading2"/>
        <w:pBdr>
          <w:bottom w:val="single" w:sz="12" w:space="0" w:color="228B22"/>
        </w:pBdr>
        <w:spacing w:before="280" w:after="80"/>
        <w:rPr/>
      </w:pPr>
      <w:bookmarkStart w:id="182" w:name="__RefHeading___Toc9181_811569930"/>
      <w:bookmarkStart w:id="183" w:name="requirements-1"/>
      <w:bookmarkEnd w:id="182"/>
      <w:r>
        <w:rPr>
          <w:rStyle w:val="SectionNumber"/>
          <w:b/>
          <w:color w:val="228B22"/>
          <w:sz w:val="28"/>
        </w:rPr>
        <w:t>14.3</w:t>
      </w:r>
      <w:r>
        <w:rPr>
          <w:b/>
          <w:color w:val="228B22"/>
          <w:sz w:val="28"/>
        </w:rPr>
        <w:tab/>
        <w:t>Requirements</w:t>
      </w:r>
    </w:p>
    <w:p>
      <w:pPr>
        <w:pStyle w:val="Compact"/>
        <w:numPr>
          <w:ilvl w:val="0"/>
          <w:numId w:val="43"/>
        </w:numPr>
        <w:rPr/>
      </w:pPr>
      <w:r>
        <w:rPr/>
        <w:t xml:space="preserve">RTT_NOM, RTT_WR and RTT_PARK values are CSR-programmed at init from the board’s decided values; the </w:t>
      </w:r>
      <w:r>
        <w:rPr>
          <w:i/>
          <w:iCs/>
        </w:rPr>
        <w:t>policy</w:t>
      </w:r>
      <w:r>
        <w:rPr/>
        <w:t xml:space="preserve"> of when each applies is the block’s logic.</w:t>
      </w:r>
    </w:p>
    <w:p>
      <w:pPr>
        <w:pStyle w:val="Compact"/>
        <w:numPr>
          <w:ilvl w:val="0"/>
          <w:numId w:val="44"/>
        </w:numPr>
        <w:rPr/>
      </w:pPr>
      <w:r>
        <w:rPr/>
        <w:t>Every ODT latency is a runtime CSR, named per JESD79-4, initialised from the design point’s speed bin at CSR-derivation time (Ch 5).</w:t>
      </w:r>
    </w:p>
    <w:p>
      <w:pPr>
        <w:pStyle w:val="Compact"/>
        <w:numPr>
          <w:ilvl w:val="0"/>
          <w:numId w:val="45"/>
        </w:numPr>
        <w:rPr/>
      </w:pPr>
      <w:r>
        <w:rPr/>
        <w:t>ODT transitions never stall the command stream: the block consumes the schedule, it doesn’t arbitrate it.</w:t>
      </w:r>
    </w:p>
    <w:p>
      <w:pPr>
        <w:pStyle w:val="Compact"/>
        <w:numPr>
          <w:ilvl w:val="0"/>
          <w:numId w:val="46"/>
        </w:numPr>
        <w:rPr/>
      </w:pPr>
      <w:r>
        <w:rPr/>
        <w:t>Telemetry distinguishes the policy states over time, so “dynamic ODT is on” is observable, and so is a policy that never leaves PARK.</w:t>
      </w:r>
    </w:p>
    <w:p>
      <w:pPr>
        <w:pStyle w:val="Compact"/>
        <w:numPr>
          <w:ilvl w:val="0"/>
          <w:numId w:val="47"/>
        </w:numPr>
        <w:rPr/>
      </w:pPr>
      <w:r>
        <w:rPr/>
        <w:t>Write CRC’s exclusion (Ch 3.1) is recorded here too: CRC would couple to the write datapath and DM/DBI pins; its unblocking condition is named there.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4" w:name="odt-dynamic-with-a-new-odt_ctrl"/>
      <w:bookmarkStart w:id="185" w:name="requirements-1"/>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r>
        <w:br w:type="page"/>
      </w:r>
    </w:p>
    <w:p>
      <w:pPr>
        <w:pStyle w:val="Heading1"/>
        <w:shd w:val="clear" w:color="auto" w:fill="404040"/>
        <w:spacing w:before="360" w:after="120"/>
        <w:rPr/>
      </w:pPr>
      <w:bookmarkStart w:id="186" w:name="__RefHeading___Toc9183_811569930"/>
      <w:bookmarkStart w:id="187" w:name="the-lpddr4-deltas-chapter-by-chapter"/>
      <w:bookmarkEnd w:id="186"/>
      <w:r>
        <w:rPr>
          <w:rStyle w:val="SectionNumber"/>
          <w:b/>
          <w:color w:val="FFFFFF"/>
          <w:sz w:val="32"/>
        </w:rPr>
        <w:t>15</w:t>
      </w:r>
      <w:r>
        <w:rPr>
          <w:b/>
          <w:color w:val="FFFFFF"/>
          <w:sz w:val="32"/>
        </w:rPr>
        <w:tab/>
        <w:t>The LPDDR4 Deltas, Chapter by Chapter</w:t>
      </w:r>
    </w:p>
    <w:p>
      <w:pPr>
        <w:pStyle w:val="FirstParagraph"/>
        <w:rPr/>
      </w:pPr>
      <w:r>
        <w:rPr>
          <w:sz w:val="20"/>
        </w:rPr>
        <w:t>This book is DDR4-led with LPDDR4 carried per-chapter, the same one-book- both-memtypes shape scoria uses. This chapter collects LPDDR4’s deltas as a reading aid — each entry points at the chapter that owns it, and none of them contradicts what that chapter says.</w:t>
      </w:r>
    </w:p>
    <w:p>
      <w:pPr>
        <w:pStyle w:val="Heading2"/>
        <w:pBdr>
          <w:bottom w:val="single" w:sz="12" w:space="0" w:color="228B22"/>
        </w:pBdr>
        <w:spacing w:before="280" w:after="80"/>
        <w:rPr/>
      </w:pPr>
      <w:bookmarkStart w:id="188" w:name="__RefHeading___Toc9185_811569930"/>
      <w:bookmarkStart w:id="189" w:name="where-lpddr4-differs"/>
      <w:bookmarkEnd w:id="188"/>
      <w:r>
        <w:rPr>
          <w:rStyle w:val="SectionNumber"/>
          <w:b/>
          <w:color w:val="228B22"/>
          <w:sz w:val="28"/>
        </w:rPr>
        <w:t>15.1</w:t>
      </w:r>
      <w:r>
        <w:rPr>
          <w:b/>
          <w:color w:val="228B22"/>
          <w:sz w:val="28"/>
        </w:rPr>
        <w:tab/>
        <w:t>Where LPDDR4 differs</w:t>
      </w:r>
    </w:p>
    <w:p>
      <w:pPr>
        <w:pStyle w:val="FirstParagraph"/>
        <w:rPr/>
      </w:pPr>
      <w:r>
        <w:rPr>
          <w:b/>
          <w:bCs/>
          <w:sz w:val="20"/>
        </w:rPr>
        <w:t>No bank groups.</w:t>
      </w:r>
      <w:r>
        <w:rPr>
          <w:sz w:val="20"/>
        </w:rPr>
        <w:t xml:space="preserve"> LPDDR4’s 8 banks per channel stand ungrouped (JESD209-4). The long/short pair the scheduler learns for DDR4 degenerates to L = S, and the requirement on the arbiter and global timers is graceful degeneration, not a special case: same-group and cross-group checks collapse into one constraint per pair. Chapter 3.1.</w:t>
      </w:r>
    </w:p>
    <w:p>
      <w:pPr>
        <w:pStyle w:val="BodyText"/>
        <w:rPr/>
      </w:pPr>
      <w:r>
        <w:rPr>
          <w:b/>
          <w:bCs/>
          <w:sz w:val="20"/>
        </w:rPr>
        <w:t>Two x16 channels per package.</w:t>
      </w:r>
      <w:r>
        <w:rPr>
          <w:sz w:val="20"/>
        </w:rPr>
        <w:t xml:space="preserve"> LPDDR4 devices offer a pair of independent x16 channels. The design point exercises one channel (Chapter 2.4); the second channel is a build parameter, and the per-channel state that </w:t>
      </w:r>
      <w:r>
        <w:rPr>
          <w:rStyle w:val="VerbatimChar"/>
          <w:sz w:val="20"/>
        </w:rPr>
        <w:t>ca_train_ifc</w:t>
      </w:r>
      <w:r>
        <w:rPr>
          <w:sz w:val="20"/>
        </w:rPr>
        <w:t xml:space="preserve"> and the LPDDR4 refresh path already carry is why that parameter doesn’t restructure anything. Chapter 2.4, 3.3.</w:t>
      </w:r>
    </w:p>
    <w:p>
      <w:pPr>
        <w:pStyle w:val="BodyText"/>
        <w:rPr/>
      </w:pPr>
      <w:r>
        <w:rPr>
          <w:b/>
          <w:bCs/>
          <w:sz w:val="20"/>
        </w:rPr>
        <w:t>The 6-bit DDR CA bus.</w:t>
      </w:r>
      <w:r>
        <w:rPr>
          <w:sz w:val="20"/>
        </w:rPr>
        <w:t xml:space="preserve"> LPDDR4 commands ride a 6-bit double-data-rate CA bus, two cycles per command, with a different encoding philosophy from DDR4’s five-pin + address form. This is the formatter’s NEW LPDDR4 CA submodule, kept beside — not merged into — the DDR4 path so each stays reviewable. Chapter 3.2.</w:t>
      </w:r>
    </w:p>
    <w:p>
      <w:pPr>
        <w:pStyle w:val="BodyText"/>
        <w:rPr/>
      </w:pPr>
      <w:r>
        <w:rPr>
          <w:b/>
          <w:bCs/>
          <w:sz w:val="20"/>
        </w:rPr>
        <w:t>MPC instead of ZQ opcodes.</w:t>
      </w:r>
      <w:r>
        <w:rPr>
          <w:sz w:val="20"/>
        </w:rPr>
        <w:t xml:space="preserve"> Calibration, training entry, and several feature modes ride the multipurpose command rather than dedicated opcodes. </w:t>
      </w:r>
      <w:r>
        <w:rPr>
          <w:rStyle w:val="VerbatimChar"/>
          <w:sz w:val="20"/>
        </w:rPr>
        <w:t>zq_ctrl</w:t>
      </w:r>
      <w:r>
        <w:rPr>
          <w:sz w:val="20"/>
        </w:rPr>
        <w:t xml:space="preserve">’s NEW MPC submodule and </w:t>
      </w:r>
      <w:r>
        <w:rPr>
          <w:rStyle w:val="VerbatimChar"/>
          <w:sz w:val="20"/>
        </w:rPr>
        <w:t>ca_train_ifc</w:t>
      </w:r>
      <w:r>
        <w:rPr>
          <w:sz w:val="20"/>
        </w:rPr>
        <w:t xml:space="preserve"> share the issuer. Chapters 3.2, 3.3.</w:t>
      </w:r>
    </w:p>
    <w:p>
      <w:pPr>
        <w:pStyle w:val="BodyText"/>
        <w:rPr/>
      </w:pPr>
      <w:r>
        <w:rPr>
          <w:b/>
          <w:bCs/>
          <w:sz w:val="20"/>
        </w:rPr>
        <w:t>Controller-directed per-bank refresh.</w:t>
      </w:r>
      <w:r>
        <w:rPr>
          <w:sz w:val="20"/>
        </w:rPr>
        <w:t xml:space="preserve"> LPDDR4’s per-bank refresh names the bank, replacing scoria’s rotor with explicit bank scheduling and making the advanced schemes of andesite TASK-001’s survey implementable. This edition implements the commodity round-robin. Chapter 3.4.</w:t>
      </w:r>
    </w:p>
    <w:p>
      <w:pPr>
        <w:pStyle w:val="BodyText"/>
        <w:rPr/>
      </w:pPr>
      <w:r>
        <w:rPr>
          <w:b/>
          <w:bCs/>
          <w:sz w:val="20"/>
        </w:rPr>
        <w:t>MR-programmed termination.</w:t>
      </w:r>
      <w:r>
        <w:rPr>
          <w:sz w:val="20"/>
        </w:rPr>
        <w:t xml:space="preserve"> No ODT pin; DQ ODT is programmed in the mode register set and held static this edition. The dynamic machinery of </w:t>
      </w:r>
      <w:r>
        <w:rPr>
          <w:rStyle w:val="VerbatimChar"/>
          <w:sz w:val="20"/>
        </w:rPr>
        <w:t>odt_ctrl</w:t>
      </w:r>
      <w:r>
        <w:rPr>
          <w:sz w:val="20"/>
        </w:rPr>
        <w:t xml:space="preserve"> is DDR4-scoped. Chapter 3.5.</w:t>
      </w:r>
    </w:p>
    <w:p>
      <w:pPr>
        <w:pStyle w:val="BodyText"/>
        <w:rPr/>
      </w:pPr>
      <w:r>
        <w:rPr>
          <w:b/>
          <w:bCs/>
          <w:sz w:val="20"/>
        </w:rPr>
        <w:t>DSM power states.</w:t>
      </w:r>
      <w:r>
        <w:rPr>
          <w:sz w:val="20"/>
        </w:rPr>
        <w:t xml:space="preserve"> Deep-sleep modes exist in the standard and are deferred here with the condition named in Chapter 3.1 — they wake the </w:t>
      </w:r>
      <w:r>
        <w:rPr>
          <w:rStyle w:val="VerbatimChar"/>
          <w:sz w:val="20"/>
        </w:rPr>
        <w:t>powerdown_ctrl</w:t>
      </w:r>
      <w:r>
        <w:rPr>
          <w:sz w:val="20"/>
        </w:rPr>
        <w:t>/</w:t>
      </w:r>
      <w:r>
        <w:rPr>
          <w:rStyle w:val="VerbatimChar"/>
          <w:sz w:val="20"/>
        </w:rPr>
        <w:t>dfi_signal_pack</w:t>
      </w:r>
      <w:r>
        <w:rPr>
          <w:sz w:val="20"/>
        </w:rPr>
        <w:t xml:space="preserve"> pair and need a target that can measure power. Chapter 3.1.</w:t>
      </w:r>
    </w:p>
    <w:p>
      <w:pPr>
        <w:pStyle w:val="BodyText"/>
        <w:rPr/>
      </w:pPr>
      <w:r>
        <w:rPr>
          <w:b/>
          <w:bCs/>
          <w:sz w:val="20"/>
        </w:rPr>
        <w:t>Training.</w:t>
      </w:r>
      <w:r>
        <w:rPr>
          <w:sz w:val="20"/>
        </w:rPr>
        <w:t xml:space="preserve"> CA bus training and write-DQ calibration are LPDDR4-native requirements, carried by </w:t>
      </w:r>
      <w:r>
        <w:rPr>
          <w:rStyle w:val="VerbatimChar"/>
          <w:sz w:val="20"/>
        </w:rPr>
        <w:t>ca_train_ifc</w:t>
      </w:r>
      <w:r>
        <w:rPr>
          <w:sz w:val="20"/>
        </w:rPr>
        <w:t xml:space="preserve"> with firmware searches. Chapter 3.3.</w:t>
      </w:r>
    </w:p>
    <w:p>
      <w:pPr>
        <w:pStyle w:val="BodyText"/>
        <w:rPr/>
      </w:pPr>
      <w:r>
        <w:rPr>
          <w:b/>
          <w:bCs/>
          <w:sz w:val="20"/>
        </w:rPr>
        <w:t>Init.</w:t>
      </w:r>
      <w:r>
        <w:rPr>
          <w:sz w:val="20"/>
        </w:rPr>
        <w:t xml:space="preserve"> LPDDR4’s initialization is its own ordered sequence — bus-carried reset, mode-register writes in JESD209-4’s order, MPC ZQ calibration — with the same binding rule as DDR4’s: the order is a citation, not a design choice. Chapter 3.2.</w:t>
      </w:r>
    </w:p>
    <w:p>
      <w:pPr>
        <w:pStyle w:val="BodyText"/>
        <w:rPr/>
      </w:pPr>
      <w:r>
        <w:rPr>
          <w:b/>
          <w:bCs/>
          <w:sz w:val="20"/>
        </w:rPr>
        <w:t>Inline CKE.</w:t>
      </w:r>
      <w:r>
        <w:rPr>
          <w:sz w:val="20"/>
        </w:rPr>
        <w:t xml:space="preserve"> LPDDR4 has no dedicated </w:t>
      </w:r>
      <w:r>
        <w:rPr>
          <w:rStyle w:val="VerbatimChar"/>
          <w:sz w:val="20"/>
        </w:rPr>
        <w:t>CKE</w:t>
      </w:r>
      <w:r>
        <w:rPr>
          <w:sz w:val="20"/>
        </w:rPr>
        <w:t xml:space="preserve"> pin; the CKE-equivalent state is encoded on the CA bus, so power-down and self-refresh entry are CA-bus transactions rather than a separate pin. The formatter’s </w:t>
      </w:r>
      <w:r>
        <w:rPr>
          <w:rStyle w:val="VerbatimChar"/>
          <w:sz w:val="20"/>
        </w:rPr>
        <w:t>dfi_cke</w:t>
      </w:r>
      <w:r>
        <w:rPr>
          <w:sz w:val="20"/>
        </w:rPr>
        <w:t xml:space="preserve"> output is DDR4-scoped; the LPDDR4 CA submodule handles CKE-equivalent states. Chapter 3.2 (MAS </w:t>
      </w:r>
      <w:r>
        <w:rPr>
          <w:rStyle w:val="VerbatimChar"/>
          <w:sz w:val="20"/>
        </w:rPr>
        <w:t>ch02_blocks/01_cmd_formatter.md</w:t>
      </w:r>
      <w:r>
        <w:rPr>
          <w:sz w:val="20"/>
        </w:rPr>
        <w:t>).</w:t>
      </w:r>
      <w:bookmarkEnd w:id="189"/>
    </w:p>
    <w:p>
      <w:pPr>
        <w:pStyle w:val="Heading2"/>
        <w:pBdr>
          <w:bottom w:val="single" w:sz="12" w:space="0" w:color="228B22"/>
        </w:pBdr>
        <w:spacing w:before="280" w:after="80"/>
        <w:rPr/>
      </w:pPr>
      <w:bookmarkStart w:id="190" w:name="__RefHeading___Toc9187_811569930"/>
      <w:bookmarkStart w:id="191" w:name="what-lpddr4-does-not-change"/>
      <w:bookmarkEnd w:id="190"/>
      <w:r>
        <w:rPr>
          <w:rStyle w:val="SectionNumber"/>
          <w:b/>
          <w:color w:val="228B22"/>
          <w:sz w:val="28"/>
        </w:rPr>
        <w:t>15.2</w:t>
      </w:r>
      <w:r>
        <w:rPr>
          <w:b/>
          <w:color w:val="228B22"/>
          <w:sz w:val="28"/>
        </w:rPr>
        <w:tab/>
        <w:t xml:space="preserve">What LPDDR4 does </w:t>
      </w:r>
      <w:r>
        <w:rPr>
          <w:b/>
          <w:i/>
          <w:iCs/>
          <w:color w:val="228B22"/>
          <w:sz w:val="28"/>
        </w:rPr>
        <w:t>not</w:t>
      </w:r>
      <w:r>
        <w:rPr>
          <w:b/>
          <w:color w:val="228B22"/>
          <w:sz w:val="28"/>
        </w:rPr>
        <w:t xml:space="preserve"> change</w:t>
      </w:r>
    </w:p>
    <w:p>
      <w:pPr>
        <w:pStyle w:val="FirstParagraph"/>
        <w:rPr/>
      </w:pPr>
      <w:r>
        <w:rPr>
          <w:sz w:val="20"/>
        </w:rPr>
        <w:t>Worth stating to keep the scope honest: the host side (nothing about LPDDR4 reaches the AXI4 front end), the datapath structure (the same read/write pipelines serve both memtypes; only the DBI pin handling is DDR4-side), the bank-timer and CAM machinery, and the evidentiary discipline. The family engine covers both memtypes because the deltas are concentrated where they should be: the command encoding, init/training, refresh policy, and termination.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the-lpddr4-deltas-chapter-by-chapter"/>
      <w:bookmarkStart w:id="193" w:name="what-lpddr4-does-not-chang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1"/>
        <w:shd w:val="clear" w:color="auto" w:fill="404040"/>
        <w:spacing w:before="360" w:after="120"/>
        <w:rPr/>
      </w:pPr>
      <w:bookmarkStart w:id="194" w:name="__RefHeading___Toc9189_811569930"/>
      <w:bookmarkStart w:id="195" w:name="X40c845860215d11b7de258104ad0d56c00c4918"/>
      <w:bookmarkEnd w:id="194"/>
      <w:r>
        <w:rPr>
          <w:rStyle w:val="SectionNumber"/>
          <w:b/>
          <w:color w:val="FFFFFF"/>
          <w:sz w:val="32"/>
        </w:rPr>
        <w:t>16</w:t>
      </w:r>
      <w:r>
        <w:rPr>
          <w:b/>
          <w:color w:val="FFFFFF"/>
          <w:sz w:val="32"/>
        </w:rPr>
        <w:tab/>
        <w:t>DFI v4.0 Master Interface, and the v3.1 Delta</w:t>
      </w:r>
    </w:p>
    <w:p>
      <w:pPr>
        <w:pStyle w:val="Heading2"/>
        <w:pBdr>
          <w:bottom w:val="single" w:sz="12" w:space="0" w:color="228B22"/>
        </w:pBdr>
        <w:spacing w:before="280" w:after="80"/>
        <w:rPr/>
      </w:pPr>
      <w:bookmarkStart w:id="196" w:name="__RefHeading___Toc9191_811569930"/>
      <w:bookmarkStart w:id="197" w:name="the-revision-decision"/>
      <w:bookmarkEnd w:id="196"/>
      <w:r>
        <w:rPr>
          <w:rStyle w:val="SectionNumber"/>
          <w:b/>
          <w:color w:val="228B22"/>
          <w:sz w:val="28"/>
        </w:rPr>
        <w:t>16.1</w:t>
      </w:r>
      <w:r>
        <w:rPr>
          <w:b/>
          <w:color w:val="228B22"/>
          <w:sz w:val="28"/>
        </w:rPr>
        <w:tab/>
        <w:t>The revision decision</w:t>
      </w:r>
    </w:p>
    <w:p>
      <w:pPr>
        <w:pStyle w:val="FirstParagraph"/>
        <w:rPr/>
      </w:pPr>
      <w:r>
        <w:rPr>
          <w:sz w:val="20"/>
        </w:rPr>
        <w:t xml:space="preserve">andesite targets </w:t>
      </w:r>
      <w:r>
        <w:rPr>
          <w:b/>
          <w:bCs/>
          <w:sz w:val="20"/>
        </w:rPr>
        <w:t>DFI 4.0</w:t>
      </w:r>
      <w:r>
        <w:rPr>
          <w:sz w:val="20"/>
        </w:rPr>
        <w:t xml:space="preserve"> (§1.0 Overview, §2.2.3 DFI Signals) — the DDR4-era revision per the bootstrap spec §2. The reasoning is short and on the record: scoria’s “deliberately unimplemented” table is almost entirely the DDR4/LPDDR4 surface of its v3.1 — </w:t>
      </w:r>
      <w:r>
        <w:rPr>
          <w:rStyle w:val="VerbatimChar"/>
          <w:sz w:val="20"/>
        </w:rPr>
        <w:t>dfi_act_n*</w:t>
      </w:r>
      <w:r>
        <w:rPr>
          <w:sz w:val="20"/>
        </w:rPr>
        <w:t xml:space="preserve">, </w:t>
      </w:r>
      <w:r>
        <w:rPr>
          <w:rStyle w:val="VerbatimChar"/>
          <w:sz w:val="20"/>
        </w:rPr>
        <w:t>dfi_bg*</w:t>
      </w:r>
      <w:r>
        <w:rPr>
          <w:sz w:val="20"/>
        </w:rPr>
        <w:t xml:space="preserve">, CA parity and </w:t>
      </w:r>
      <w:r>
        <w:rPr>
          <w:rStyle w:val="VerbatimChar"/>
          <w:sz w:val="20"/>
        </w:rPr>
        <w:t>dfi_alert_n*</w:t>
      </w:r>
      <w:r>
        <w:rPr>
          <w:sz w:val="20"/>
        </w:rPr>
        <w:t xml:space="preserve">, DBI, CA training. andesite’s job list </w:t>
      </w:r>
      <w:r>
        <w:rPr>
          <w:i/>
          <w:iCs/>
          <w:sz w:val="20"/>
        </w:rPr>
        <w:t>is</w:t>
      </w:r>
      <w:r>
        <w:rPr>
          <w:sz w:val="20"/>
        </w:rPr>
        <w:t xml:space="preserve"> that table. Targeting v3.1 and hand-adding the DDR4 pins would rebuild the boundary scoria already drew; targeting 4.0 makes the boundary match the work.</w:t>
      </w:r>
    </w:p>
    <w:p>
      <w:pPr>
        <w:pStyle w:val="BodyText"/>
        <w:rPr/>
      </w:pPr>
      <w:r>
        <w:rPr>
          <w:b/>
          <w:bCs/>
          <w:sz w:val="20"/>
        </w:rPr>
        <w:t>Citation discipline for this chapter.</w:t>
      </w:r>
      <w:r>
        <w:rPr>
          <w:sz w:val="20"/>
        </w:rPr>
        <w:t xml:space="preserve"> The DFI 4.0 specification is now on disk (</w:t>
      </w:r>
      <w:r>
        <w:rPr>
          <w:rStyle w:val="VerbatimChar"/>
          <w:sz w:val="20"/>
        </w:rPr>
        <w:t>/mnt/data/github/dfi-specs/DDR_PHY_Interface_Specification_v4_0.pdf</w:t>
      </w:r>
      <w:r>
        <w:rPr>
          <w:sz w:val="20"/>
        </w:rPr>
        <w:t xml:space="preserve">) and was studied on 2026-10-04 as andesite TASK-005. Clause references below are real DFI 4.0 section numbers; any remaining </w:t>
      </w:r>
      <w:r>
        <w:rPr>
          <w:rStyle w:val="VerbatimChar"/>
          <w:sz w:val="20"/>
        </w:rPr>
        <w:t>§TBC(TASK-005)</w:t>
      </w:r>
      <w:r>
        <w:rPr>
          <w:sz w:val="20"/>
        </w:rPr>
        <w:t xml:space="preserve"> marks a claim the study could not confirm. Signal </w:t>
      </w:r>
      <w:r>
        <w:rPr>
          <w:i/>
          <w:iCs/>
          <w:sz w:val="20"/>
        </w:rPr>
        <w:t>names</w:t>
      </w:r>
      <w:r>
        <w:rPr>
          <w:sz w:val="20"/>
        </w:rPr>
        <w:t xml:space="preserve"> are public and stated plainly.</w:t>
      </w:r>
      <w:bookmarkEnd w:id="197"/>
    </w:p>
    <w:p>
      <w:pPr>
        <w:pStyle w:val="Heading2"/>
        <w:pBdr>
          <w:bottom w:val="single" w:sz="12" w:space="0" w:color="228B22"/>
        </w:pBdr>
        <w:spacing w:before="280" w:after="80"/>
        <w:rPr/>
      </w:pPr>
      <w:bookmarkStart w:id="198" w:name="__RefHeading___Toc9193_811569930"/>
      <w:bookmarkStart w:id="199" w:name="what-does-not-change"/>
      <w:bookmarkEnd w:id="198"/>
      <w:r>
        <w:rPr>
          <w:rStyle w:val="SectionNumber"/>
          <w:b/>
          <w:color w:val="228B22"/>
          <w:sz w:val="28"/>
        </w:rPr>
        <w:t>16.2</w:t>
      </w:r>
      <w:r>
        <w:rPr>
          <w:b/>
          <w:color w:val="228B22"/>
          <w:sz w:val="28"/>
        </w:rPr>
        <w:tab/>
        <w:t>What does NOT change</w:t>
      </w:r>
    </w:p>
    <w:p>
      <w:pPr>
        <w:pStyle w:val="FirstParagraph"/>
        <w:rPr/>
      </w:pPr>
      <w:r>
        <w:rPr>
          <w:b/>
          <w:bCs/>
          <w:sz w:val="20"/>
        </w:rPr>
        <w:t>The datapath is inherited entirely.</w:t>
      </w:r>
      <w:r>
        <w:rPr>
          <w:sz w:val="20"/>
        </w:rPr>
        <w:t xml:space="preserve"> One async-FIFO CDC, bubble-free, the unit of transfer a DFI word, at the inherited 1:4 frequency ratio. The phase-multiplied buses carry: the </w:t>
      </w:r>
      <w:r>
        <w:rPr>
          <w:rStyle w:val="VerbatimChar"/>
          <w:sz w:val="20"/>
        </w:rPr>
        <w:t>_pN</w:t>
      </w:r>
      <w:r>
        <w:rPr>
          <w:sz w:val="20"/>
        </w:rPr>
        <w:t xml:space="preserve"> generalization scoria adopted from v3.1 still stands, and the 1:4 ratio remains a defined mode of the newer revision (§4.9 Frequency Ratios Across the DFI).</w:t>
      </w:r>
    </w:p>
    <w:p>
      <w:pPr>
        <w:pStyle w:val="BodyText"/>
        <w:rPr/>
      </w:pPr>
      <w:r>
        <w:rPr>
          <w:b/>
          <w:bCs/>
          <w:sz w:val="20"/>
        </w:rPr>
        <w:t>The init and error surface carries.</w:t>
      </w:r>
      <w:r>
        <w:rPr>
          <w:sz w:val="20"/>
        </w:rPr>
        <w:t xml:space="preserve"> </w:t>
      </w:r>
      <w:r>
        <w:rPr>
          <w:rStyle w:val="VerbatimChar"/>
          <w:sz w:val="20"/>
        </w:rPr>
        <w:t>dfi_init_start</w:t>
      </w:r>
      <w:r>
        <w:rPr>
          <w:sz w:val="20"/>
        </w:rPr>
        <w:t xml:space="preserve"> / </w:t>
      </w:r>
      <w:r>
        <w:rPr>
          <w:rStyle w:val="VerbatimChar"/>
          <w:sz w:val="20"/>
        </w:rPr>
        <w:t>dfi_init_complete</w:t>
      </w:r>
      <w:r>
        <w:rPr>
          <w:sz w:val="20"/>
        </w:rPr>
        <w:t xml:space="preserve">, </w:t>
      </w:r>
      <w:r>
        <w:rPr>
          <w:rStyle w:val="VerbatimChar"/>
          <w:sz w:val="20"/>
        </w:rPr>
        <w:t>dfi_error</w:t>
      </w:r>
      <w:r>
        <w:rPr>
          <w:sz w:val="20"/>
        </w:rPr>
        <w:t xml:space="preserve"> and </w:t>
      </w:r>
      <w:r>
        <w:rPr>
          <w:rStyle w:val="VerbatimChar"/>
          <w:sz w:val="20"/>
        </w:rPr>
        <w:t>dfi_error_info</w:t>
      </w:r>
      <w:r>
        <w:rPr>
          <w:sz w:val="20"/>
        </w:rPr>
        <w:t xml:space="preserve"> are scoria’s already (§3.5.1 Initialization, §3.8 Error Interface); the DDR4 CA-parity detail that </w:t>
      </w:r>
      <w:r>
        <w:rPr>
          <w:rStyle w:val="VerbatimChar"/>
          <w:sz w:val="20"/>
        </w:rPr>
        <w:t>dfi_error_info</w:t>
      </w:r>
      <w:r>
        <w:rPr>
          <w:sz w:val="20"/>
        </w:rPr>
        <w:t xml:space="preserve"> was widened to carry is now used rather than ignored.</w:t>
      </w:r>
    </w:p>
    <w:p>
      <w:pPr>
        <w:pStyle w:val="BodyText"/>
        <w:rPr/>
      </w:pPr>
      <w:r>
        <w:rPr>
          <w:rStyle w:val="VerbatimChar"/>
          <w:b/>
          <w:bCs/>
          <w:sz w:val="20"/>
        </w:rPr>
        <w:t>dfi_reset_n</w:t>
      </w:r>
      <w:r>
        <w:rPr>
          <w:b/>
          <w:bCs/>
          <w:sz w:val="20"/>
        </w:rPr>
        <w:t xml:space="preserve"> is inherited.</w:t>
      </w:r>
      <w:r>
        <w:rPr>
          <w:sz w:val="20"/>
        </w:rPr>
        <w:t xml:space="preserve"> scoria drives it from the init sequencer and presents it at the DFI boundary under its DFI name; andesite keeps that convention (§3.1 Control Interface, Table 3; Ch 3.2).</w:t>
      </w:r>
    </w:p>
    <w:p>
      <w:pPr>
        <w:pStyle w:val="BodyText"/>
        <w:rPr/>
      </w:pPr>
      <w:r>
        <w:rPr>
          <w:b/>
          <w:bCs/>
          <w:sz w:val="20"/>
        </w:rPr>
        <w:t>The low-power requests stay exposed and unacknowledged-by-default.</w:t>
      </w:r>
      <w:r>
        <w:rPr>
          <w:sz w:val="20"/>
        </w:rPr>
        <w:t xml:space="preserve"> </w:t>
      </w:r>
      <w:r>
        <w:rPr>
          <w:rStyle w:val="VerbatimChar"/>
          <w:sz w:val="20"/>
        </w:rPr>
        <w:t>dfi_lp_ctrl_req</w:t>
      </w:r>
      <w:r>
        <w:rPr>
          <w:sz w:val="20"/>
        </w:rPr>
        <w:t xml:space="preserve"> / </w:t>
      </w:r>
      <w:r>
        <w:rPr>
          <w:rStyle w:val="VerbatimChar"/>
          <w:sz w:val="20"/>
        </w:rPr>
        <w:t>dfi_lp_data_req</w:t>
      </w:r>
      <w:r>
        <w:rPr>
          <w:sz w:val="20"/>
        </w:rPr>
        <w:t xml:space="preserve"> remain presented, with the inherited rule that an unacknowledged request times out and reports — never blocks. The dormant-pair condition of Chapter 3.1 governs whether anything ever consumes them (§3.7 Low Power Control Interface).</w:t>
      </w:r>
      <w:bookmarkEnd w:id="199"/>
    </w:p>
    <w:p>
      <w:pPr>
        <w:pStyle w:val="Heading2"/>
        <w:pBdr>
          <w:bottom w:val="single" w:sz="12" w:space="0" w:color="228B22"/>
        </w:pBdr>
        <w:spacing w:before="280" w:after="80"/>
        <w:rPr/>
      </w:pPr>
      <w:bookmarkStart w:id="200" w:name="__RefHeading___Toc9195_811569930"/>
      <w:bookmarkStart w:id="201" w:name="Xb77404cf1849a67140ed65cfb11e1b3d10f9d38"/>
      <w:bookmarkEnd w:id="200"/>
      <w:r>
        <w:rPr>
          <w:rStyle w:val="SectionNumber"/>
          <w:b/>
          <w:color w:val="228B22"/>
          <w:sz w:val="28"/>
        </w:rPr>
        <w:t>16.3</w:t>
      </w:r>
      <w:r>
        <w:rPr>
          <w:b/>
          <w:color w:val="228B22"/>
          <w:sz w:val="28"/>
        </w:rPr>
        <w:tab/>
        <w:t>What changes and matters: the 3.1 → 4.0 delta</w:t>
      </w:r>
    </w:p>
    <w:p>
      <w:pPr>
        <w:pStyle w:val="TableCaption"/>
        <w:rPr/>
      </w:pPr>
      <w:bookmarkStart w:id="202" w:name="_Tab_20_Table_4_1__The_3_1__"/>
      <w:r>
        <w:rPr/>
        <w:t>Table 4.1: The 3.1 → 4.0 delta — what scoria left unimplemented is andesite’s work list</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 behavior (DFI 4.0)</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scoria drove at v3.1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andesite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 the fifth command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ACT was an encoded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from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(MODIFIED); ACT_n plus RAS/CAS/WE forms the activate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 bank-group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no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with BG0/BG1 during activate, from the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 chip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driven at </w:t>
            </w:r>
            <w:r>
              <w:rPr>
                <w:rStyle w:val="VerbatimChar"/>
                <w:rFonts w:eastAsia="Cambria" w:cs=""/>
                <w:kern w:val="0"/>
                <w:szCs w:val="24"/>
                <w:lang w:val="en-US" w:eastAsia="en-US" w:bidi="ar-SA"/>
              </w:rPr>
              <w:t>NUM_RANKS = 1</w:t>
            </w:r>
            <w:r>
              <w:rPr>
                <w:rFonts w:eastAsia="Cambria" w:cs=""/>
                <w:kern w:val="0"/>
                <w:sz w:val="24"/>
                <w:szCs w:val="24"/>
                <w:lang w:val="en-US" w:eastAsia="en-US" w:bidi="ar-SA"/>
              </w:rPr>
              <w:t>; presented constant, like scoria’s data-phase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 §4.3 3DS Stack Support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 gear-down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 not in v3.1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drives entry after init; the CA bus then runs at half rate (§3.13, Ch 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 CA parity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carried the indication; parity encodings ignored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generates parity; the counting machinery’s hw/fw split is an open question (Ch 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 parity/training alert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to a NEW </w:t>
            </w:r>
            <w:r>
              <w:rPr>
                <w:rStyle w:val="VerbatimChar"/>
                <w:rFonts w:eastAsia="Cambria" w:cs=""/>
                <w:kern w:val="0"/>
                <w:szCs w:val="24"/>
                <w:lang w:val="en-US" w:eastAsia="en-US" w:bidi="ar-SA"/>
              </w:rPr>
              <w:t>alert_n</w:t>
            </w:r>
            <w:r>
              <w:rPr>
                <w:rFonts w:eastAsia="Cambria" w:cs=""/>
                <w:kern w:val="0"/>
                <w:sz w:val="24"/>
                <w:szCs w:val="24"/>
                <w:lang w:val="en-US" w:eastAsia="en-US" w:bidi="ar-SA"/>
              </w:rPr>
              <w:t xml:space="preserve"> handling submodule at the boundary; surfaces through </w:t>
            </w:r>
            <w:r>
              <w:rPr>
                <w:rStyle w:val="VerbatimChar"/>
                <w:rFonts w:eastAsia="Cambria" w:cs=""/>
                <w:kern w:val="0"/>
                <w:szCs w:val="24"/>
                <w:lang w:val="en-US" w:eastAsia="en-US" w:bidi="ar-SA"/>
              </w:rPr>
              <w:t>dfi_error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(write DBI) /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xml:space="preserve"> — Data Bus Inversion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DBI reuses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when DBI is enabled; read DBI is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MR5-programmed through the MODIFIED aligner and 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 §3.3.1 Read DBI, §4.4 Data Bus Inversion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r>
              <w:rPr>
                <w:rFonts w:eastAsia="Cambria" w:cs=""/>
                <w:kern w:val="0"/>
                <w:sz w:val="24"/>
                <w:szCs w:val="24"/>
                <w:lang w:val="en-US" w:eastAsia="en-US" w:bidi="ar-SA"/>
              </w:rPr>
              <w:t xml:space="preserve"> — read leveling and pattern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in v3.1 as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unused (write leveling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for MPR-based read leveling (Ch 3.3);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training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 §3.6.1 Read Training Operation, §3.6.6 dfi_lvl_pattern Encoding, §3.6.7 Periodic Training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 CA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for LPDDR4 CA/WDQ training (Ch 3.3, 3.6);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and adds LPDDR4 VREF signals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 §4.12.7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frequency-ratio options beyond 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at this design point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exercised; deferred until a board PHY requires 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 Frequency Ratios Across the DFI</w:t>
            </w:r>
          </w:p>
        </w:tc>
      </w:tr>
    </w:tbl>
    <w:p>
      <w:pPr>
        <w:pStyle w:val="BodyText"/>
        <w:rPr/>
      </w:pPr>
      <w:r>
        <w:rPr>
          <w:b/>
          <w:bCs/>
          <w:sz w:val="20"/>
        </w:rPr>
        <w:t>Study correction (2026-10-04, andesite TASK-005).</w:t>
      </w:r>
      <w:r>
        <w:rPr>
          <w:sz w:val="20"/>
        </w:rPr>
        <w:t xml:space="preserve"> The v3.1 per-CS leveling handshake </w:t>
      </w:r>
      <w:r>
        <w:rPr>
          <w:rStyle w:val="VerbatimChar"/>
          <w:sz w:val="20"/>
        </w:rPr>
        <w:t>dfi_phylvl_req_cs_n</w:t>
      </w:r>
      <w:r>
        <w:rPr>
          <w:sz w:val="20"/>
        </w:rPr>
        <w:t xml:space="preserve"> / </w:t>
      </w:r>
      <w:r>
        <w:rPr>
          <w:rStyle w:val="VerbatimChar"/>
          <w:sz w:val="20"/>
        </w:rPr>
        <w:t>dfi_phylvl_ack_cs_n</w:t>
      </w:r>
      <w:r>
        <w:rPr>
          <w:sz w:val="20"/>
        </w:rPr>
        <w:t xml:space="preserve"> does </w:t>
      </w:r>
      <w:r>
        <w:rPr>
          <w:i/>
          <w:iCs/>
          <w:sz w:val="20"/>
        </w:rPr>
        <w:t>not</w:t>
      </w:r>
      <w:r>
        <w:rPr>
          <w:sz w:val="20"/>
        </w:rPr>
        <w:t xml:space="preserve"> transfer unchanged into DFI 4.0. The 4.0 spec removes those PHY-requested training signals and replaces them with PHY Independent Mode (§3.6.8 PHY-Initiated Training in DFI Training Mode). All training chip-select signals are also renamed from </w:t>
      </w:r>
      <w:r>
        <w:rPr>
          <w:rStyle w:val="VerbatimChar"/>
          <w:sz w:val="20"/>
        </w:rPr>
        <w:t>*_cs_n</w:t>
      </w:r>
      <w:r>
        <w:rPr>
          <w:sz w:val="20"/>
        </w:rPr>
        <w:t xml:space="preserve"> to </w:t>
      </w:r>
      <w:r>
        <w:rPr>
          <w:rStyle w:val="VerbatimChar"/>
          <w:sz w:val="20"/>
        </w:rPr>
        <w:t>*_cs</w:t>
      </w:r>
      <w:r>
        <w:rPr>
          <w:sz w:val="20"/>
        </w:rPr>
        <w:t xml:space="preserve"> in 4.0 (e.g. </w:t>
      </w:r>
      <w:r>
        <w:rPr>
          <w:rStyle w:val="VerbatimChar"/>
          <w:sz w:val="20"/>
        </w:rPr>
        <w:t>dfi_phy_rdlvl_cs_n</w:t>
      </w:r>
      <w:r>
        <w:rPr>
          <w:sz w:val="20"/>
        </w:rPr>
        <w:t xml:space="preserve"> → </w:t>
      </w:r>
      <w:r>
        <w:rPr>
          <w:rStyle w:val="VerbatimChar"/>
          <w:sz w:val="20"/>
        </w:rPr>
        <w:t>dfi_phy_rdlvl_cs</w:t>
      </w:r>
      <w:r>
        <w:rPr>
          <w:sz w:val="20"/>
        </w:rPr>
        <w:t xml:space="preserve">, </w:t>
      </w:r>
      <w:r>
        <w:rPr>
          <w:rStyle w:val="VerbatimChar"/>
          <w:sz w:val="20"/>
        </w:rPr>
        <w:t>dfi_phy_calvl_cs_n</w:t>
      </w:r>
      <w:r>
        <w:rPr>
          <w:sz w:val="20"/>
        </w:rPr>
        <w:t xml:space="preserve"> → </w:t>
      </w:r>
      <w:r>
        <w:rPr>
          <w:rStyle w:val="VerbatimChar"/>
          <w:sz w:val="20"/>
        </w:rPr>
        <w:t>dfi_phy_calvl_cs</w:t>
      </w:r>
      <w:r>
        <w:rPr>
          <w:sz w:val="20"/>
        </w:rPr>
        <w:t xml:space="preserve">). andesite’s training interface must use the v4.0 names; any reuse of v3.1-style </w:t>
      </w:r>
      <w:r>
        <w:rPr>
          <w:rStyle w:val="VerbatimChar"/>
          <w:sz w:val="20"/>
        </w:rPr>
        <w:t>phylvl_*</w:t>
      </w:r>
      <w:r>
        <w:rPr>
          <w:sz w:val="20"/>
        </w:rPr>
        <w:t xml:space="preserve"> handshakes is an andesite-specific convenience, not a DFI 4.0 signal.</w:t>
      </w:r>
    </w:p>
    <w:p>
      <w:pPr>
        <w:pStyle w:val="BodyText"/>
        <w:rPr/>
      </w:pPr>
      <w:r>
        <w:rPr>
          <w:sz w:val="20"/>
        </w:rPr>
        <w:t xml:space="preserve">A second correction: there is no </w:t>
      </w:r>
      <w:r>
        <w:rPr>
          <w:rStyle w:val="VerbatimChar"/>
          <w:sz w:val="20"/>
        </w:rPr>
        <w:t>dfi_wrdata_dbi</w:t>
      </w:r>
      <w:r>
        <w:rPr>
          <w:sz w:val="20"/>
        </w:rPr>
        <w:t xml:space="preserve"> pin in DFI 4.0. Write DBI is carried on the existing </w:t>
      </w:r>
      <w:r>
        <w:rPr>
          <w:rStyle w:val="VerbatimChar"/>
          <w:sz w:val="20"/>
        </w:rPr>
        <w:t>dfi_wrdata_mask</w:t>
      </w:r>
      <w:r>
        <w:rPr>
          <w:sz w:val="20"/>
        </w:rPr>
        <w:t xml:space="preserve"> bus when DBI is enabled and </w:t>
      </w:r>
      <w:r>
        <w:rPr>
          <w:rStyle w:val="VerbatimChar"/>
          <w:sz w:val="20"/>
        </w:rPr>
        <w:t>phydbi_mode = 0</w:t>
      </w:r>
      <w:r>
        <w:rPr>
          <w:sz w:val="20"/>
        </w:rPr>
        <w:t xml:space="preserve"> (§3.2.1). Read DBI has the dedicated </w:t>
      </w:r>
      <w:r>
        <w:rPr>
          <w:rStyle w:val="VerbatimChar"/>
          <w:sz w:val="20"/>
        </w:rPr>
        <w:t>dfi_rddata_dbi</w:t>
      </w:r>
      <w:r>
        <w:rPr>
          <w:sz w:val="20"/>
        </w:rPr>
        <w:t xml:space="preserve"> signal (§3.3.1).</w:t>
      </w:r>
    </w:p>
    <w:p>
      <w:pPr>
        <w:pStyle w:val="BodyText"/>
        <w:rPr/>
      </w:pPr>
      <w:r>
        <w:rPr>
          <w:b/>
          <w:bCs/>
          <w:sz w:val="20"/>
        </w:rPr>
        <w:t>The trap to record, carried from scoria’s chapter.</w:t>
      </w:r>
      <w:r>
        <w:rPr>
          <w:sz w:val="20"/>
        </w:rPr>
        <w:t xml:space="preserve"> A naive signal-name diff between revisions reports phase-indexed names as appearing and disappearing with each revision’s notation. They don’t; the </w:t>
      </w:r>
      <w:r>
        <w:rPr>
          <w:rStyle w:val="VerbatimChar"/>
          <w:sz w:val="20"/>
        </w:rPr>
        <w:t>_pN</w:t>
      </w:r>
      <w:r>
        <w:rPr>
          <w:sz w:val="20"/>
        </w:rPr>
        <w:t xml:space="preserve"> form is a generalization, and a 1:4 implementation keeps four concrete phases. An implementer who trusts the diff rewrites a working, verified datapath for no reason — so the trap stays on the record here, one revision later.</w:t>
      </w:r>
      <w:bookmarkEnd w:id="201"/>
    </w:p>
    <w:p>
      <w:pPr>
        <w:pStyle w:val="Heading2"/>
        <w:pBdr>
          <w:bottom w:val="single" w:sz="12" w:space="0" w:color="228B22"/>
        </w:pBdr>
        <w:spacing w:before="280" w:after="80"/>
        <w:rPr/>
      </w:pPr>
      <w:bookmarkStart w:id="203" w:name="__RefHeading___Toc9197_811569930"/>
      <w:bookmarkStart w:id="204" w:name="what-andesite-does-not-implement"/>
      <w:bookmarkEnd w:id="203"/>
      <w:r>
        <w:rPr>
          <w:rStyle w:val="SectionNumber"/>
          <w:b/>
          <w:color w:val="228B22"/>
          <w:sz w:val="28"/>
        </w:rPr>
        <w:t>16.4</w:t>
      </w:r>
      <w:r>
        <w:rPr>
          <w:b/>
          <w:color w:val="228B22"/>
          <w:sz w:val="28"/>
        </w:rPr>
        <w:tab/>
        <w:t>What andesite does NOT implement</w:t>
      </w:r>
    </w:p>
    <w:p>
      <w:pPr>
        <w:pStyle w:val="FirstParagraph"/>
        <w:rPr/>
      </w:pPr>
      <w:r>
        <w:rPr>
          <w:sz w:val="20"/>
        </w:rPr>
        <w:t>Named, so the absence is a decision:</w:t>
      </w:r>
    </w:p>
    <w:p>
      <w:pPr>
        <w:pStyle w:val="TableCaption"/>
        <w:rPr/>
      </w:pPr>
      <w:bookmarkStart w:id="205" w:name="_Tab_21_Table_4_2__Deliberat"/>
      <w:r>
        <w:rPr/>
        <w:t>Table 4.2: Deliberately unimplemented at the 4.0 boundary</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DDR5-oriented features the DFI 4.x revision family also carries (ch00’s not-in-scope 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in this controller; named here so the boundary is a decision (§2.2.1 Global Features, §2.2.2 Memory Topology-Specific Features)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the inherited 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 the datapath’s phase structure transfers at the gear it was verified at (§4.9 Frequency Ratios Across the DFI)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consumption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dormant-pair condition of Ch 3.1; the requests stay presented per the timeout rule above (§3.7 Low Power Control Interface, §4.13 Low Power Control Handshaking)</w:t>
            </w:r>
          </w:p>
        </w:tc>
      </w:tr>
    </w:tbl>
    <w:p>
      <w:pPr>
        <w:pStyle w:val="BodyText"/>
        <w:rPr/>
      </w:pPr>
      <w:bookmarkStart w:id="206" w:name="what-andesite-does-not-implement"/>
      <w:r>
        <w:rPr>
          <w:sz w:val="20"/>
        </w:rPr>
        <w:t>Targeting the newer revision does not mean implementing all of it — the same sentence scoria’s chapter closed on, one revision later.</w:t>
      </w:r>
      <w:bookmarkEnd w:id="206"/>
    </w:p>
    <w:p>
      <w:pPr>
        <w:pStyle w:val="Heading2"/>
        <w:pBdr>
          <w:bottom w:val="single" w:sz="12" w:space="0" w:color="228B22"/>
        </w:pBdr>
        <w:spacing w:before="280" w:after="80"/>
        <w:rPr/>
      </w:pPr>
      <w:bookmarkStart w:id="207" w:name="__RefHeading___Toc9199_811569930"/>
      <w:bookmarkStart w:id="208" w:name="the-mas-seam"/>
      <w:bookmarkEnd w:id="207"/>
      <w:r>
        <w:rPr>
          <w:rStyle w:val="SectionNumber"/>
          <w:b/>
          <w:color w:val="228B22"/>
          <w:sz w:val="28"/>
        </w:rPr>
        <w:t>16.5</w:t>
      </w:r>
      <w:r>
        <w:rPr>
          <w:b/>
          <w:color w:val="228B22"/>
          <w:sz w:val="28"/>
        </w:rPr>
        <w:tab/>
        <w:t>The MAS seam</w:t>
      </w:r>
    </w:p>
    <w:p>
      <w:pPr>
        <w:pStyle w:val="FirstParagraph"/>
        <w:rPr/>
      </w:pPr>
      <w:r>
        <w:rPr>
          <w:sz w:val="20"/>
        </w:rPr>
        <w:t>This chapter names the boundary; the MAS ch03 pins it — every signal above appears there as a pin-level row (name, direction, clock, reset value, source block), and the clause column there carries the same DFI 4.0 section references. The DV framework’s DFI signal catalog — the check that, for scoria, caught a missing required signal by name — runs against this table when the BFM exists (andesite TASK-005).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X40c845860215d11b7de258104ad0d56c00c4918"/>
      <w:bookmarkStart w:id="210" w:name="the-mas-seam"/>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9201_811569930"/>
      <w:bookmarkStart w:id="212" w:name="axi4-slave-and-apb-csr-both-inherited"/>
      <w:bookmarkEnd w:id="211"/>
      <w:r>
        <w:rPr>
          <w:rStyle w:val="SectionNumber"/>
          <w:b/>
          <w:color w:val="FFFFFF"/>
          <w:sz w:val="32"/>
        </w:rPr>
        <w:t>17</w:t>
      </w:r>
      <w:r>
        <w:rPr>
          <w:b/>
          <w:color w:val="FFFFFF"/>
          <w:sz w:val="32"/>
        </w:rPr>
        <w:tab/>
        <w:t>AXI4 Slave and APB CSR (both inherited)</w:t>
      </w:r>
    </w:p>
    <w:p>
      <w:pPr>
        <w:pStyle w:val="Heading2"/>
        <w:pBdr>
          <w:bottom w:val="single" w:sz="12" w:space="0" w:color="228B22"/>
        </w:pBdr>
        <w:spacing w:before="280" w:after="80"/>
        <w:rPr/>
      </w:pPr>
      <w:bookmarkStart w:id="213" w:name="__RefHeading___Toc9203_811569930"/>
      <w:bookmarkStart w:id="214" w:name="the-host-side-is-unchanged-in-shape"/>
      <w:bookmarkEnd w:id="213"/>
      <w:r>
        <w:rPr>
          <w:rStyle w:val="SectionNumber"/>
          <w:b/>
          <w:color w:val="228B22"/>
          <w:sz w:val="28"/>
        </w:rPr>
        <w:t>17.1</w:t>
      </w:r>
      <w:r>
        <w:rPr>
          <w:b/>
          <w:color w:val="228B22"/>
          <w:sz w:val="28"/>
        </w:rPr>
        <w:tab/>
        <w:t>The host side is unchanged in shape</w:t>
      </w:r>
    </w:p>
    <w:p>
      <w:pPr>
        <w:pStyle w:val="FirstParagraph"/>
        <w:rPr/>
      </w:pPr>
      <w:r>
        <w:rPr>
          <w:sz w:val="20"/>
        </w:rPr>
        <w:t>Everything on the host side of the controller transfers from scoria without structural change: the AXI4 slave, the width-gearing converters that let the host bus width differ from the DRAM’s (x8 DDR4, x16-per-channel LPDDR4 at this design point), the APB slave into the register block, and the in-order commit discipline. Nothing about DDR4 or LPDDR4 reaches this side of the controller, and the front-end blocks that serve it are the green set of Figure 2.1.</w:t>
      </w:r>
    </w:p>
    <w:p>
      <w:pPr>
        <w:pStyle w:val="BodyText"/>
        <w:rPr/>
      </w:pPr>
      <w:r>
        <w:rPr>
          <w:sz w:val="20"/>
        </w:rPr>
        <w:t xml:space="preserve">The AXI4 shape is inherited as a </w:t>
      </w:r>
      <w:r>
        <w:rPr>
          <w:i/>
          <w:iCs/>
          <w:sz w:val="20"/>
        </w:rPr>
        <w:t>shape</w:t>
      </w:r>
      <w:r>
        <w:rPr>
          <w:sz w:val="20"/>
        </w:rPr>
        <w:t>, not just a protocol: the same ID handling, the same burst chopping against the DRAM’s page, the same read-reorder and write-data CAMs. scoria’s book is the specification for those blocks and andesite’s MAS references it rather than rewriting it.</w:t>
      </w:r>
      <w:bookmarkEnd w:id="214"/>
    </w:p>
    <w:p>
      <w:pPr>
        <w:pStyle w:val="Heading2"/>
        <w:pBdr>
          <w:bottom w:val="single" w:sz="12" w:space="0" w:color="228B22"/>
        </w:pBdr>
        <w:spacing w:before="280" w:after="80"/>
        <w:rPr/>
      </w:pPr>
      <w:bookmarkStart w:id="215" w:name="__RefHeading___Toc9205_811569930"/>
      <w:bookmarkStart w:id="216" w:name="the-register-block"/>
      <w:bookmarkEnd w:id="215"/>
      <w:r>
        <w:rPr>
          <w:rStyle w:val="SectionNumber"/>
          <w:b/>
          <w:color w:val="228B22"/>
          <w:sz w:val="28"/>
        </w:rPr>
        <w:t>17.2</w:t>
      </w:r>
      <w:r>
        <w:rPr>
          <w:b/>
          <w:color w:val="228B22"/>
          <w:sz w:val="28"/>
        </w:rPr>
        <w:tab/>
        <w:t>The register block</w:t>
      </w:r>
    </w:p>
    <w:p>
      <w:pPr>
        <w:pStyle w:val="FirstParagraph"/>
        <w:rPr/>
      </w:pPr>
      <w:r>
        <w:rPr>
          <w:sz w:val="20"/>
        </w:rPr>
        <w:t xml:space="preserve">The CSR block regenerates from an </w:t>
      </w:r>
      <w:r>
        <w:rPr>
          <w:rStyle w:val="VerbatimChar"/>
          <w:sz w:val="20"/>
        </w:rPr>
        <w:t>andesite_csr.rdl</w:t>
      </w:r>
      <w:r>
        <w:rPr>
          <w:sz w:val="20"/>
        </w:rPr>
        <w:t xml:space="preserve"> through the same PeakRDL flow scoria uses. Two rules carry, both load-bearing:</w:t>
      </w:r>
    </w:p>
    <w:p>
      <w:pPr>
        <w:pStyle w:val="Compact"/>
        <w:numPr>
          <w:ilvl w:val="0"/>
          <w:numId w:val="48"/>
        </w:numPr>
        <w:rPr/>
      </w:pPr>
      <w:r>
        <w:rPr>
          <w:b/>
          <w:bCs/>
        </w:rPr>
        <w:t>Registers are named, not offset-numbered, in books.</w:t>
      </w:r>
      <w:r>
        <w:rPr/>
        <w:t xml:space="preserve"> Offsets live in the generated documentation, not in prose; a register’s name is its handle everywhere in this book, the MAS, and the kmap book. The house peakrdl wrapper generates the offset map when the RDL lands.</w:t>
      </w:r>
    </w:p>
    <w:p>
      <w:pPr>
        <w:pStyle w:val="Compact"/>
        <w:numPr>
          <w:ilvl w:val="0"/>
          <w:numId w:val="49"/>
        </w:numPr>
        <w:rPr/>
      </w:pPr>
      <w:r>
        <w:rPr>
          <w:b/>
          <w:bCs/>
        </w:rPr>
        <w:t>The generation flow is inherited; the contents grow.</w:t>
      </w:r>
      <w:r>
        <w:rPr/>
        <w:t xml:space="preserve"> Every new timing (the long/short pairs, the ODT latencies, the FGR factor), every new policy select (placement, elastic refresh carried forward, DBI enables), and the training interfaces’ telemetry join the register map. Chapter 5 owns the inventory; the growth is content, not mechanism.</w:t>
      </w:r>
      <w:bookmarkEnd w:id="216"/>
    </w:p>
    <w:p>
      <w:pPr>
        <w:pStyle w:val="Heading2"/>
        <w:pBdr>
          <w:bottom w:val="single" w:sz="12" w:space="0" w:color="228B22"/>
        </w:pBdr>
        <w:spacing w:before="280" w:after="80"/>
        <w:rPr/>
      </w:pPr>
      <w:bookmarkStart w:id="217" w:name="__RefHeading___Toc9207_811569930"/>
      <w:bookmarkStart w:id="218" w:name="the-seam-with-the-rest-of-the-book"/>
      <w:bookmarkEnd w:id="217"/>
      <w:r>
        <w:rPr>
          <w:rStyle w:val="SectionNumber"/>
          <w:b/>
          <w:color w:val="228B22"/>
          <w:sz w:val="28"/>
        </w:rPr>
        <w:t>17.3</w:t>
      </w:r>
      <w:r>
        <w:rPr>
          <w:b/>
          <w:color w:val="228B22"/>
          <w:sz w:val="28"/>
        </w:rPr>
        <w:tab/>
        <w:t>The seam with the rest of the book</w:t>
      </w:r>
    </w:p>
    <w:p>
      <w:pPr>
        <w:pStyle w:val="FirstParagraph"/>
        <w:rPr/>
      </w:pPr>
      <w:r>
        <w:rPr>
          <w:sz w:val="20"/>
        </w:rPr>
        <w:t>The host side’s only contacts with this book’s deltas are telemetry (the training and ODT instruments are host-visible, per the four-state rule of Chapter 3.3) and the width gearing’s view of the LPDDR4 channel width. Both are CSR-visible; neither is structural.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9" w:name="axi4-slave-and-apb-csr-both-inherited"/>
      <w:bookmarkStart w:id="220" w:name="the-seam-with-the-rest-of-the-book"/>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9209_811569930"/>
      <w:bookmarkStart w:id="222" w:name="andesite_pkg-and-build-time-vs-runtime"/>
      <w:bookmarkEnd w:id="221"/>
      <w:r>
        <w:rPr>
          <w:rStyle w:val="SectionNumber"/>
          <w:b/>
          <w:color w:val="FFFFFF"/>
          <w:sz w:val="32"/>
        </w:rPr>
        <w:t>18</w:t>
      </w:r>
      <w:r>
        <w:rPr>
          <w:b/>
          <w:color w:val="FFFFFF"/>
          <w:sz w:val="32"/>
        </w:rPr>
        <w:tab/>
        <w:t>andesite_pkg, and Build-Time vs Runtime</w:t>
      </w:r>
    </w:p>
    <w:p>
      <w:pPr>
        <w:pStyle w:val="Heading2"/>
        <w:pBdr>
          <w:bottom w:val="single" w:sz="12" w:space="0" w:color="228B22"/>
        </w:pBdr>
        <w:spacing w:before="280" w:after="80"/>
        <w:rPr/>
      </w:pPr>
      <w:bookmarkStart w:id="223" w:name="__RefHeading___Toc9211_811569930"/>
      <w:bookmarkStart w:id="224" w:name="the-package"/>
      <w:bookmarkEnd w:id="223"/>
      <w:r>
        <w:rPr>
          <w:rStyle w:val="SectionNumber"/>
          <w:b/>
          <w:color w:val="228B22"/>
          <w:sz w:val="28"/>
        </w:rPr>
        <w:t>18.1</w:t>
      </w:r>
      <w:r>
        <w:rPr>
          <w:b/>
          <w:color w:val="228B22"/>
          <w:sz w:val="28"/>
        </w:rPr>
        <w:tab/>
        <w:t>The package</w:t>
      </w:r>
    </w:p>
    <w:p>
      <w:pPr>
        <w:pStyle w:val="FirstParagraph"/>
        <w:rPr/>
      </w:pPr>
      <w:r>
        <w:rPr>
          <w:sz w:val="20"/>
        </w:rPr>
        <w:t xml:space="preserve">andesite carries its own </w:t>
      </w:r>
      <w:r>
        <w:rPr>
          <w:rStyle w:val="VerbatimChar"/>
          <w:sz w:val="20"/>
        </w:rPr>
        <w:t>andesite_pkg</w:t>
      </w:r>
      <w:r>
        <w:rPr>
          <w:sz w:val="20"/>
        </w:rPr>
        <w:t xml:space="preserve"> from day one. The shared-core design — the family memtype enum, the shared timing-struct inventory, the migration plan with its conditions — is owned by the family doc </w:t>
      </w:r>
      <w:hyperlink r:id="rId5">
        <w:r>
          <w:rPr>
            <w:rStyle w:val="Hyperlink"/>
          </w:rPr>
          <w:t>01_mem_ctrl_pkg.md</w:t>
        </w:r>
      </w:hyperlink>
      <w:r>
        <w:rPr>
          <w:sz w:val="20"/>
        </w:rPr>
        <w:t xml:space="preserve"> and is </w:t>
      </w:r>
      <w:r>
        <w:rPr>
          <w:b/>
          <w:bCs/>
          <w:sz w:val="20"/>
        </w:rPr>
        <w:t>referenced here, not restated</w:t>
      </w:r>
      <w:r>
        <w:rPr>
          <w:sz w:val="20"/>
        </w:rPr>
        <w:t>. What belongs to this chapter is only what andesite’s package owns.</w:t>
      </w:r>
    </w:p>
    <w:p>
      <w:pPr>
        <w:pStyle w:val="BodyText"/>
        <w:rPr/>
      </w:pPr>
      <w:r>
        <w:rPr>
          <w:b/>
          <w:bCs/>
          <w:sz w:val="20"/>
        </w:rPr>
        <w:t>The memtype enum note.</w:t>
      </w:r>
      <w:r>
        <w:rPr>
          <w:sz w:val="20"/>
        </w:rPr>
        <w:t xml:space="preserve"> andesite has no legacy CSR to disturb — the shipping-design constraint that kept pumice and scoria at one bit does not apply here. </w:t>
      </w:r>
      <w:r>
        <w:rPr>
          <w:rStyle w:val="VerbatimChar"/>
          <w:sz w:val="20"/>
        </w:rPr>
        <w:t>andesite_pkg</w:t>
      </w:r>
      <w:r>
        <w:rPr>
          <w:sz w:val="20"/>
        </w:rPr>
        <w:t xml:space="preserve"> therefore takes the family design as-is: one LP axis bit plus the two-bit generation field, values assigned in the family doc. The day-one note that matters for the register block: the memtype CSR field in </w:t>
      </w:r>
      <w:r>
        <w:rPr>
          <w:rStyle w:val="VerbatimChar"/>
          <w:sz w:val="20"/>
        </w:rPr>
        <w:t>andesite_csr.rdl</w:t>
      </w:r>
      <w:r>
        <w:rPr>
          <w:sz w:val="20"/>
        </w:rPr>
        <w:t xml:space="preserve"> is three bits from birth, and the </w:t>
      </w:r>
      <w:r>
        <w:rPr>
          <w:rStyle w:val="VerbatimChar"/>
          <w:sz w:val="20"/>
        </w:rPr>
        <w:t>PHY_TIMING</w:t>
      </w:r>
      <w:r>
        <w:rPr>
          <w:sz w:val="20"/>
        </w:rPr>
        <w:t xml:space="preserve"> shadow carries it without a width migration. When the family migration lands (both shipping controllers moving together, per the family doc’s conditions), </w:t>
      </w:r>
      <w:r>
        <w:rPr>
          <w:rStyle w:val="VerbatimChar"/>
          <w:sz w:val="20"/>
        </w:rPr>
        <w:t>andesite_pkg</w:t>
      </w:r>
      <w:r>
        <w:rPr>
          <w:sz w:val="20"/>
        </w:rPr>
        <w:t xml:space="preserve"> folds into </w:t>
      </w:r>
      <w:r>
        <w:rPr>
          <w:rStyle w:val="VerbatimChar"/>
          <w:sz w:val="20"/>
        </w:rPr>
        <w:t>mem_ctrl_pkg</w:t>
      </w:r>
      <w:r>
        <w:rPr>
          <w:sz w:val="20"/>
        </w:rPr>
        <w:t xml:space="preserve"> with only an import change.</w:t>
      </w:r>
    </w:p>
    <w:p>
      <w:pPr>
        <w:pStyle w:val="BodyText"/>
        <w:rPr/>
      </w:pPr>
      <w:r>
        <w:rPr>
          <w:b/>
          <w:bCs/>
          <w:sz w:val="20"/>
        </w:rPr>
        <w:t>The opcode set.</w:t>
      </w:r>
      <w:r>
        <w:rPr>
          <w:sz w:val="20"/>
        </w:rPr>
        <w:t xml:space="preserve"> scoria’s 4-bit internal </w:t>
      </w:r>
      <w:r>
        <w:rPr>
          <w:rStyle w:val="VerbatimChar"/>
          <w:sz w:val="20"/>
        </w:rPr>
        <w:t>OP_*</w:t>
      </w:r>
      <w:r>
        <w:rPr>
          <w:sz w:val="20"/>
        </w:rPr>
        <w:t xml:space="preserve"> encoding carries (</w:t>
      </w:r>
      <w:r>
        <w:rPr>
          <w:rStyle w:val="VerbatimChar"/>
          <w:sz w:val="20"/>
        </w:rPr>
        <w:t>scoria_pkg.sv:47-60</w:t>
      </w:r>
      <w:r>
        <w:rPr>
          <w:sz w:val="20"/>
        </w:rPr>
        <w:t xml:space="preserve"> — NOP through the refresh and ZQ ops), and this tier adds one member: </w:t>
      </w:r>
      <w:r>
        <w:rPr>
          <w:rStyle w:val="VerbatimChar"/>
          <w:sz w:val="20"/>
        </w:rPr>
        <w:t>OP_MPC</w:t>
      </w:r>
      <w:r>
        <w:rPr>
          <w:sz w:val="20"/>
        </w:rPr>
        <w:t>, the LPDDR4 multipurpose command whose opcode encoding on the 6-bit CA bus the formatter’s new submodule owns. Gear-down is a sequenced mode entry, not an opcode; the long/short timing pairs are values, not opcodes. Nothing else in the command set changes shape.</w:t>
      </w:r>
      <w:bookmarkEnd w:id="224"/>
    </w:p>
    <w:p>
      <w:pPr>
        <w:pStyle w:val="Heading2"/>
        <w:pBdr>
          <w:bottom w:val="single" w:sz="12" w:space="0" w:color="228B22"/>
        </w:pBdr>
        <w:spacing w:before="280" w:after="80"/>
        <w:rPr/>
      </w:pPr>
      <w:bookmarkStart w:id="225" w:name="__RefHeading___Toc9213_811569930"/>
      <w:bookmarkStart w:id="226" w:name="X02098df353a6a2d4dc4b0c16fb9b3ba311881da"/>
      <w:bookmarkEnd w:id="225"/>
      <w:r>
        <w:rPr>
          <w:rStyle w:val="SectionNumber"/>
          <w:b/>
          <w:color w:val="228B22"/>
          <w:sz w:val="28"/>
        </w:rPr>
        <w:t>18.2</w:t>
      </w:r>
      <w:r>
        <w:rPr>
          <w:b/>
          <w:color w:val="228B22"/>
          <w:sz w:val="28"/>
        </w:rPr>
        <w:tab/>
        <w:t>The rule: timings are runtime, geometry is build-time</w:t>
      </w:r>
    </w:p>
    <w:p>
      <w:pPr>
        <w:pStyle w:val="FirstParagraph"/>
        <w:rPr/>
      </w:pPr>
      <w:r>
        <w:rPr>
          <w:sz w:val="20"/>
        </w:rPr>
        <w:t>Inherited from the family doctrine and restated because it is the single most load-bearing convention here:</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This edition’s additions — the tCCD_L/S and tRRD_L/S pairs above all — follow the rule absolutely: they are the feature DDR4 adds, and they are runtime like everything else.</w:t>
      </w:r>
    </w:p>
    <w:p>
      <w:pPr>
        <w:pStyle w:val="BodyText"/>
        <w:rPr/>
      </w:pPr>
      <w:r>
        <w:rPr>
          <w:b/>
          <w:bCs/>
          <w:sz w:val="20"/>
        </w:rPr>
        <w:t>Build-time is reserved for what cannot be runtime:</w:t>
      </w:r>
      <w:r>
        <w:rPr>
          <w:sz w:val="20"/>
        </w:rPr>
        <w:t xml:space="preserve"> bus widths, the DFI gear ratio, CAM depths, bank and rank counts, and the geometry below. The test is whether changing it changes the amount of hardware.</w:t>
      </w:r>
    </w:p>
    <w:p>
      <w:pPr>
        <w:pStyle w:val="BodyText"/>
        <w:rPr/>
      </w:pPr>
      <w:r>
        <w:rPr>
          <w:sz w:val="20"/>
        </w:rPr>
        <w:t>The design point of Chapter 2.4 fixes the geometry, and these two rows are the book’s canonical statement of it — repeated here byte-identical so a reader of either chapter sees the same string:</w:t>
      </w:r>
    </w:p>
    <w:p>
      <w:pPr>
        <w:pStyle w:val="TableCaption"/>
        <w:rPr/>
      </w:pPr>
      <w:bookmarkStart w:id="227" w:name="_Tab_22_Table_5_0__The_desig"/>
      <w:r>
        <w:rPr/>
        <w:t>Table 5.0: The design-point geometry, byte-identical to Chapter 2.4</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bl>
    <w:p>
      <w:pPr>
        <w:pStyle w:val="Normal"/>
        <w:rPr/>
      </w:pPr>
      <w:r>
        <w:rPr/>
      </w:r>
    </w:p>
    <w:p>
      <w:pPr>
        <w:pStyle w:val="TableCaption"/>
        <w:rPr/>
      </w:pPr>
      <w:bookmarkStart w:id="228" w:name="_Tab_23_Table_5_1__Build_tim"/>
      <w:r>
        <w:rPr/>
        <w:t>Table 5.1: Build-time versus runtime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the Table 5.0 geometry, </w:t>
            </w:r>
            <w:r>
              <w:rPr>
                <w:rStyle w:val="VerbatimChar"/>
                <w:rFonts w:eastAsia="Cambria" w:cs=""/>
                <w:kern w:val="0"/>
                <w:szCs w:val="24"/>
                <w:lang w:val="en-US" w:eastAsia="en-US" w:bidi="ar-SA"/>
              </w:rPr>
              <w:t>NUM_RANKS = 1</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1:4 frequency ratio,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family </w:t>
            </w:r>
            <w:r>
              <w:rPr>
                <w:rStyle w:val="VerbatimChar"/>
                <w:rFonts w:eastAsia="Cambria" w:cs=""/>
                <w:kern w:val="0"/>
                <w:szCs w:val="24"/>
                <w:lang w:val="en-US" w:eastAsia="en-US" w:bidi="ar-SA"/>
              </w:rPr>
              <w:t>memtype_e</w:t>
            </w:r>
            <w:r>
              <w:rPr>
                <w:rFonts w:eastAsia="Cambria" w:cs=""/>
                <w:kern w:val="0"/>
                <w:sz w:val="24"/>
                <w:szCs w:val="24"/>
                <w:lang w:val="en-US" w:eastAsia="en-US" w:bidi="ar-SA"/>
              </w:rPr>
              <w:t>, three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tRRD_L/S, the FGR-scaled tRFC family,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command and training intervals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 refresh policy (FGR factor, per-bank policy), ZQCS placement (inherited), ODT policy, DBI enables, gear-down select, CA-parity scope, and the carried-forward TASK-001 mode selects</w:t>
            </w:r>
          </w:p>
        </w:tc>
      </w:tr>
    </w:tbl>
    <w:p>
      <w:pPr>
        <w:pStyle w:val="BodyText"/>
        <w:rPr/>
      </w:pPr>
      <w:r>
        <w:rPr>
          <w:b/>
          <w:bCs/>
          <w:sz w:val="20"/>
        </w:rPr>
        <w:t>Important — the frequency ratio must equal the PHY’s phase count, set identically on both sides.</w:t>
      </w:r>
      <w:r>
        <w:rPr>
          <w:sz w:val="20"/>
        </w:rPr>
        <w:t xml:space="preserve"> Inherited from scoria, not negotiable: a mismatch is a functional break that presents as data corruption, not as an error.</w:t>
      </w:r>
      <w:bookmarkEnd w:id="226"/>
    </w:p>
    <w:p>
      <w:pPr>
        <w:pStyle w:val="Heading2"/>
        <w:pBdr>
          <w:bottom w:val="single" w:sz="12" w:space="0" w:color="228B22"/>
        </w:pBdr>
        <w:spacing w:before="280" w:after="80"/>
        <w:rPr/>
      </w:pPr>
      <w:bookmarkStart w:id="229" w:name="__RefHeading___Toc9215_811569930"/>
      <w:bookmarkStart w:id="230" w:name="new-csr-groups"/>
      <w:bookmarkEnd w:id="229"/>
      <w:r>
        <w:rPr>
          <w:rStyle w:val="SectionNumber"/>
          <w:b/>
          <w:color w:val="228B22"/>
          <w:sz w:val="28"/>
        </w:rPr>
        <w:t>18.3</w:t>
      </w:r>
      <w:r>
        <w:rPr>
          <w:b/>
          <w:color w:val="228B22"/>
          <w:sz w:val="28"/>
        </w:rPr>
        <w:tab/>
        <w:t>New CSR groups</w:t>
      </w:r>
    </w:p>
    <w:p>
      <w:pPr>
        <w:pStyle w:val="FirstParagraph"/>
        <w:rPr/>
      </w:pPr>
      <w:r>
        <w:rPr>
          <w:sz w:val="20"/>
        </w:rPr>
        <w:t>The register set grows past scoria’s. Exact offsets are not fixed in this edition — they come from the RDL, authored with the RTL, and registers are named, not offset-numbered, everywhere in the books (Ch 4.2). The content is specified:</w:t>
      </w:r>
    </w:p>
    <w:p>
      <w:pPr>
        <w:pStyle w:val="TableCaption"/>
        <w:rPr/>
      </w:pPr>
      <w:bookmarkStart w:id="231" w:name="_Tab_24_Table_5_2__New_CSR_g"/>
      <w:r>
        <w:rPr/>
        <w:t>Table 5.2: New CSR groups</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family,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named per JESD79-4 / JESD209-4, values recorded as open question Q1 until read from cold storage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FGR select (MR3 image), the per-bank refresh policy, and the inherited </w:t>
            </w: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elastic/TCR fields with their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 / RTT_WR / RTT_PARK programmed values, the ODT latency family, the policy select, and ODT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inherited write-leveling windows, the read-leveling (MPR) windows, the LPDDR4 CA/WDQ windows, per-chip-select results, and the four-state telemetry of Ch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DBI enables (MR5 image), CA-parity enable and scope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configuration, MPC calibration interval, CA-training control</w:t>
            </w:r>
          </w:p>
        </w:tc>
      </w:tr>
    </w:tbl>
    <w:p>
      <w:pPr>
        <w:pStyle w:val="BodyText"/>
        <w:rPr/>
      </w:pPr>
      <w:r>
        <w:rPr>
          <w:b/>
          <w:bCs/>
          <w:sz w:val="20"/>
        </w:rPr>
        <w:t>Notes that carry.</w:t>
      </w:r>
      <w:r>
        <w:rPr>
          <w:sz w:val="20"/>
        </w:rPr>
        <w:t xml:space="preserve"> </w:t>
      </w:r>
      <w:r>
        <w:rPr>
          <w:rStyle w:val="VerbatimChar"/>
          <w:sz w:val="20"/>
        </w:rPr>
        <w:t>tWLMRD</w:t>
      </w:r>
      <w:r>
        <w:rPr>
          <w:sz w:val="20"/>
        </w:rPr>
        <w:t xml:space="preserve">’s open maximum stays a controller-defined CSR timeout with a distinct status bit — the family rule, quoted in Ch 3.3. The gear-down select programs a mode the datapath never sees; it exists so one bitstream can run both CA rates. And the FGR select’s CSR exists so the retention re-derivation Ch 3.4 requires can be </w:t>
      </w:r>
      <w:r>
        <w:rPr>
          <w:i/>
          <w:iCs/>
          <w:sz w:val="20"/>
        </w:rPr>
        <w:t>swept</w:t>
      </w:r>
      <w:r>
        <w:rPr>
          <w:sz w:val="20"/>
        </w:rPr>
        <w:t>, not just asserted.</w:t>
      </w:r>
      <w:bookmarkEnd w:id="230"/>
    </w:p>
    <w:p>
      <w:pPr>
        <w:pStyle w:val="Heading2"/>
        <w:pBdr>
          <w:bottom w:val="single" w:sz="12" w:space="0" w:color="228B22"/>
        </w:pBdr>
        <w:spacing w:before="280" w:after="80"/>
        <w:rPr/>
      </w:pPr>
      <w:bookmarkStart w:id="232" w:name="__RefHeading___Toc9217_811569930"/>
      <w:bookmarkStart w:id="233" w:name="the-duplication-recorded-again"/>
      <w:bookmarkEnd w:id="232"/>
      <w:r>
        <w:rPr>
          <w:rStyle w:val="SectionNumber"/>
          <w:b/>
          <w:color w:val="228B22"/>
          <w:sz w:val="28"/>
        </w:rPr>
        <w:t>18.4</w:t>
      </w:r>
      <w:r>
        <w:rPr>
          <w:b/>
          <w:color w:val="228B22"/>
          <w:sz w:val="28"/>
        </w:rPr>
        <w:tab/>
        <w:t>The duplication, recorded again</w:t>
      </w:r>
    </w:p>
    <w:p>
      <w:pPr>
        <w:pStyle w:val="FirstParagraph"/>
        <w:rPr/>
      </w:pP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will carry near-identical type definitions for a period. That is deliberate and time-boxed, owned by the family doc’s migration plan, and recorded here — as it was recorded in scoria’s Chapter 5 — so a later reader does not “fix” it by widening a shipping CSR. That widening is precisely the thing the arrangement exists to prevent.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andesite_pkg-and-build-time-vs-runtime"/>
      <w:bookmarkStart w:id="235" w:name="the-duplication-recorded-agai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9219_811569930"/>
      <w:bookmarkStart w:id="237" w:name="Xed9b771463e37213e7e07b65387c20d691537e0"/>
      <w:bookmarkEnd w:id="236"/>
      <w:r>
        <w:rPr>
          <w:rStyle w:val="SectionNumber"/>
          <w:b/>
          <w:color w:val="FFFFFF"/>
          <w:sz w:val="32"/>
        </w:rPr>
        <w:t>19</w:t>
      </w:r>
      <w:r>
        <w:rPr>
          <w:b/>
          <w:color w:val="FFFFFF"/>
          <w:sz w:val="32"/>
        </w:rPr>
        <w:tab/>
        <w:t>Verification Strategy, and the Open Questions</w:t>
      </w:r>
    </w:p>
    <w:p>
      <w:pPr>
        <w:pStyle w:val="Heading2"/>
        <w:pBdr>
          <w:bottom w:val="single" w:sz="12" w:space="0" w:color="228B22"/>
        </w:pBdr>
        <w:spacing w:before="280" w:after="80"/>
        <w:rPr/>
      </w:pPr>
      <w:bookmarkStart w:id="238" w:name="__RefHeading___Toc9221_811569930"/>
      <w:bookmarkStart w:id="239" w:name="X8230901a93c2806f763cb13393c6d13545af4b4"/>
      <w:bookmarkEnd w:id="238"/>
      <w:r>
        <w:rPr>
          <w:rStyle w:val="SectionNumber"/>
          <w:b/>
          <w:color w:val="228B22"/>
          <w:sz w:val="28"/>
        </w:rPr>
        <w:t>19.1</w:t>
      </w:r>
      <w:r>
        <w:rPr>
          <w:b/>
          <w:color w:val="228B22"/>
          <w:sz w:val="28"/>
        </w:rPr>
        <w:tab/>
        <w:t>The target is the DFI boundary, in simulation only</w:t>
      </w:r>
    </w:p>
    <w:p>
      <w:pPr>
        <w:pStyle w:val="FirstParagraph"/>
        <w:rPr/>
      </w:pPr>
      <w:r>
        <w:rPr>
          <w:sz w:val="20"/>
        </w:rPr>
        <w:t>Verification is against a DFI v4.0 bus functional model, in simulation. No board is named for this controller — the 7-series targets this repo’s boards carry do not support DDR4 — and that is a deliberate strengthening of the rule, not a weakening: with no board even conceivable, nothing can be left for bring-up to find.</w:t>
      </w:r>
    </w:p>
    <w:p>
      <w:pPr>
        <w:pStyle w:val="BodyText"/>
        <w:rPr/>
      </w:pPr>
      <w:r>
        <w:rPr>
          <w:b/>
          <w:bCs/>
          <w:sz w:val="20"/>
        </w:rPr>
        <w:t>The in-house BFM is DFI 4.0-partial, not absent.</w:t>
      </w:r>
      <w:r>
        <w:rPr>
          <w:sz w:val="20"/>
        </w:rPr>
        <w:t xml:space="preserve"> The DV repository’s CocoTBFramework DFI component exists at </w:t>
      </w:r>
      <w:r>
        <w:rPr>
          <w:rStyle w:val="VerbatimChar"/>
          <w:sz w:val="20"/>
        </w:rPr>
        <w:t>/mnt/data/github/RTLDesignSherpa-DV/src/CocoTBFramework/components/dfi/</w:t>
      </w:r>
      <w:r>
        <w:rPr>
          <w:sz w:val="20"/>
        </w:rPr>
        <w:t xml:space="preserve"> and already carries a CA-parity behavior, the v4.0 behavior class (</w:t>
      </w:r>
      <w:r>
        <w:rPr>
          <w:rStyle w:val="VerbatimChar"/>
          <w:sz w:val="20"/>
        </w:rPr>
        <w:t>behaviors/v4_0.py</w:t>
      </w:r>
      <w:r>
        <w:rPr>
          <w:sz w:val="20"/>
        </w:rPr>
        <w:t>), and a complete v4.0 signal catalog (</w:t>
      </w:r>
      <w:r>
        <w:rPr>
          <w:rStyle w:val="VerbatimChar"/>
          <w:sz w:val="20"/>
        </w:rPr>
        <w:t>dfi_signal_catalog.py</w:t>
      </w:r>
      <w:r>
        <w:rPr>
          <w:sz w:val="20"/>
        </w:rPr>
        <w:t xml:space="preserve">). What it lacks for the andesite design point is enumerated below. Acquisition is therefore not the problem — gap analysis and extension are, and that is andesite TASK-005 (amended 2026-10-04, when the DFI v4.0 spec PDF also surfaced in the operator’s research storage at </w:t>
      </w:r>
      <w:r>
        <w:rPr>
          <w:rStyle w:val="VerbatimChar"/>
          <w:sz w:val="20"/>
        </w:rPr>
        <w:t>/mnt/data/github/dfi-specs/</w:t>
      </w:r>
      <w:r>
        <w:rPr>
          <w:sz w:val="20"/>
        </w:rPr>
        <w:t xml:space="preserve">). The DFI 4.0 clause citations in this book and the MAS were confirmed or corrected on 2026-10-04; any remaining </w:t>
      </w:r>
      <w:r>
        <w:rPr>
          <w:rStyle w:val="VerbatimChar"/>
          <w:sz w:val="20"/>
        </w:rPr>
        <w:t>§TBC(TASK-005)</w:t>
      </w:r>
      <w:r>
        <w:rPr>
          <w:sz w:val="20"/>
        </w:rPr>
        <w:t xml:space="preserve"> marks a claim the study could not confirm. The BFM is configured to the design-point geometry of Chapter 2.4 — the bank-group geometry on the DDR4 side, eight ungrouped banks per channel on the LPDDR4 side, x8 / x16 widths, four DFI phases — because verifying at the geometry the design point uses is free, and verifying at a different one silently weakens every result.</w:t>
      </w:r>
    </w:p>
    <w:p>
      <w:pPr>
        <w:pStyle w:val="BodyText"/>
        <w:rPr/>
      </w:pPr>
      <w:r>
        <w:rPr>
          <w:sz w:val="20"/>
        </w:rPr>
        <w:t xml:space="preserve">The verification target is therefore three counterparties, not one. The in-house DFI 4.0 BFM is the primary checker: it owns the protocol and the pin-level contract. DRAMsim3, cited in both the DDR4 and LPDDR4 research indexes (Li et al. 2020), is the cycle-accurate second reference for the command stream — it cross-checks that the sequence the controller issues is legal and produces the same DRAM state. For LPDDR4, the missing </w:t>
      </w:r>
      <w:r>
        <w:rPr>
          <w:rStyle w:val="VerbatimChar"/>
          <w:sz w:val="20"/>
        </w:rPr>
        <w:t>lpddr4_ca_map.py</w:t>
      </w:r>
      <w:r>
        <w:rPr>
          <w:sz w:val="20"/>
        </w:rPr>
        <w:t xml:space="preserve"> encoder (BFM gap G1) is closed by andesite TASK-010, and the BFM round-trip encode/decode tests for the CA encoder become the third counterparty — they prove the MAS CA tables and the RTL encoder agree before DRAMsim3 ever sees the stream.</w:t>
      </w:r>
    </w:p>
    <w:p>
      <w:pPr>
        <w:pStyle w:val="BodyText"/>
        <w:rPr/>
      </w:pPr>
      <w:r>
        <w:rPr>
          <w:b/>
          <w:bCs/>
          <w:sz w:val="20"/>
        </w:rPr>
        <w:t>BFM gap list vs HAS Table 4.1 / andesite design point.</w:t>
      </w:r>
      <w:r>
        <w:rPr>
          <w:sz w:val="20"/>
        </w:rPr>
        <w:t xml:space="preserve"> </w:t>
      </w:r>
      <w:r>
        <w:rPr>
          <w:b/>
          <w:bCs/>
          <w:sz w:val="20"/>
        </w:rPr>
        <w:t xml:space="preserve">CLOSED 2026-10-04 by RTLDesignSherpa-DV commit </w:t>
      </w:r>
      <w:r>
        <w:rPr>
          <w:rStyle w:val="VerbatimChar"/>
          <w:b/>
          <w:bCs/>
          <w:sz w:val="20"/>
        </w:rPr>
        <w:t>61a27d8fee3b</w:t>
      </w:r>
      <w:r>
        <w:rPr>
          <w:b/>
          <w:bCs/>
          <w:sz w:val="20"/>
        </w:rPr>
        <w:t xml:space="preserve"> (</w:t>
      </w:r>
      <w:r>
        <w:rPr>
          <w:rStyle w:val="VerbatimChar"/>
          <w:b/>
          <w:bCs/>
          <w:sz w:val="20"/>
        </w:rPr>
        <w:t>dfi(bfm): close DFI 4.0 BFM gaps TASK-010</w:t>
      </w:r>
      <w:r>
        <w:rPr>
          <w:b/>
          <w:bCs/>
          <w:sz w:val="20"/>
        </w:rPr>
        <w:t>; +30 tests, 1538 unit passing). Known omissions recorded there: no LPDDR4-1600 CSV (JESD209-4E publishes no fixed speed-bin table — timings are density/vendor-dependent), DES/PDE idle entries omitted from the CA map, ACT modeled as one 4-edge command.</w:t>
      </w:r>
      <w:r>
        <w:rPr>
          <w:sz w:val="20"/>
        </w:rPr>
        <w:t xml:space="preserve"> Gaps were against the files read for this study: </w:t>
      </w:r>
      <w:r>
        <w:rPr>
          <w:rStyle w:val="VerbatimChar"/>
          <w:sz w:val="20"/>
        </w:rPr>
        <w:t>behaviors/base.py</w:t>
      </w:r>
      <w:r>
        <w:rPr>
          <w:sz w:val="20"/>
        </w:rPr>
        <w:t xml:space="preserve">, </w:t>
      </w:r>
      <w:r>
        <w:rPr>
          <w:rStyle w:val="VerbatimChar"/>
          <w:sz w:val="20"/>
        </w:rPr>
        <w:t>v3_1.py</w:t>
      </w:r>
      <w:r>
        <w:rPr>
          <w:sz w:val="20"/>
        </w:rPr>
        <w:t xml:space="preserve">, </w:t>
      </w:r>
      <w:r>
        <w:rPr>
          <w:rStyle w:val="VerbatimChar"/>
          <w:sz w:val="20"/>
        </w:rPr>
        <w:t>v4_0.py</w:t>
      </w:r>
      <w:r>
        <w:rPr>
          <w:sz w:val="20"/>
        </w:rPr>
        <w:t xml:space="preserve">, </w:t>
      </w:r>
      <w:r>
        <w:rPr>
          <w:rStyle w:val="VerbatimChar"/>
          <w:sz w:val="20"/>
        </w:rPr>
        <w:t>v5_2.py</w:t>
      </w:r>
      <w:r>
        <w:rPr>
          <w:sz w:val="20"/>
        </w:rPr>
        <w:t xml:space="preserve">, </w:t>
      </w:r>
      <w:r>
        <w:rPr>
          <w:rStyle w:val="VerbatimChar"/>
          <w:sz w:val="20"/>
        </w:rPr>
        <w:t>v6_0.py</w:t>
      </w:r>
      <w:r>
        <w:rPr>
          <w:sz w:val="20"/>
        </w:rPr>
        <w:t xml:space="preserve">, </w:t>
      </w:r>
      <w:r>
        <w:rPr>
          <w:rStyle w:val="VerbatimChar"/>
          <w:sz w:val="20"/>
        </w:rPr>
        <w:t>registry.py</w:t>
      </w:r>
      <w:r>
        <w:rPr>
          <w:sz w:val="20"/>
        </w:rPr>
        <w:t xml:space="preserve">; </w:t>
      </w:r>
      <w:r>
        <w:rPr>
          <w:rStyle w:val="VerbatimChar"/>
          <w:sz w:val="20"/>
        </w:rPr>
        <w:t>ca_map.py</w:t>
      </w:r>
      <w:r>
        <w:rPr>
          <w:sz w:val="20"/>
        </w:rPr>
        <w:t xml:space="preserve">, </w:t>
      </w:r>
      <w:r>
        <w:rPr>
          <w:rStyle w:val="VerbatimChar"/>
          <w:sz w:val="20"/>
        </w:rPr>
        <w:t>ca_transport.py</w:t>
      </w:r>
      <w:r>
        <w:rPr>
          <w:sz w:val="20"/>
        </w:rPr>
        <w:t xml:space="preserve">, </w:t>
      </w:r>
      <w:r>
        <w:rPr>
          <w:rStyle w:val="VerbatimChar"/>
          <w:sz w:val="20"/>
        </w:rPr>
        <w:t>ddr5_ca_map.py</w:t>
      </w:r>
      <w:r>
        <w:rPr>
          <w:sz w:val="20"/>
        </w:rPr>
        <w:t xml:space="preserve">, </w:t>
      </w:r>
      <w:r>
        <w:rPr>
          <w:rStyle w:val="VerbatimChar"/>
          <w:sz w:val="20"/>
        </w:rPr>
        <w:t>dfi_signal_types.py</w:t>
      </w:r>
      <w:r>
        <w:rPr>
          <w:sz w:val="20"/>
        </w:rPr>
        <w:t xml:space="preserve">; </w:t>
      </w:r>
      <w:r>
        <w:rPr>
          <w:rStyle w:val="VerbatimChar"/>
          <w:sz w:val="20"/>
        </w:rPr>
        <w:t>jedec/README.md</w:t>
      </w:r>
      <w:r>
        <w:rPr>
          <w:sz w:val="20"/>
        </w:rPr>
        <w:t xml:space="preserve"> and the CSV list in </w:t>
      </w:r>
      <w:r>
        <w:rPr>
          <w:rStyle w:val="VerbatimChar"/>
          <w:sz w:val="20"/>
        </w:rPr>
        <w:t>jedec/</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Evidence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 on first andesite sims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6-bit CA command map.</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exists; </w:t>
            </w: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ships only HBM4 and DDR5 maps. The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encoder is LPDDR2-only, not LPDDR2/3 as the task amendment assumed.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contains </w:t>
            </w:r>
            <w:r>
              <w:rPr>
                <w:rStyle w:val="VerbatimChar"/>
                <w:rFonts w:eastAsia="Cambria" w:cs=""/>
                <w:kern w:val="0"/>
                <w:szCs w:val="24"/>
                <w:lang w:val="en-US" w:eastAsia="en-US" w:bidi="ar-SA"/>
              </w:rPr>
              <w:t>HBM4_ROW_CA_MAP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HBM4_COL_CA_MAP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docstring and body encode only JESD209-2F Table 60 (LPDDR2). No </w:t>
            </w:r>
            <w:r>
              <w:rPr>
                <w:rStyle w:val="VerbatimChar"/>
                <w:rFonts w:eastAsia="Cambria" w:cs=""/>
                <w:kern w:val="0"/>
                <w:szCs w:val="24"/>
                <w:lang w:val="en-US" w:eastAsia="en-US" w:bidi="ar-SA"/>
              </w:rPr>
              <w:t>lpddr3_ca.py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present.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Blocks item 6 (LPDDR4 CA bus checker) until added. The kmap-generated tables in </w:t>
            </w:r>
            <w:r>
              <w:rPr>
                <w:rStyle w:val="VerbatimChar"/>
                <w:rFonts w:eastAsia="Cambria" w:cs=""/>
                <w:kern w:val="0"/>
                <w:szCs w:val="24"/>
                <w:lang w:val="en-US" w:eastAsia="en-US" w:bidi="ar-SA"/>
              </w:rPr>
              <w:t>docs/kmaps/generated/</w:t>
            </w:r>
            <w:r>
              <w:rPr>
                <w:rFonts w:eastAsia="Cambria" w:cs=""/>
                <w:kern w:val="0"/>
                <w:sz w:val="24"/>
                <w:szCs w:val="24"/>
                <w:lang w:val="en-US" w:eastAsia="en-US" w:bidi="ar-SA"/>
              </w:rPr>
              <w:t xml:space="preserve"> are the source of truth for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Design-point JEDEC timing CSVs missing.</w:t>
            </w:r>
            <w:r>
              <w:rPr>
                <w:rFonts w:eastAsia="Cambria" w:cs=""/>
                <w:kern w:val="0"/>
                <w:sz w:val="24"/>
                <w:szCs w:val="24"/>
                <w:lang w:val="en-US" w:eastAsia="en-US" w:bidi="ar-SA"/>
              </w:rPr>
              <w:t xml:space="preserve"> The andesite design point is DDR4-1600 / LPDDR4-1600. Vendored CSVs exist for </w:t>
            </w:r>
            <w:r>
              <w:rPr>
                <w:rStyle w:val="VerbatimChar"/>
                <w:rFonts w:eastAsia="Cambria" w:cs=""/>
                <w:kern w:val="0"/>
                <w:szCs w:val="24"/>
                <w:lang w:val="en-US" w:eastAsia="en-US" w:bidi="ar-SA"/>
              </w:rPr>
              <w:t>ddr4-2400.csv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ddr4-2666.csv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ddr4-3200.csv</w:t>
            </w:r>
            <w:r>
              <w:rPr>
                <w:rFonts w:eastAsia="Cambria" w:cs=""/>
                <w:kern w:val="0"/>
                <w:sz w:val="24"/>
                <w:szCs w:val="24"/>
                <w:lang w:val="en-US" w:eastAsia="en-US" w:bidi="ar-SA"/>
              </w:rPr>
              <w:t xml:space="preserve">, but no </w:t>
            </w:r>
            <w:r>
              <w:rPr>
                <w:rStyle w:val="VerbatimChar"/>
                <w:rFonts w:eastAsia="Cambria" w:cs=""/>
                <w:kern w:val="0"/>
                <w:szCs w:val="24"/>
                <w:lang w:val="en-US" w:eastAsia="en-US" w:bidi="ar-SA"/>
              </w:rPr>
              <w:t>ddr4-1600.csv</w:t>
            </w:r>
            <w:r>
              <w:rPr>
                <w:rFonts w:eastAsia="Cambria" w:cs=""/>
                <w:kern w:val="0"/>
                <w:sz w:val="24"/>
                <w:szCs w:val="24"/>
                <w:lang w:val="en-US" w:eastAsia="en-US" w:bidi="ar-SA"/>
              </w:rPr>
              <w:t>; no LPDDR4 CSV of any speed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jedec/</w:t>
            </w:r>
            <w:r>
              <w:rPr>
                <w:rFonts w:eastAsia="Cambria" w:cs=""/>
                <w:kern w:val="0"/>
                <w:sz w:val="24"/>
                <w:szCs w:val="24"/>
                <w:lang w:val="en-US" w:eastAsia="en-US" w:bidi="ar-SA"/>
              </w:rPr>
              <w:t xml:space="preserve"> file listing; README §“Devices with no vendored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DRAM-state timing checker cannot run at the design point without new CSVs or a </w:t>
            </w:r>
            <w:r>
              <w:rPr>
                <w:rStyle w:val="VerbatimChar"/>
                <w:rFonts w:eastAsia="Cambria" w:cs=""/>
                <w:kern w:val="0"/>
                <w:szCs w:val="24"/>
                <w:lang w:val="en-US" w:eastAsia="en-US" w:bidi="ar-SA"/>
              </w:rPr>
              <w:t>timings_from_params</w:t>
            </w:r>
            <w:r>
              <w:rPr>
                <w:rFonts w:eastAsia="Cambria" w:cs=""/>
                <w:kern w:val="0"/>
                <w:sz w:val="24"/>
                <w:szCs w:val="24"/>
                <w:lang w:val="en-US" w:eastAsia="en-US" w:bidi="ar-SA"/>
              </w:rPr>
              <w:t xml:space="preserve"> call.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Gear-down mode behavior.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is in the signal catalog, but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has no method to sample or validate the geardown entry/exit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w:t>
            </w:r>
            <w:r>
              <w:rPr>
                <w:rStyle w:val="VerbatimChar"/>
                <w:rFonts w:eastAsia="Cambria" w:cs=""/>
                <w:kern w:val="0"/>
                <w:szCs w:val="24"/>
                <w:lang w:val="en-US" w:eastAsia="en-US" w:bidi="ar-SA"/>
              </w:rPr>
              <w:t>geardown_en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has no geardown method.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2 (gear-down mode switch) can be signal-level checked, but protocol-aware BFM validation of entry/exit is missing.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CA VREF training specifics.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DFIv4_0Behavior.training_step()</w:t>
            </w:r>
            <w:r>
              <w:rPr>
                <w:rFonts w:eastAsia="Cambria" w:cs=""/>
                <w:kern w:val="0"/>
                <w:sz w:val="24"/>
                <w:szCs w:val="24"/>
                <w:lang w:val="en-US" w:eastAsia="en-US" w:bidi="ar-SA"/>
              </w:rPr>
              <w:t xml:space="preserve"> detects CA training via </w:t>
            </w:r>
            <w:r>
              <w:rPr>
                <w:rStyle w:val="VerbatimChar"/>
                <w:rFonts w:eastAsia="Cambria" w:cs=""/>
                <w:kern w:val="0"/>
                <w:szCs w:val="24"/>
                <w:lang w:val="en-US" w:eastAsia="en-US" w:bidi="ar-SA"/>
              </w:rPr>
              <w:t>calvl_en</w:t>
            </w:r>
            <w:r>
              <w:rPr>
                <w:rFonts w:eastAsia="Cambria" w:cs=""/>
                <w:kern w:val="0"/>
                <w:sz w:val="24"/>
                <w:szCs w:val="24"/>
                <w:lang w:val="en-US" w:eastAsia="en-US" w:bidi="ar-SA"/>
              </w:rPr>
              <w:t>/</w:t>
            </w:r>
            <w:r>
              <w:rPr>
                <w:rStyle w:val="VerbatimChar"/>
                <w:rFonts w:eastAsia="Cambria" w:cs=""/>
                <w:kern w:val="0"/>
                <w:szCs w:val="24"/>
                <w:lang w:val="en-US" w:eastAsia="en-US" w:bidi="ar-SA"/>
              </w:rPr>
              <w:t>calvl_req</w:t>
            </w:r>
            <w:r>
              <w:rPr>
                <w:rFonts w:eastAsia="Cambria" w:cs=""/>
                <w:kern w:val="0"/>
                <w:sz w:val="24"/>
                <w:szCs w:val="24"/>
                <w:lang w:val="en-US" w:eastAsia="en-US" w:bidi="ar-SA"/>
              </w:rPr>
              <w:t xml:space="preserve"> inherited from v3.1, but does not model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 xml:space="preserve"> or the VREF-sweep sequence.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training_step; </w:t>
            </w: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the LPDDR4 VREF signals.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CA/WDQ training (item 7) can be handshake-checked, but VREF-sweep BFM feedback is not available.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Per-slice read leveling.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reports </w:t>
            </w:r>
            <w:r>
              <w:rPr>
                <w:rStyle w:val="VerbatimChar"/>
                <w:rFonts w:eastAsia="Cambria" w:cs=""/>
                <w:kern w:val="0"/>
                <w:szCs w:val="24"/>
                <w:lang w:val="en-US" w:eastAsia="en-US" w:bidi="ar-SA"/>
              </w:rPr>
              <w:t>slice_idx=0</w:t>
            </w:r>
            <w:r>
              <w:rPr>
                <w:rFonts w:eastAsia="Cambria" w:cs=""/>
                <w:kern w:val="0"/>
                <w:sz w:val="24"/>
                <w:szCs w:val="24"/>
                <w:lang w:val="en-US" w:eastAsia="en-US" w:bidi="ar-SA"/>
              </w:rPr>
              <w:t xml:space="preserve"> for all training events; v4.0 makes </w:t>
            </w:r>
            <w:r>
              <w:rPr>
                <w:rStyle w:val="VerbatimChar"/>
                <w:rFonts w:eastAsia="Cambria" w:cs=""/>
                <w:kern w:val="0"/>
                <w:szCs w:val="24"/>
                <w:lang w:val="en-US" w:eastAsia="en-US" w:bidi="ar-SA"/>
              </w:rPr>
              <w:t>rdlvl_req</w:t>
            </w:r>
            <w:r>
              <w:rPr>
                <w:rFonts w:eastAsia="Cambria" w:cs=""/>
                <w:kern w:val="0"/>
                <w:sz w:val="24"/>
                <w:szCs w:val="24"/>
                <w:lang w:val="en-US" w:eastAsia="en-US" w:bidi="ar-SA"/>
              </w:rPr>
              <w:t>/</w:t>
            </w:r>
            <w:r>
              <w:rPr>
                <w:rStyle w:val="VerbatimChar"/>
                <w:rFonts w:eastAsia="Cambria" w:cs=""/>
                <w:kern w:val="0"/>
                <w:szCs w:val="24"/>
                <w:lang w:val="en-US" w:eastAsia="en-US" w:bidi="ar-SA"/>
              </w:rPr>
              <w:t>en</w:t>
            </w:r>
            <w:r>
              <w:rPr>
                <w:rFonts w:eastAsia="Cambria" w:cs=""/>
                <w:kern w:val="0"/>
                <w:sz w:val="24"/>
                <w:szCs w:val="24"/>
                <w:lang w:val="en-US" w:eastAsia="en-US" w:bidi="ar-SA"/>
              </w:rPr>
              <w:t xml:space="preserve"> per-slice.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behaviors/base.py</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v4_0.py</w:t>
            </w:r>
            <w:r>
              <w:rPr>
                <w:rFonts w:eastAsia="Cambria" w:cs=""/>
                <w:kern w:val="0"/>
                <w:sz w:val="24"/>
                <w:szCs w:val="24"/>
                <w:lang w:val="en-US" w:eastAsia="en-US" w:bidi="ar-SA"/>
              </w:rPr>
              <w:t xml:space="preserve"> return </w:t>
            </w:r>
            <w:r>
              <w:rPr>
                <w:rStyle w:val="VerbatimChar"/>
                <w:rFonts w:eastAsia="Cambria" w:cs=""/>
                <w:kern w:val="0"/>
                <w:szCs w:val="24"/>
                <w:lang w:val="en-US" w:eastAsia="en-US" w:bidi="ar-SA"/>
              </w:rPr>
              <w:t>TrainingEvent(slice_idx=0)</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7 training protocol checks are not slice-aware.</w:t>
            </w:r>
          </w:p>
        </w:tc>
      </w:tr>
    </w:tbl>
    <w:p>
      <w:pPr>
        <w:pStyle w:val="BodyText"/>
        <w:rPr/>
      </w:pPr>
      <w:r>
        <w:rPr>
          <w:b/>
          <w:bCs/>
          <w:sz w:val="20"/>
        </w:rPr>
        <w:t>Integration note.</w:t>
      </w:r>
      <w:r>
        <w:rPr>
          <w:sz w:val="20"/>
        </w:rPr>
        <w:t xml:space="preserve"> The BFM path is </w:t>
      </w:r>
      <w:r>
        <w:rPr>
          <w:rStyle w:val="VerbatimChar"/>
          <w:sz w:val="20"/>
        </w:rPr>
        <w:t>/mnt/data/github/RTLDesignSherpa-DV/src/CocoTBFramework/components/dfi/</w:t>
      </w:r>
      <w:r>
        <w:rPr>
          <w:sz w:val="20"/>
        </w:rPr>
        <w:t xml:space="preserve">. Version files read: </w:t>
      </w:r>
      <w:r>
        <w:rPr>
          <w:rStyle w:val="VerbatimChar"/>
          <w:sz w:val="20"/>
        </w:rPr>
        <w:t>behaviors/base.py</w:t>
      </w:r>
      <w:r>
        <w:rPr>
          <w:sz w:val="20"/>
        </w:rPr>
        <w:t xml:space="preserve"> (v2.1 baseline), </w:t>
      </w:r>
      <w:r>
        <w:rPr>
          <w:rStyle w:val="VerbatimChar"/>
          <w:sz w:val="20"/>
        </w:rPr>
        <w:t>behaviors/v3_1.py</w:t>
      </w:r>
      <w:r>
        <w:rPr>
          <w:sz w:val="20"/>
        </w:rPr>
        <w:t xml:space="preserve">, </w:t>
      </w:r>
      <w:r>
        <w:rPr>
          <w:rStyle w:val="VerbatimChar"/>
          <w:sz w:val="20"/>
        </w:rPr>
        <w:t>behaviors/v4_0.py</w:t>
      </w:r>
      <w:r>
        <w:rPr>
          <w:sz w:val="20"/>
        </w:rPr>
        <w:t xml:space="preserve">, </w:t>
      </w:r>
      <w:r>
        <w:rPr>
          <w:rStyle w:val="VerbatimChar"/>
          <w:sz w:val="20"/>
        </w:rPr>
        <w:t>behaviors/v5_2.py</w:t>
      </w:r>
      <w:r>
        <w:rPr>
          <w:sz w:val="20"/>
        </w:rPr>
        <w:t xml:space="preserve">, </w:t>
      </w:r>
      <w:r>
        <w:rPr>
          <w:rStyle w:val="VerbatimChar"/>
          <w:sz w:val="20"/>
        </w:rPr>
        <w:t>behaviors/v6_0.py</w:t>
      </w:r>
      <w:r>
        <w:rPr>
          <w:sz w:val="20"/>
        </w:rPr>
        <w:t xml:space="preserve">, and </w:t>
      </w:r>
      <w:r>
        <w:rPr>
          <w:rStyle w:val="VerbatimChar"/>
          <w:sz w:val="20"/>
        </w:rPr>
        <w:t>behaviors/registry.py</w:t>
      </w:r>
      <w:r>
        <w:rPr>
          <w:sz w:val="20"/>
        </w:rPr>
        <w:t xml:space="preserve">. The andesite BFM instance should select </w:t>
      </w:r>
      <w:r>
        <w:rPr>
          <w:rStyle w:val="VerbatimChar"/>
          <w:sz w:val="20"/>
        </w:rPr>
        <w:t>DFIVersion.V4_0</w:t>
      </w:r>
      <w:r>
        <w:rPr>
          <w:sz w:val="20"/>
        </w:rPr>
        <w:t xml:space="preserve"> via </w:t>
      </w:r>
      <w:r>
        <w:rPr>
          <w:rStyle w:val="VerbatimChar"/>
          <w:sz w:val="20"/>
        </w:rPr>
        <w:t>behavior_for(V4_0)</w:t>
      </w:r>
      <w:r>
        <w:rPr>
          <w:sz w:val="20"/>
        </w:rPr>
        <w:t xml:space="preserve">. The signal catalog already validates the HAS Table 4.1 / MAS Table 3.1 signal names once the </w:t>
      </w:r>
      <w:r>
        <w:rPr>
          <w:rStyle w:val="VerbatimChar"/>
          <w:sz w:val="20"/>
        </w:rPr>
        <w:t>_cs_n</w:t>
      </w:r>
      <w:r>
        <w:rPr>
          <w:sz w:val="20"/>
        </w:rPr>
        <w:t xml:space="preserve"> → </w:t>
      </w:r>
      <w:r>
        <w:rPr>
          <w:rStyle w:val="VerbatimChar"/>
          <w:sz w:val="20"/>
        </w:rPr>
        <w:t>_cs</w:t>
      </w:r>
      <w:r>
        <w:rPr>
          <w:sz w:val="20"/>
        </w:rPr>
        <w:t xml:space="preserve"> v4.0 renames are applied; the gaps above are behavioral / encoding extensions, not missing DFI 4.0 signals.</w:t>
      </w:r>
    </w:p>
    <w:p>
      <w:pPr>
        <w:pStyle w:val="BodyText"/>
        <w:rPr/>
      </w:pPr>
      <w:bookmarkStart w:id="240" w:name="X8230901a93c2806f763cb13393c6d13545af4b4"/>
      <w:r>
        <w:rPr>
          <w:sz w:val="20"/>
        </w:rPr>
        <w:t>The boundary is chosen for the reason pumice chose it: it is the one interface where the controller’s obligations are fully specified by a standard, so a model can be authoritative rather than approximate. pumice’s experience — BFM-passing code passes on hardware modulo PHY training — is exactly the residue this family pushes into firmware.</w:t>
      </w:r>
      <w:bookmarkEnd w:id="240"/>
    </w:p>
    <w:p>
      <w:pPr>
        <w:pStyle w:val="Heading2"/>
        <w:pBdr>
          <w:bottom w:val="single" w:sz="12" w:space="0" w:color="228B22"/>
        </w:pBdr>
        <w:spacing w:before="280" w:after="80"/>
        <w:rPr/>
      </w:pPr>
      <w:bookmarkStart w:id="241" w:name="__RefHeading___Toc9223_811569930"/>
      <w:bookmarkStart w:id="242" w:name="the-inherited-bring-tests-argument"/>
      <w:bookmarkEnd w:id="241"/>
      <w:r>
        <w:rPr>
          <w:rStyle w:val="SectionNumber"/>
          <w:b/>
          <w:color w:val="228B22"/>
          <w:sz w:val="28"/>
        </w:rPr>
        <w:t>19.2</w:t>
      </w:r>
      <w:r>
        <w:rPr>
          <w:b/>
          <w:color w:val="228B22"/>
          <w:sz w:val="28"/>
        </w:rPr>
        <w:tab/>
        <w:t>The inherited-bring-tests argument</w:t>
      </w:r>
    </w:p>
    <w:p>
      <w:pPr>
        <w:pStyle w:val="FirstParagraph"/>
        <w:rPr/>
      </w:pPr>
      <w:bookmarkStart w:id="243" w:name="the-inherited-bring-tests-argument"/>
      <w:r>
        <w:rPr>
          <w:sz w:val="20"/>
        </w:rPr>
        <w:t>The inherited blocks bring their verification with them. scoria’s suites — 221 tests and 9 formal blocks at last measure — transfer with the blocks they test, and pumice’s board measurements sit upstream of those. The obligation this controller adds is not to re-prove the front end; it is to prove the deltas. That argument is load-bearing: it is why the marking table is also the test-plan structure.</w:t>
      </w:r>
      <w:bookmarkEnd w:id="243"/>
    </w:p>
    <w:p>
      <w:pPr>
        <w:pStyle w:val="Heading2"/>
        <w:pBdr>
          <w:bottom w:val="single" w:sz="12" w:space="0" w:color="228B22"/>
        </w:pBdr>
        <w:spacing w:before="280" w:after="80"/>
        <w:rPr/>
      </w:pPr>
      <w:bookmarkStart w:id="244" w:name="__RefHeading___Toc9225_811569930"/>
      <w:bookmarkStart w:id="245" w:name="X658a3481c38141fa73f0a72c0dbaafadcc9937e"/>
      <w:bookmarkEnd w:id="244"/>
      <w:r>
        <w:rPr>
          <w:rStyle w:val="SectionNumber"/>
          <w:b/>
          <w:color w:val="228B22"/>
          <w:sz w:val="28"/>
        </w:rPr>
        <w:t>19.3</w:t>
      </w:r>
      <w:r>
        <w:rPr>
          <w:b/>
          <w:color w:val="228B22"/>
          <w:sz w:val="28"/>
        </w:rPr>
        <w:tab/>
        <w:t>What must be verified, beyond the inherited suites</w:t>
      </w:r>
    </w:p>
    <w:p>
      <w:pPr>
        <w:pStyle w:val="FirstParagraph"/>
        <w:rPr/>
      </w:pPr>
      <w:r>
        <w:rPr>
          <w:sz w:val="20"/>
        </w:rPr>
        <w:t>Named now, because “new coverage” that isn’t enumerated doesn’t happen. Every item below is ultimately checked against at least one of the three counterparties named above — the DFI 4.0 BFM, DRAMsim3, or the LPDDR4 CA encoder round-trip tests:</w:t>
      </w:r>
    </w:p>
    <w:p>
      <w:pPr>
        <w:pStyle w:val="Compact"/>
        <w:numPr>
          <w:ilvl w:val="0"/>
          <w:numId w:val="50"/>
        </w:numPr>
        <w:rPr/>
      </w:pPr>
      <w:r>
        <w:rPr>
          <w:b/>
          <w:bCs/>
        </w:rPr>
        <w:t>The init sequences, in JEDEC’s order, both memtypes.</w:t>
      </w:r>
      <w:r>
        <w:rPr/>
        <w:t xml:space="preserve"> A checker that asserts the order — RESET# held, the CKE waits, the MR3-MR6-MR5-MR4-MR2- MR1-MR0 order on the DDR4 side and JESD209-4’s order on the LPDDR4 side, ZQ closing init — because order is what this family has historically gotten wrong (pumice’s EMRS3-first sequence, benign but wrong).</w:t>
      </w:r>
    </w:p>
    <w:p>
      <w:pPr>
        <w:pStyle w:val="Compact"/>
        <w:numPr>
          <w:ilvl w:val="0"/>
          <w:numId w:val="51"/>
        </w:numPr>
        <w:rPr/>
      </w:pPr>
      <w:r>
        <w:rPr>
          <w:b/>
          <w:bCs/>
        </w:rPr>
        <w:t>Gear-down as a mode switch.</w:t>
      </w:r>
      <w:r>
        <w:rPr/>
        <w:t xml:space="preserve"> Entry programmed, bus rate switched on both sides of the DFI boundary, and full-rate init still proven with gear-down disabled. The handshake is §3.13 Geardown Mode / §4.18 Use of the Geardown Mode; the </w:t>
      </w:r>
      <w:r>
        <w:rPr>
          <w:i/>
          <w:iCs/>
        </w:rPr>
        <w:t>behaviour</w:t>
      </w:r>
      <w:r>
        <w:rPr/>
        <w:t xml:space="preserve"> is verifiable the moment the BFM supports it (see G3 above).</w:t>
      </w:r>
    </w:p>
    <w:p>
      <w:pPr>
        <w:pStyle w:val="Compact"/>
        <w:numPr>
          <w:ilvl w:val="0"/>
          <w:numId w:val="52"/>
        </w:numPr>
        <w:rPr/>
      </w:pPr>
      <w:r>
        <w:rPr>
          <w:b/>
          <w:bCs/>
        </w:rPr>
        <w:t xml:space="preserve">CA parity and </w:t>
      </w:r>
      <w:r>
        <w:rPr>
          <w:rStyle w:val="VerbatimChar"/>
          <w:b/>
          <w:bCs/>
        </w:rPr>
        <w:t>alert_n</w:t>
      </w:r>
      <w:r>
        <w:rPr>
          <w:b/>
          <w:bCs/>
        </w:rPr>
        <w:t xml:space="preserve"> as a protocol.</w:t>
      </w:r>
      <w:r>
        <w:rPr/>
        <w:t xml:space="preserve"> The counting machinery exercised, an injected parity fault raising </w:t>
      </w:r>
      <w:r>
        <w:rPr>
          <w:rStyle w:val="VerbatimChar"/>
        </w:rPr>
        <w:t>alert_n</w:t>
      </w:r>
      <w:r>
        <w:rPr/>
        <w:t xml:space="preserve">, and the error surfacing through </w:t>
      </w:r>
      <w:r>
        <w:rPr>
          <w:rStyle w:val="VerbatimChar"/>
        </w:rPr>
        <w:t>dfi_error</w:t>
      </w:r>
      <w:r>
        <w:rPr/>
        <w:t xml:space="preserve"> — including the firmware-assist split if Q4 below lands there.</w:t>
      </w:r>
    </w:p>
    <w:p>
      <w:pPr>
        <w:pStyle w:val="Compact"/>
        <w:numPr>
          <w:ilvl w:val="0"/>
          <w:numId w:val="53"/>
        </w:numPr>
        <w:rPr/>
      </w:pPr>
      <w:r>
        <w:rPr>
          <w:b/>
          <w:bCs/>
        </w:rPr>
        <w:t>ODT as a schedule.</w:t>
      </w:r>
      <w:r>
        <w:rPr/>
        <w:t xml:space="preserve"> The </w:t>
      </w:r>
      <w:r>
        <w:rPr>
          <w:rStyle w:val="VerbatimChar"/>
        </w:rPr>
        <w:t>odt_ctrl</w:t>
      </w:r>
      <w:r>
        <w:rPr/>
        <w:t xml:space="preserve"> policy states over time: RTT_WR confined to write bursts, PARK in the idle policy, the latency family enforced on the pin, and a trace that shows a policy that never leaves PARK (which is what “dynamic ODT off” looks like from outside).</w:t>
      </w:r>
    </w:p>
    <w:p>
      <w:pPr>
        <w:pStyle w:val="Compact"/>
        <w:numPr>
          <w:ilvl w:val="0"/>
          <w:numId w:val="54"/>
        </w:numPr>
        <w:rPr/>
      </w:pPr>
      <w:r>
        <w:rPr>
          <w:b/>
          <w:bCs/>
        </w:rPr>
        <w:t>FGR retention, re-derived per factor.</w:t>
      </w:r>
      <w:r>
        <w:rPr/>
        <w:t xml:space="preserve"> The inherited proof covers 1x arithmetic; 2x and 4x change the interval arithmetic. Each factor gets its own property in </w:t>
      </w:r>
      <w:r>
        <w:rPr>
          <w:rStyle w:val="VerbatimChar"/>
        </w:rPr>
        <w:t>formal/andesite/refresh_ctrl</w:t>
      </w:r>
      <w:r>
        <w:rPr/>
        <w:t>; none is carried forward green. Same rule for the LPDDR4 per-bank arithmetic with controller-named banks.</w:t>
      </w:r>
    </w:p>
    <w:p>
      <w:pPr>
        <w:pStyle w:val="Compact"/>
        <w:numPr>
          <w:ilvl w:val="0"/>
          <w:numId w:val="55"/>
        </w:numPr>
        <w:rPr/>
      </w:pPr>
      <w:r>
        <w:rPr>
          <w:b/>
          <w:bCs/>
        </w:rPr>
        <w:t>The LPDDR4 CA bus as a two-cycle encoding.</w:t>
      </w:r>
      <w:r>
        <w:rPr/>
        <w:t xml:space="preserve"> Command-by-command checker against the truth table the kmap book pins — the tables in </w:t>
      </w:r>
      <w:r>
        <w:rPr>
          <w:rStyle w:val="VerbatimChar"/>
        </w:rPr>
        <w:t>docs/kmaps/generated/</w:t>
      </w:r>
      <w:r>
        <w:rPr/>
        <w:t xml:space="preserve"> are the checker’s expected values, which is what the generated kmap book is </w:t>
      </w:r>
      <w:r>
        <w:rPr>
          <w:i/>
          <w:iCs/>
        </w:rPr>
        <w:t>for</w:t>
      </w:r>
      <w:r>
        <w:rPr/>
        <w:t>.</w:t>
      </w:r>
    </w:p>
    <w:p>
      <w:pPr>
        <w:pStyle w:val="Compact"/>
        <w:numPr>
          <w:ilvl w:val="0"/>
          <w:numId w:val="56"/>
        </w:numPr>
        <w:rPr/>
      </w:pPr>
      <w:r>
        <w:rPr>
          <w:b/>
          <w:bCs/>
        </w:rPr>
        <w:t>Training as protocol, timeouts exercised deliberately.</w:t>
      </w:r>
      <w:r>
        <w:rPr/>
        <w:t xml:space="preserve"> Write leveling (inherited), read leveling, and CA/WDQ training: handshakes, windows, and every timeout path — a timeout that has never fired is an untested path on the only path that reports failure.</w:t>
      </w:r>
    </w:p>
    <w:p>
      <w:pPr>
        <w:pStyle w:val="Compact"/>
        <w:numPr>
          <w:ilvl w:val="0"/>
          <w:numId w:val="57"/>
        </w:numPr>
        <w:rPr/>
      </w:pPr>
      <w:r>
        <w:rPr>
          <w:b/>
          <w:bCs/>
        </w:rPr>
        <w:t>The dormant pair stays on the record.</w:t>
      </w:r>
      <w:r>
        <w:rPr/>
        <w:t xml:space="preserve"> </w:t>
      </w:r>
      <w:r>
        <w:rPr>
          <w:rStyle w:val="VerbatimChar"/>
        </w:rPr>
        <w:t>powerdown_ctrl</w:t>
      </w:r>
      <w:r>
        <w:rPr/>
        <w:t xml:space="preserve"> and </w:t>
      </w:r>
      <w:r>
        <w:rPr>
          <w:rStyle w:val="VerbatimChar"/>
        </w:rPr>
        <w:t>dfi_signal_pack</w:t>
      </w:r>
      <w:r>
        <w:rPr/>
        <w:t xml:space="preserve"> verified uninstantiated-in-tree, so the dormant disposition of Chapter 3.1 can’t silently rot into dead code or silently resurrect.</w:t>
      </w:r>
    </w:p>
    <w:p>
      <w:pPr>
        <w:pStyle w:val="FirstParagraph"/>
        <w:rPr/>
      </w:pPr>
      <w:r>
        <w:rPr>
          <w:b/>
          <w:bCs/>
          <w:sz w:val="20"/>
        </w:rPr>
        <w:t>The formal area is the right home for the spacing properties.</w:t>
      </w:r>
      <w:r>
        <w:rPr>
          <w:sz w:val="20"/>
        </w:rPr>
        <w:t xml:space="preserve"> No assertions go in the RTL — the family rule, tool-compatibility, quoted in Chapter 1.2. </w:t>
      </w:r>
      <w:r>
        <w:rPr>
          <w:rStyle w:val="VerbatimChar"/>
          <w:sz w:val="20"/>
        </w:rPr>
        <w:t>cmd_history_checker</w:t>
      </w:r>
      <w:r>
        <w:rPr>
          <w:sz w:val="20"/>
        </w:rPr>
        <w:t xml:space="preserve"> grows DDR4’s long/short parameters before the RTL is trusted, exactly as scoria grew DDR3’s; the spacing properties that checker shadows — tCCD_L/S, tRRD_L/S, the ODT turn-arounds — are the first candidates for </w:t>
      </w:r>
      <w:r>
        <w:rPr>
          <w:rStyle w:val="VerbatimChar"/>
          <w:sz w:val="20"/>
        </w:rPr>
        <w:t>formal/andesite</w:t>
      </w:r>
      <w:r>
        <w:rPr>
          <w:sz w:val="20"/>
        </w:rPr>
        <w:t>.</w:t>
      </w:r>
      <w:bookmarkEnd w:id="245"/>
    </w:p>
    <w:p>
      <w:pPr>
        <w:pStyle w:val="Heading2"/>
        <w:pBdr>
          <w:bottom w:val="single" w:sz="12" w:space="0" w:color="228B22"/>
        </w:pBdr>
        <w:spacing w:before="280" w:after="80"/>
        <w:rPr/>
      </w:pPr>
      <w:bookmarkStart w:id="246" w:name="__RefHeading___Toc9227_811569930"/>
      <w:bookmarkStart w:id="247" w:name="status-2026-10-04"/>
      <w:bookmarkEnd w:id="246"/>
      <w:r>
        <w:rPr>
          <w:rStyle w:val="SectionNumber"/>
          <w:b/>
          <w:color w:val="228B22"/>
          <w:sz w:val="28"/>
        </w:rPr>
        <w:t>19.4</w:t>
      </w:r>
      <w:r>
        <w:rPr>
          <w:b/>
          <w:color w:val="228B22"/>
          <w:sz w:val="28"/>
        </w:rPr>
        <w:tab/>
        <w:t>Status, 2026-10-04</w:t>
      </w:r>
    </w:p>
    <w:p>
      <w:pPr>
        <w:pStyle w:val="FirstParagraph"/>
        <w:rPr/>
      </w:pPr>
      <w:r>
        <w:rPr>
          <w:sz w:val="20"/>
        </w:rPr>
        <w:t xml:space="preserve">No andesite RTL exists. This book is a v0.1 written from the delta analysis, the same posture scoria’s v0.1 had — and the evidentiary rule exists because that posture can specify something unbuildable. What exists now: this book, the vault lane, and the family docs. What is measured: the </w:t>
      </w:r>
      <w:r>
        <w:rPr>
          <w:i/>
          <w:iCs/>
          <w:sz w:val="20"/>
        </w:rPr>
        <w:t>predecessor’s</w:t>
      </w:r>
      <w:r>
        <w:rPr>
          <w:sz w:val="20"/>
        </w:rPr>
        <w:t xml:space="preserve"> evidence, cited chapter by chapter where it transfers.</w:t>
      </w:r>
      <w:bookmarkEnd w:id="247"/>
    </w:p>
    <w:p>
      <w:pPr>
        <w:pStyle w:val="Heading2"/>
        <w:pBdr>
          <w:bottom w:val="single" w:sz="12" w:space="0" w:color="228B22"/>
        </w:pBdr>
        <w:spacing w:before="280" w:after="80"/>
        <w:rPr/>
      </w:pPr>
      <w:bookmarkStart w:id="248" w:name="__RefHeading___Toc9229_811569930"/>
      <w:bookmarkEnd w:id="248"/>
      <w:r>
        <w:rPr>
          <w:rStyle w:val="SectionNumber"/>
          <w:b/>
          <w:color w:val="228B22"/>
          <w:sz w:val="28"/>
        </w:rPr>
        <w:t>19.5</w:t>
      </w:r>
      <w:r>
        <w:rPr>
          <w:b/>
          <w:color w:val="228B22"/>
          <w:sz w:val="28"/>
        </w:rPr>
        <w:tab/>
        <w:t>Open questions</w:t>
      </w:r>
    </w:p>
    <w:p>
      <w:pPr>
        <w:pStyle w:val="TableCaption"/>
        <w:rPr/>
      </w:pPr>
      <w:bookmarkStart w:id="249" w:name="_Tab_25_Table_6_1__The_open_"/>
      <w:r>
        <w:rPr/>
        <w:t>Table 6.1: The open questions, each with the condition that answers it</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Named condition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numeric init constants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JESD79-4 / JESD209-4 in cold storage at CSR-derivation time (first RTL pass). Named, not invented, per the evidentiary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un-defer?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(Ch 3.1,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coverage scope in the first sims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2026-10-04.</w:t>
            </w:r>
            <w:r>
              <w:rPr>
                <w:rFonts w:eastAsia="Cambria" w:cs=""/>
                <w:kern w:val="0"/>
                <w:sz w:val="24"/>
                <w:szCs w:val="24"/>
                <w:lang w:val="en-US" w:eastAsia="en-US" w:bidi="ar-SA"/>
              </w:rPr>
              <w:t xml:space="preserve"> The BFM gained gear-down protocol validation (G3, closed in DV commit 61a27d8fee3b), so the first sims can protocol-check the mode switch itself; the full-rate-only fallback is no longer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hardware counter vs firmware assist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scope decision at MAS/RTL time; either way the protocol check of item 3 above must pass, and the split is recorded in the MAS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DVFS/DSM, and the dormant pair’s waking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low-power consumer and a target that can measure power; wakes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per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clause confirmation and BFM provenance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Closed on 2026-10-04.</w:t>
            </w:r>
            <w:r>
              <w:rPr>
                <w:rFonts w:eastAsia="Cambria" w:cs=""/>
                <w:kern w:val="0"/>
                <w:sz w:val="24"/>
                <w:szCs w:val="24"/>
                <w:lang w:val="en-US" w:eastAsia="en-US" w:bidi="ar-SA"/>
              </w:rPr>
              <w:t xml:space="preserve"> The spec is acquired, every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 in this book and the MAS is confirmed or corrected, and the in-house BFM integration note and gap list are above. G1-G5 remain as extension work, not blockers to clause confirmation.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PB-REF evaluation (per-bank-group refresh accounting)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 WITH NAMED CONDITION.</w:t>
            </w:r>
            <w:r>
              <w:rPr>
                <w:rFonts w:eastAsia="Cambria" w:cs=""/>
                <w:kern w:val="0"/>
                <w:sz w:val="24"/>
                <w:szCs w:val="24"/>
                <w:lang w:val="en-US" w:eastAsia="en-US" w:bidi="ar-SA"/>
              </w:rPr>
              <w:t xml:space="preserve"> PB-REF is a bounded MODIFIED-layer addition to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behind the CSR policy hook scoria’s TASK-001 built. Un-defer when RTL bring-up characterization shows refresh stalls attributable to device-wide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serialization. Bhati 2016’s FGR/per-bank findings (Table 2) give the cost/benefit summary: 2x/4x FGR shortens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by refreshing fewer rows per command but issues refreshes more often, while per-bank refresh lets other banks stay available. PB-REF is orthogonal to the landed FGR work — FGR is a density/granularity choice, PB-REF is a bank-group stagger pattern — so either can land without the other.</w:t>
            </w:r>
            <w:bookmarkStart w:id="250" w:name="open-questions"/>
            <w:bookmarkEnd w:id="250"/>
          </w:p>
        </w:tc>
      </w:tr>
    </w:tbl>
    <w:p>
      <w:pPr>
        <w:pStyle w:val="Heading2"/>
        <w:pBdr>
          <w:bottom w:val="single" w:sz="12" w:space="0" w:color="228B22"/>
        </w:pBdr>
        <w:spacing w:before="280" w:after="80"/>
        <w:rPr/>
      </w:pPr>
      <w:bookmarkStart w:id="251" w:name="__RefHeading___Toc9231_811569930"/>
      <w:bookmarkEnd w:id="251"/>
      <w:r>
        <w:rPr>
          <w:rStyle w:val="SectionNumber"/>
          <w:b/>
          <w:color w:val="228B22"/>
          <w:sz w:val="28"/>
        </w:rPr>
        <w:t>19.6</w:t>
      </w:r>
      <w:r>
        <w:rPr>
          <w:b/>
          <w:color w:val="228B22"/>
          <w:sz w:val="28"/>
        </w:rPr>
        <w:tab/>
        <w:t>What would make this a 1.0</w:t>
      </w:r>
    </w:p>
    <w:p>
      <w:pPr>
        <w:pStyle w:val="FirstParagraph"/>
        <w:rPr/>
      </w:pPr>
      <w:r>
        <w:rPr>
          <w:sz w:val="20"/>
        </w:rPr>
        <w:t>Three things, in order — the same three scoria’s book named, one generation later:</w:t>
      </w:r>
    </w:p>
    <w:p>
      <w:pPr>
        <w:pStyle w:val="Compact"/>
        <w:numPr>
          <w:ilvl w:val="0"/>
          <w:numId w:val="58"/>
        </w:numPr>
        <w:rPr/>
      </w:pPr>
      <w:r>
        <w:rPr>
          <w:b/>
          <w:bCs/>
        </w:rPr>
        <w:t>RTL exists, and this document is reconciled against it block by block.</w:t>
      </w:r>
      <w:r>
        <w:rPr/>
        <w:t xml:space="preserve"> Every INHERITED marking confirmed or corrected, every MODIFIED change verified bounded as named, every NEW block found where this book said it would be. A marking that turns out wrong is a defect in this document, and the correction goes in the revision history rather than being dropped silently.</w:t>
      </w:r>
    </w:p>
    <w:p>
      <w:pPr>
        <w:pStyle w:val="Compact"/>
        <w:numPr>
          <w:ilvl w:val="0"/>
          <w:numId w:val="59"/>
        </w:numPr>
        <w:rPr/>
      </w:pPr>
      <w:r>
        <w:rPr>
          <w:b/>
          <w:bCs/>
        </w:rPr>
        <w:t>The exact CSR map, from the RDL.</w:t>
      </w:r>
      <w:r>
        <w:rPr/>
        <w:t xml:space="preserve"> The map cannot honestly precede the RDL; Chapter 5’s groups become offsets when </w:t>
      </w:r>
      <w:r>
        <w:rPr>
          <w:rStyle w:val="VerbatimChar"/>
        </w:rPr>
        <w:t>andesite_csr.rdl</w:t>
      </w:r>
      <w:r>
        <w:rPr/>
        <w:t xml:space="preserve"> lands.</w:t>
      </w:r>
    </w:p>
    <w:p>
      <w:pPr>
        <w:pStyle w:val="Compact"/>
        <w:numPr>
          <w:ilvl w:val="0"/>
          <w:numId w:val="60"/>
        </w:numPr>
        <w:rPr/>
      </w:pPr>
      <w:r>
        <w:rPr>
          <w:b/>
          <w:bCs/>
        </w:rPr>
        <w:t>andesite TASK-005 closed.</w:t>
      </w:r>
      <w:r>
        <w:rPr/>
        <w:t xml:space="preserve"> The DFI 4.0 clauses confirmed and the BFM selected — every </w:t>
      </w:r>
      <w:r>
        <w:rPr>
          <w:rStyle w:val="VerbatimChar"/>
        </w:rPr>
        <w:t>§TBC(TASK-005)</w:t>
      </w:r>
      <w:r>
        <w:rPr/>
        <w:t xml:space="preserve"> suffix in this book is either a citation or a correction, and the verification strategy above has a counterparty with the gap list in the BFM paragraph.</w:t>
      </w:r>
    </w:p>
    <w:p>
      <w:pPr>
        <w:pStyle w:val="FirstParagraph"/>
        <w:spacing w:before="180" w:after="180"/>
        <w:rPr/>
      </w:pPr>
      <w:bookmarkStart w:id="252" w:name="Xed9b771463e37213e7e07b65387c20d691537e0"/>
      <w:r>
        <w:rPr>
          <w:sz w:val="20"/>
        </w:rPr>
        <w:t>Until then this is a 0.1: a specification that knows what it doesn’t know, and says so on the record.</w:t>
      </w:r>
      <w:bookmarkEnd w:id="252"/>
    </w:p>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3"/>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3"/>
    <w:lvlOverride w:ilvl="0">
      <w:startOverride w:val="1"/>
    </w:lvlOverride>
  </w:num>
  <w:num w:numId="27">
    <w:abstractNumId w:val="3"/>
  </w:num>
  <w:num w:numId="28">
    <w:abstractNumId w:val="3"/>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lvlOverride w:ilvl="0">
      <w:startOverride w:val="1"/>
    </w:lvlOverride>
  </w:num>
  <w:num w:numId="37">
    <w:abstractNumId w:val="3"/>
  </w:num>
  <w:num w:numId="38">
    <w:abstractNumId w:val="3"/>
  </w:num>
  <w:num w:numId="39">
    <w:abstractNumId w:val="3"/>
  </w:num>
  <w:num w:numId="40">
    <w:abstractNumId w:val="3"/>
  </w:num>
  <w:num w:numId="41">
    <w:abstractNumId w:val="3"/>
    <w:lvlOverride w:ilvl="0">
      <w:startOverride w:val="1"/>
    </w:lvlOverride>
  </w:num>
  <w:num w:numId="42">
    <w:abstractNumId w:val="3"/>
  </w:num>
  <w:num w:numId="43">
    <w:abstractNumId w:val="3"/>
    <w:lvlOverride w:ilvl="0">
      <w:startOverride w:val="1"/>
    </w:lvlOverride>
  </w:num>
  <w:num w:numId="44">
    <w:abstractNumId w:val="3"/>
  </w:num>
  <w:num w:numId="45">
    <w:abstractNumId w:val="3"/>
  </w:num>
  <w:num w:numId="46">
    <w:abstractNumId w:val="3"/>
  </w:num>
  <w:num w:numId="47">
    <w:abstractNumId w:val="3"/>
  </w:num>
  <w:num w:numId="48">
    <w:abstractNumId w:val="3"/>
    <w:lvlOverride w:ilvl="0">
      <w:startOverride w:val="1"/>
    </w:lvlOverride>
  </w:num>
  <w:num w:numId="49">
    <w:abstractNumId w:val="3"/>
  </w:num>
  <w:num w:numId="50">
    <w:abstractNumId w:val="3"/>
    <w:lvlOverride w:ilvl="0">
      <w:startOverride w:val="1"/>
    </w:lvlOverride>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lvlOverride w:ilvl="0">
      <w:startOverride w:val="1"/>
    </w:lvlOverride>
  </w:num>
  <w:num w:numId="59">
    <w:abstractNumId w:val="3"/>
  </w:num>
  <w:num w:numId="60">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block_diagram.mmd" TargetMode="External"/><Relationship Id="rId4" Type="http://schemas.openxmlformats.org/officeDocument/2006/relationships/hyperlink" Target="../../kmaps/generated/" TargetMode="External"/><Relationship Id="rId5" Type="http://schemas.openxmlformats.org/officeDocument/2006/relationships/hyperlink" Target="../../../../docs/01_mem_ctrl_pkg.md"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2026-10-07T12:54:30Z</dcterms:created>
  <dc:creator/>
  <dc:description/>
  <dc:language>en-US</dc:language>
  <cp:lastModifiedBy/>
  <dcterms:modified xsi:type="dcterms:W3CDTF">2026-10-07T05:54:34Z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