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2309175800">
            <w:r>
              <w:rPr>
                <w:webHidden/>
                <w:rStyle w:val="IndexLink"/>
              </w:rPr>
              <w:t>1 Common Has Index</w:t>
              <w:tab/>
              <w:t>7</w:t>
            </w:r>
          </w:hyperlink>
        </w:p>
        <w:p>
          <w:pPr>
            <w:pStyle w:val="TOC1"/>
            <w:tabs>
              <w:tab w:val="clear" w:pos="9360"/>
              <w:tab w:val="right" w:pos="9359" w:leader="dot"/>
            </w:tabs>
            <w:rPr/>
          </w:pPr>
          <w:hyperlink w:anchor="__RefHeading___Toc2578_2309175800">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2309175800">
            <w:r>
              <w:rPr>
                <w:webHidden/>
                <w:rStyle w:val="IndexLink"/>
              </w:rPr>
              <w:t>2.1 Document Organization</w:t>
              <w:tab/>
              <w:t>8</w:t>
            </w:r>
          </w:hyperlink>
        </w:p>
        <w:p>
          <w:pPr>
            <w:pStyle w:val="TOC3"/>
            <w:tabs>
              <w:tab w:val="clear" w:pos="8793"/>
              <w:tab w:val="right" w:pos="9359" w:leader="dot"/>
            </w:tabs>
            <w:rPr/>
          </w:pPr>
          <w:hyperlink w:anchor="__RefHeading___Toc2582_2309175800">
            <w:r>
              <w:rPr>
                <w:webHidden/>
                <w:rStyle w:val="IndexLink"/>
              </w:rPr>
              <w:t>2.1.1 Front Matter</w:t>
              <w:tab/>
              <w:t>8</w:t>
            </w:r>
          </w:hyperlink>
        </w:p>
        <w:p>
          <w:pPr>
            <w:pStyle w:val="TOC3"/>
            <w:tabs>
              <w:tab w:val="clear" w:pos="8793"/>
              <w:tab w:val="right" w:pos="9359" w:leader="dot"/>
            </w:tabs>
            <w:rPr/>
          </w:pPr>
          <w:hyperlink w:anchor="__RefHeading___Toc2584_2309175800">
            <w:r>
              <w:rPr>
                <w:webHidden/>
                <w:rStyle w:val="IndexLink"/>
              </w:rPr>
              <w:t>2.1.2 Chapter 1: The Family Package</w:t>
              <w:tab/>
              <w:t>8</w:t>
            </w:r>
          </w:hyperlink>
        </w:p>
        <w:p>
          <w:pPr>
            <w:pStyle w:val="TOC3"/>
            <w:tabs>
              <w:tab w:val="clear" w:pos="8793"/>
              <w:tab w:val="right" w:pos="9359" w:leader="dot"/>
            </w:tabs>
            <w:rPr/>
          </w:pPr>
          <w:hyperlink w:anchor="__RefHeading___Toc2586_2309175800">
            <w:r>
              <w:rPr>
                <w:webHidden/>
                <w:rStyle w:val="IndexLink"/>
              </w:rPr>
              <w:t>2.1.3 Chapter 2: mc_axi4_layer and the Host-Side FUBs</w:t>
              <w:tab/>
              <w:t>8</w:t>
            </w:r>
          </w:hyperlink>
        </w:p>
        <w:p>
          <w:pPr>
            <w:pStyle w:val="TOC3"/>
            <w:tabs>
              <w:tab w:val="clear" w:pos="8793"/>
              <w:tab w:val="right" w:pos="9359" w:leader="dot"/>
            </w:tabs>
            <w:rPr/>
          </w:pPr>
          <w:hyperlink w:anchor="__RefHeading___Toc2588_2309175800">
            <w:r>
              <w:rPr>
                <w:webHidden/>
                <w:rStyle w:val="IndexLink"/>
              </w:rPr>
              <w:t>2.1.4 Chapter 3: mc_storage_layer and the Entry-Pool FUBs</w:t>
              <w:tab/>
              <w:t>8</w:t>
            </w:r>
          </w:hyperlink>
        </w:p>
        <w:p>
          <w:pPr>
            <w:pStyle w:val="TOC3"/>
            <w:tabs>
              <w:tab w:val="clear" w:pos="8793"/>
              <w:tab w:val="right" w:pos="9359" w:leader="dot"/>
            </w:tabs>
            <w:rPr/>
          </w:pPr>
          <w:hyperlink w:anchor="__RefHeading___Toc2590_2309175800">
            <w:r>
              <w:rPr>
                <w:webHidden/>
                <w:rStyle w:val="IndexLink"/>
              </w:rPr>
              <w:t>2.1.5 Chapter 4: mc_scheduler_layer and the Pick Machinery</w:t>
              <w:tab/>
              <w:t>8</w:t>
            </w:r>
          </w:hyperlink>
        </w:p>
        <w:p>
          <w:pPr>
            <w:pStyle w:val="TOC3"/>
            <w:tabs>
              <w:tab w:val="clear" w:pos="8793"/>
              <w:tab w:val="right" w:pos="9359" w:leader="dot"/>
            </w:tabs>
            <w:rPr/>
          </w:pPr>
          <w:hyperlink w:anchor="__RefHeading___Toc2592_2309175800">
            <w:r>
              <w:rPr>
                <w:webHidden/>
                <w:rStyle w:val="IndexLink"/>
              </w:rPr>
              <w:t>2.1.6 Chapter 5: mc_training_layer</w:t>
              <w:tab/>
              <w:t>8</w:t>
            </w:r>
          </w:hyperlink>
        </w:p>
        <w:p>
          <w:pPr>
            <w:pStyle w:val="TOC3"/>
            <w:tabs>
              <w:tab w:val="clear" w:pos="8793"/>
              <w:tab w:val="right" w:pos="9359" w:leader="dot"/>
            </w:tabs>
            <w:rPr/>
          </w:pPr>
          <w:hyperlink w:anchor="__RefHeading___Toc2594_2309175800">
            <w:r>
              <w:rPr>
                <w:webHidden/>
                <w:rStyle w:val="IndexLink"/>
              </w:rPr>
              <w:t>2.1.7 Chapter 6: mc_ras_layer</w:t>
              <w:tab/>
              <w:t>9</w:t>
            </w:r>
          </w:hyperlink>
        </w:p>
        <w:p>
          <w:pPr>
            <w:pStyle w:val="TOC3"/>
            <w:tabs>
              <w:tab w:val="clear" w:pos="8793"/>
              <w:tab w:val="right" w:pos="9359" w:leader="dot"/>
            </w:tabs>
            <w:rPr/>
          </w:pPr>
          <w:hyperlink w:anchor="__RefHeading___Toc2596_2309175800">
            <w:r>
              <w:rPr>
                <w:webHidden/>
                <w:rStyle w:val="IndexLink"/>
              </w:rPr>
              <w:t>2.1.8 Chapter 7: mc_dfi_2p1_layer and the Shared DFI Pipeline</w:t>
              <w:tab/>
              <w:t>9</w:t>
            </w:r>
          </w:hyperlink>
        </w:p>
        <w:p>
          <w:pPr>
            <w:pStyle w:val="TOC3"/>
            <w:tabs>
              <w:tab w:val="clear" w:pos="8793"/>
              <w:tab w:val="right" w:pos="9359" w:leader="dot"/>
            </w:tabs>
            <w:rPr/>
          </w:pPr>
          <w:hyperlink w:anchor="__RefHeading___Toc2598_2309175800">
            <w:r>
              <w:rPr>
                <w:webHidden/>
                <w:rStyle w:val="IndexLink"/>
              </w:rPr>
              <w:t>2.1.9 Chapter 8: mc_dfi_3p1_layer</w:t>
              <w:tab/>
              <w:t>9</w:t>
            </w:r>
          </w:hyperlink>
        </w:p>
        <w:p>
          <w:pPr>
            <w:pStyle w:val="TOC3"/>
            <w:tabs>
              <w:tab w:val="clear" w:pos="8793"/>
              <w:tab w:val="right" w:pos="9359" w:leader="dot"/>
            </w:tabs>
            <w:rPr/>
          </w:pPr>
          <w:hyperlink w:anchor="__RefHeading___Toc2600_2309175800">
            <w:r>
              <w:rPr>
                <w:webHidden/>
                <w:rStyle w:val="IndexLink"/>
              </w:rPr>
              <w:t>2.1.10 Chapter 9: mc_dfi_4p0_layer</w:t>
              <w:tab/>
              <w:t>9</w:t>
            </w:r>
          </w:hyperlink>
        </w:p>
        <w:p>
          <w:pPr>
            <w:pStyle w:val="TOC1"/>
            <w:tabs>
              <w:tab w:val="clear" w:pos="9360"/>
              <w:tab w:val="right" w:pos="9359" w:leader="dot"/>
            </w:tabs>
            <w:rPr/>
          </w:pPr>
          <w:hyperlink w:anchor="__RefHeading___Toc2602_2309175800">
            <w:r>
              <w:rPr>
                <w:webHidden/>
                <w:rStyle w:val="IndexLink"/>
              </w:rPr>
              <w:t>3 Document Information</w:t>
              <w:tab/>
              <w:t>10</w:t>
            </w:r>
          </w:hyperlink>
        </w:p>
        <w:p>
          <w:pPr>
            <w:pStyle w:val="TOC2"/>
            <w:tabs>
              <w:tab w:val="clear" w:pos="9077"/>
              <w:tab w:val="right" w:pos="9359" w:leader="dot"/>
            </w:tabs>
            <w:rPr/>
          </w:pPr>
          <w:hyperlink w:anchor="__RefHeading___Toc2604_2309175800">
            <w:r>
              <w:rPr>
                <w:webHidden/>
                <w:rStyle w:val="IndexLink"/>
              </w:rPr>
              <w:t>3.1 Revision history</w:t>
              <w:tab/>
              <w:t>10</w:t>
            </w:r>
          </w:hyperlink>
        </w:p>
        <w:p>
          <w:pPr>
            <w:pStyle w:val="TOC2"/>
            <w:tabs>
              <w:tab w:val="clear" w:pos="9077"/>
              <w:tab w:val="right" w:pos="9359" w:leader="dot"/>
            </w:tabs>
            <w:rPr/>
          </w:pPr>
          <w:hyperlink w:anchor="__RefHeading___Toc2606_2309175800">
            <w:r>
              <w:rPr>
                <w:webHidden/>
                <w:rStyle w:val="IndexLink"/>
              </w:rPr>
              <w:t>3.2 Related documents</w:t>
              <w:tab/>
              <w:t>11</w:t>
            </w:r>
          </w:hyperlink>
        </w:p>
        <w:p>
          <w:pPr>
            <w:pStyle w:val="TOC1"/>
            <w:tabs>
              <w:tab w:val="clear" w:pos="9360"/>
              <w:tab w:val="right" w:pos="9359" w:leader="dot"/>
            </w:tabs>
            <w:rPr/>
          </w:pPr>
          <w:hyperlink w:anchor="__RefHeading___Toc2608_2309175800">
            <w:r>
              <w:rPr>
                <w:webHidden/>
                <w:rStyle w:val="IndexLink"/>
              </w:rPr>
              <w:t>4 Purpose, Scope, and the Two Lines</w:t>
              <w:tab/>
              <w:t>12</w:t>
            </w:r>
          </w:hyperlink>
        </w:p>
        <w:p>
          <w:pPr>
            <w:pStyle w:val="TOC2"/>
            <w:tabs>
              <w:tab w:val="clear" w:pos="9077"/>
              <w:tab w:val="right" w:pos="9359" w:leader="dot"/>
            </w:tabs>
            <w:rPr/>
          </w:pPr>
          <w:hyperlink w:anchor="__RefHeading___Toc2610_2309175800">
            <w:r>
              <w:rPr>
                <w:webHidden/>
                <w:rStyle w:val="IndexLink"/>
              </w:rPr>
              <w:t>4.1 Purpose</w:t>
              <w:tab/>
              <w:t>12</w:t>
            </w:r>
          </w:hyperlink>
        </w:p>
        <w:p>
          <w:pPr>
            <w:pStyle w:val="TOC2"/>
            <w:tabs>
              <w:tab w:val="clear" w:pos="9077"/>
              <w:tab w:val="right" w:pos="9359" w:leader="dot"/>
            </w:tabs>
            <w:rPr/>
          </w:pPr>
          <w:hyperlink w:anchor="__RefHeading___Toc2612_2309175800">
            <w:r>
              <w:rPr>
                <w:webHidden/>
                <w:rStyle w:val="IndexLink"/>
              </w:rPr>
              <w:t>4.2 The premise: one common core, many controllers</w:t>
              <w:tab/>
              <w:t>12</w:t>
            </w:r>
          </w:hyperlink>
        </w:p>
        <w:p>
          <w:pPr>
            <w:pStyle w:val="TOC2"/>
            <w:tabs>
              <w:tab w:val="clear" w:pos="9077"/>
              <w:tab w:val="right" w:pos="9359" w:leader="dot"/>
            </w:tabs>
            <w:rPr/>
          </w:pPr>
          <w:hyperlink w:anchor="__RefHeading___Toc2614_2309175800">
            <w:r>
              <w:rPr>
                <w:webHidden/>
                <w:rStyle w:val="IndexLink"/>
              </w:rPr>
              <w:t>4.3 The two lines: research and product</w:t>
              <w:tab/>
              <w:t>12</w:t>
            </w:r>
          </w:hyperlink>
        </w:p>
        <w:p>
          <w:pPr>
            <w:pStyle w:val="TOC2"/>
            <w:tabs>
              <w:tab w:val="clear" w:pos="9077"/>
              <w:tab w:val="right" w:pos="9359" w:leader="dot"/>
            </w:tabs>
            <w:rPr/>
          </w:pPr>
          <w:hyperlink w:anchor="__RefHeading___Toc2616_2309175800">
            <w:r>
              <w:rPr>
                <w:webHidden/>
                <w:rStyle w:val="IndexLink"/>
              </w:rPr>
              <w:t>4.4 What this book binds</w:t>
              <w:tab/>
              <w:t>13</w:t>
            </w:r>
          </w:hyperlink>
        </w:p>
        <w:p>
          <w:pPr>
            <w:pStyle w:val="TOC2"/>
            <w:tabs>
              <w:tab w:val="clear" w:pos="9077"/>
              <w:tab w:val="right" w:pos="9359" w:leader="dot"/>
            </w:tabs>
            <w:rPr/>
          </w:pPr>
          <w:hyperlink w:anchor="__RefHeading___Toc2618_2309175800">
            <w:r>
              <w:rPr>
                <w:webHidden/>
                <w:rStyle w:val="IndexLink"/>
              </w:rPr>
              <w:t>4.5 Conventions</w:t>
              <w:tab/>
              <w:t>13</w:t>
            </w:r>
          </w:hyperlink>
        </w:p>
        <w:p>
          <w:pPr>
            <w:pStyle w:val="TOC1"/>
            <w:tabs>
              <w:tab w:val="clear" w:pos="9360"/>
              <w:tab w:val="right" w:pos="9359" w:leader="dot"/>
            </w:tabs>
            <w:rPr/>
          </w:pPr>
          <w:hyperlink w:anchor="__RefHeading___Toc2620_2309175800">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2309175800">
            <w:r>
              <w:rPr>
                <w:webHidden/>
                <w:rStyle w:val="IndexLink"/>
              </w:rPr>
              <w:t>5.1 The layer contract</w:t>
              <w:tab/>
              <w:t>14</w:t>
            </w:r>
          </w:hyperlink>
        </w:p>
        <w:p>
          <w:pPr>
            <w:pStyle w:val="TOC2"/>
            <w:tabs>
              <w:tab w:val="clear" w:pos="9077"/>
              <w:tab w:val="right" w:pos="9359" w:leader="dot"/>
            </w:tabs>
            <w:rPr/>
          </w:pPr>
          <w:hyperlink w:anchor="__RefHeading___Toc2624_2309175800">
            <w:r>
              <w:rPr>
                <w:webHidden/>
                <w:rStyle w:val="IndexLink"/>
              </w:rPr>
              <w:t>5.2 Why layers — the reason this shape exists</w:t>
              <w:tab/>
              <w:t>16</w:t>
            </w:r>
          </w:hyperlink>
        </w:p>
        <w:p>
          <w:pPr>
            <w:pStyle w:val="TOC2"/>
            <w:tabs>
              <w:tab w:val="clear" w:pos="9077"/>
              <w:tab w:val="right" w:pos="9359" w:leader="dot"/>
            </w:tabs>
            <w:rPr/>
          </w:pPr>
          <w:hyperlink w:anchor="__RefHeading___Toc2626_2309175800">
            <w:r>
              <w:rPr>
                <w:webHidden/>
                <w:rStyle w:val="IndexLink"/>
              </w:rPr>
              <w:t>5.3 The three structural rules of the stack</w:t>
              <w:tab/>
              <w:t>16</w:t>
            </w:r>
          </w:hyperlink>
        </w:p>
        <w:p>
          <w:pPr>
            <w:pStyle w:val="TOC2"/>
            <w:tabs>
              <w:tab w:val="clear" w:pos="9077"/>
              <w:tab w:val="right" w:pos="9359" w:leader="dot"/>
            </w:tabs>
            <w:rPr/>
          </w:pPr>
          <w:hyperlink w:anchor="__RefHeading___Toc2628_2309175800">
            <w:r>
              <w:rPr>
                <w:webHidden/>
                <w:rStyle w:val="IndexLink"/>
              </w:rPr>
              <w:t>5.4 What the rocks own</w:t>
              <w:tab/>
              <w:t>16</w:t>
            </w:r>
          </w:hyperlink>
        </w:p>
        <w:p>
          <w:pPr>
            <w:pStyle w:val="TOC1"/>
            <w:tabs>
              <w:tab w:val="clear" w:pos="9360"/>
              <w:tab w:val="right" w:pos="9359" w:leader="dot"/>
            </w:tabs>
            <w:rPr/>
          </w:pPr>
          <w:hyperlink w:anchor="__RefHeading___Toc2630_2309175800">
            <w:r>
              <w:rPr>
                <w:webHidden/>
                <w:rStyle w:val="IndexLink"/>
              </w:rPr>
              <w:t>6 The Descriptor Seam</w:t>
              <w:tab/>
              <w:t>18</w:t>
            </w:r>
          </w:hyperlink>
        </w:p>
        <w:p>
          <w:pPr>
            <w:pStyle w:val="TOC2"/>
            <w:tabs>
              <w:tab w:val="clear" w:pos="9077"/>
              <w:tab w:val="right" w:pos="9359" w:leader="dot"/>
            </w:tabs>
            <w:rPr/>
          </w:pPr>
          <w:hyperlink w:anchor="__RefHeading___Toc2632_2309175800">
            <w:r>
              <w:rPr>
                <w:webHidden/>
                <w:rStyle w:val="IndexLink"/>
              </w:rPr>
              <w:t>6.1 The contract</w:t>
              <w:tab/>
              <w:t>18</w:t>
            </w:r>
          </w:hyperlink>
        </w:p>
        <w:p>
          <w:pPr>
            <w:pStyle w:val="TOC2"/>
            <w:tabs>
              <w:tab w:val="clear" w:pos="9077"/>
              <w:tab w:val="right" w:pos="9359" w:leader="dot"/>
            </w:tabs>
            <w:rPr/>
          </w:pPr>
          <w:hyperlink w:anchor="__RefHeading___Toc2634_2309175800">
            <w:r>
              <w:rPr>
                <w:webHidden/>
                <w:rStyle w:val="IndexLink"/>
              </w:rPr>
              <w:t>6.2 The invariants</w:t>
              <w:tab/>
              <w:t>18</w:t>
            </w:r>
          </w:hyperlink>
        </w:p>
        <w:p>
          <w:pPr>
            <w:pStyle w:val="TOC2"/>
            <w:tabs>
              <w:tab w:val="clear" w:pos="9077"/>
              <w:tab w:val="right" w:pos="9359" w:leader="dot"/>
            </w:tabs>
            <w:rPr/>
          </w:pPr>
          <w:hyperlink w:anchor="__RefHeading___Toc2636_2309175800">
            <w:r>
              <w:rPr>
                <w:webHidden/>
                <w:rStyle w:val="IndexLink"/>
              </w:rPr>
              <w:t>6.3 What the seam is not</w:t>
              <w:tab/>
              <w:t>19</w:t>
            </w:r>
          </w:hyperlink>
        </w:p>
        <w:p>
          <w:pPr>
            <w:pStyle w:val="TOC2"/>
            <w:tabs>
              <w:tab w:val="clear" w:pos="9077"/>
              <w:tab w:val="right" w:pos="9359" w:leader="dot"/>
            </w:tabs>
            <w:rPr/>
          </w:pPr>
          <w:hyperlink w:anchor="__RefHeading___Toc2638_2309175800">
            <w:r>
              <w:rPr>
                <w:webHidden/>
                <w:rStyle w:val="IndexLink"/>
              </w:rPr>
              <w:t>6.4 Where this stands in the rocks</w:t>
              <w:tab/>
              <w:t>19</w:t>
            </w:r>
          </w:hyperlink>
        </w:p>
        <w:p>
          <w:pPr>
            <w:pStyle w:val="TOC1"/>
            <w:tabs>
              <w:tab w:val="clear" w:pos="9360"/>
              <w:tab w:val="right" w:pos="9359" w:leader="dot"/>
            </w:tabs>
            <w:rPr/>
          </w:pPr>
          <w:hyperlink w:anchor="__RefHeading___Toc2640_2309175800">
            <w:r>
              <w:rPr>
                <w:webHidden/>
                <w:rStyle w:val="IndexLink"/>
              </w:rPr>
              <w:t>7 Why dfi_2p1_layer / dfi_3p1_layer / dfi_4p0_layer Are Separate Blocks</w:t>
              <w:tab/>
              <w:t>21</w:t>
            </w:r>
          </w:hyperlink>
        </w:p>
        <w:p>
          <w:pPr>
            <w:pStyle w:val="TOC2"/>
            <w:tabs>
              <w:tab w:val="clear" w:pos="9077"/>
              <w:tab w:val="right" w:pos="9359" w:leader="dot"/>
            </w:tabs>
            <w:rPr/>
          </w:pPr>
          <w:hyperlink w:anchor="__RefHeading___Toc2642_2309175800">
            <w:r>
              <w:rPr>
                <w:webHidden/>
                <w:rStyle w:val="IndexLink"/>
              </w:rPr>
              <w:t>7.1 The reasoning</w:t>
              <w:tab/>
              <w:t>21</w:t>
            </w:r>
          </w:hyperlink>
        </w:p>
        <w:p>
          <w:pPr>
            <w:pStyle w:val="TOC2"/>
            <w:tabs>
              <w:tab w:val="clear" w:pos="9077"/>
              <w:tab w:val="right" w:pos="9359" w:leader="dot"/>
            </w:tabs>
            <w:rPr/>
          </w:pPr>
          <w:hyperlink w:anchor="__RefHeading___Toc2644_2309175800">
            <w:r>
              <w:rPr>
                <w:webHidden/>
                <w:rStyle w:val="IndexLink"/>
              </w:rPr>
              <w:t>7.2 What is shared</w:t>
              <w:tab/>
              <w:t>21</w:t>
            </w:r>
          </w:hyperlink>
        </w:p>
        <w:p>
          <w:pPr>
            <w:pStyle w:val="TOC2"/>
            <w:tabs>
              <w:tab w:val="clear" w:pos="9077"/>
              <w:tab w:val="right" w:pos="9359" w:leader="dot"/>
            </w:tabs>
            <w:rPr/>
          </w:pPr>
          <w:hyperlink w:anchor="__RefHeading___Toc2646_2309175800">
            <w:r>
              <w:rPr>
                <w:webHidden/>
                <w:rStyle w:val="IndexLink"/>
              </w:rPr>
              <w:t>7.3 What the layer never does</w:t>
              <w:tab/>
              <w:t>22</w:t>
            </w:r>
          </w:hyperlink>
        </w:p>
        <w:p>
          <w:pPr>
            <w:pStyle w:val="TOC1"/>
            <w:tabs>
              <w:tab w:val="clear" w:pos="9360"/>
              <w:tab w:val="right" w:pos="9359" w:leader="dot"/>
            </w:tabs>
            <w:rPr/>
          </w:pPr>
          <w:hyperlink w:anchor="__RefHeading___Toc2648_2309175800">
            <w:r>
              <w:rPr>
                <w:webHidden/>
                <w:rStyle w:val="IndexLink"/>
              </w:rPr>
              <w:t>8 Doctrines Added by the Common-IP Campaign</w:t>
              <w:tab/>
              <w:t>23</w:t>
            </w:r>
          </w:hyperlink>
        </w:p>
        <w:p>
          <w:pPr>
            <w:pStyle w:val="TOC2"/>
            <w:tabs>
              <w:tab w:val="clear" w:pos="9077"/>
              <w:tab w:val="right" w:pos="9359" w:leader="dot"/>
            </w:tabs>
            <w:rPr/>
          </w:pPr>
          <w:hyperlink w:anchor="__RefHeading___Toc2650_2309175800">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2309175800">
            <w:r>
              <w:rPr>
                <w:webHidden/>
                <w:rStyle w:val="IndexLink"/>
              </w:rPr>
              <w:t>8.2 7. Parameterize width, never personality</w:t>
              <w:tab/>
              <w:t>23</w:t>
            </w:r>
          </w:hyperlink>
        </w:p>
        <w:p>
          <w:pPr>
            <w:pStyle w:val="TOC2"/>
            <w:tabs>
              <w:tab w:val="clear" w:pos="9077"/>
              <w:tab w:val="right" w:pos="9359" w:leader="dot"/>
            </w:tabs>
            <w:rPr/>
          </w:pPr>
          <w:hyperlink w:anchor="__RefHeading___Toc2654_2309175800">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2309175800">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2309175800">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2309175800">
            <w:r>
              <w:rPr>
                <w:webHidden/>
                <w:rStyle w:val="IndexLink"/>
              </w:rPr>
              <w:t>8.6 11. A block with one customer stays rock-side</w:t>
              <w:tab/>
              <w:t>24</w:t>
            </w:r>
          </w:hyperlink>
        </w:p>
        <w:p>
          <w:pPr>
            <w:pStyle w:val="TOC1"/>
            <w:tabs>
              <w:tab w:val="clear" w:pos="9360"/>
              <w:tab w:val="right" w:pos="9359" w:leader="dot"/>
            </w:tabs>
            <w:rPr/>
          </w:pPr>
          <w:hyperlink w:anchor="__RefHeading___Toc2662_2309175800">
            <w:r>
              <w:rPr>
                <w:webHidden/>
                <w:rStyle w:val="IndexLink"/>
              </w:rPr>
              <w:t>9 The common-ip Layout</w:t>
              <w:tab/>
              <w:t>25</w:t>
            </w:r>
          </w:hyperlink>
        </w:p>
        <w:p>
          <w:pPr>
            <w:pStyle w:val="TOC2"/>
            <w:tabs>
              <w:tab w:val="clear" w:pos="9077"/>
              <w:tab w:val="right" w:pos="9359" w:leader="dot"/>
            </w:tabs>
            <w:rPr/>
          </w:pPr>
          <w:hyperlink w:anchor="__RefHeading___Toc2664_2309175800">
            <w:r>
              <w:rPr>
                <w:webHidden/>
                <w:rStyle w:val="IndexLink"/>
              </w:rPr>
              <w:t>9.1 The blocks (as of 2026-10-10)</w:t>
              <w:tab/>
              <w:t>25</w:t>
            </w:r>
          </w:hyperlink>
        </w:p>
        <w:p>
          <w:pPr>
            <w:pStyle w:val="TOC2"/>
            <w:tabs>
              <w:tab w:val="clear" w:pos="9077"/>
              <w:tab w:val="right" w:pos="9359" w:leader="dot"/>
            </w:tabs>
            <w:rPr/>
          </w:pPr>
          <w:hyperlink w:anchor="__RefHeading___Toc2666_2309175800">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2309175800">
            <w:r>
              <w:rPr>
                <w:webHidden/>
                <w:rStyle w:val="IndexLink"/>
              </w:rPr>
              <w:t>9.3 Documentation map</w:t>
              <w:tab/>
              <w:t>26</w:t>
            </w:r>
          </w:hyperlink>
        </w:p>
        <w:p>
          <w:pPr>
            <w:pStyle w:val="TOC1"/>
            <w:tabs>
              <w:tab w:val="clear" w:pos="9360"/>
              <w:tab w:val="right" w:pos="9359" w:leader="dot"/>
            </w:tabs>
            <w:rPr/>
          </w:pPr>
          <w:hyperlink w:anchor="__RefHeading___Toc2670_2309175800">
            <w:r>
              <w:rPr>
                <w:webHidden/>
                <w:rStyle w:val="IndexLink"/>
              </w:rPr>
              <w:t>10 Products and Research: granite / gabbro / diorite</w:t>
              <w:tab/>
              <w:t>28</w:t>
            </w:r>
          </w:hyperlink>
        </w:p>
        <w:p>
          <w:pPr>
            <w:pStyle w:val="TOC2"/>
            <w:tabs>
              <w:tab w:val="clear" w:pos="9077"/>
              <w:tab w:val="right" w:pos="9359" w:leader="dot"/>
            </w:tabs>
            <w:rPr/>
          </w:pPr>
          <w:hyperlink w:anchor="__RefHeading___Toc2672_2309175800">
            <w:r>
              <w:rPr>
                <w:webHidden/>
                <w:rStyle w:val="IndexLink"/>
              </w:rPr>
              <w:t>10.1 The product names</w:t>
              <w:tab/>
              <w:t>28</w:t>
            </w:r>
          </w:hyperlink>
        </w:p>
        <w:p>
          <w:pPr>
            <w:pStyle w:val="TOC2"/>
            <w:tabs>
              <w:tab w:val="clear" w:pos="9077"/>
              <w:tab w:val="right" w:pos="9359" w:leader="dot"/>
            </w:tabs>
            <w:rPr/>
          </w:pPr>
          <w:hyperlink w:anchor="__RefHeading___Toc2674_2309175800">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2309175800">
            <w:r>
              <w:rPr>
                <w:webHidden/>
                <w:rStyle w:val="IndexLink"/>
              </w:rPr>
              <w:t>10.3 The research line’s role</w:t>
              <w:tab/>
              <w:t>29</w:t>
            </w:r>
          </w:hyperlink>
        </w:p>
        <w:p>
          <w:pPr>
            <w:pStyle w:val="TOC2"/>
            <w:tabs>
              <w:tab w:val="clear" w:pos="9077"/>
              <w:tab w:val="right" w:pos="9359" w:leader="dot"/>
            </w:tabs>
            <w:rPr/>
          </w:pPr>
          <w:hyperlink w:anchor="__RefHeading___Toc2678_2309175800">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2309175800"/>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2309175800"/>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2309175800"/>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2309175800"/>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2309175800"/>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2309175800"/>
      <w:bookmarkStart w:id="14" w:name="Xe73b40f1192db0acd779fe60e75b80c1263b700"/>
      <w:bookmarkEnd w:id="13"/>
      <w:r>
        <w:rPr>
          <w:rStyle w:val="SectionNumber"/>
          <w:b/>
          <w:color w:val="404040"/>
          <w:sz w:val="24"/>
        </w:rPr>
        <w:t>2.1.3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mc_axi4_layer</w:t>
        </w:r>
        <w:r>
          <w:rPr>
            <w:rStyle w:val="Hyperlink"/>
          </w:rPr>
          <w:t xml:space="preserve"> — AXI slaves, intakes, coalescing, return ring</w:t>
        </w:r>
      </w:hyperlink>
      <w:bookmarkEnd w:id="14"/>
    </w:p>
    <w:p>
      <w:pPr>
        <w:pStyle w:val="Heading3"/>
        <w:spacing w:before="200" w:after="80"/>
        <w:rPr/>
      </w:pPr>
      <w:bookmarkStart w:id="15" w:name="__RefHeading___Toc2588_2309175800"/>
      <w:bookmarkStart w:id="16" w:name="Xfd03914965c1a36c753d69373597a3edba6d3ba"/>
      <w:bookmarkEnd w:id="15"/>
      <w:r>
        <w:rPr>
          <w:rStyle w:val="SectionNumber"/>
          <w:b/>
          <w:color w:val="404040"/>
          <w:sz w:val="24"/>
        </w:rPr>
        <w:t>2.1.4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mc_storage_layer</w:t>
        </w:r>
        <w:r>
          <w:rPr>
            <w:rStyle w:val="Hyperlink"/>
          </w:rPr>
          <w:t xml:space="preserve"> — CAMs, read snooping, bank image</w:t>
        </w:r>
      </w:hyperlink>
      <w:bookmarkEnd w:id="16"/>
    </w:p>
    <w:p>
      <w:pPr>
        <w:pStyle w:val="Heading3"/>
        <w:spacing w:before="200" w:after="80"/>
        <w:rPr/>
      </w:pPr>
      <w:bookmarkStart w:id="17" w:name="__RefHeading___Toc2590_2309175800"/>
      <w:bookmarkStart w:id="18" w:name="Xae2fb05cfd41b92d952510e81a7f289f9208afe"/>
      <w:bookmarkEnd w:id="17"/>
      <w:r>
        <w:rPr>
          <w:rStyle w:val="SectionNumber"/>
          <w:b/>
          <w:color w:val="404040"/>
          <w:sz w:val="24"/>
        </w:rPr>
        <w:t>2.1.5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mc_scheduler_layer</w:t>
        </w:r>
        <w:r>
          <w:rPr>
            <w:rStyle w:val="Hyperlink"/>
          </w:rPr>
          <w:t xml:space="preserve"> — schedulable-entry view, timers, arbiter</w:t>
        </w:r>
      </w:hyperlink>
      <w:bookmarkEnd w:id="18"/>
    </w:p>
    <w:p>
      <w:pPr>
        <w:pStyle w:val="Heading3"/>
        <w:spacing w:before="200" w:after="80"/>
        <w:rPr/>
      </w:pPr>
      <w:bookmarkStart w:id="19" w:name="__RefHeading___Toc2592_2309175800"/>
      <w:bookmarkStart w:id="20" w:name="chapter-5-mc_training_layer"/>
      <w:bookmarkEnd w:id="19"/>
      <w:r>
        <w:rPr>
          <w:rStyle w:val="SectionNumber"/>
          <w:b/>
          <w:color w:val="404040"/>
          <w:sz w:val="24"/>
        </w:rPr>
        <w:t>2.1.6</w:t>
      </w:r>
      <w:r>
        <w:rPr>
          <w:b/>
          <w:color w:val="404040"/>
          <w:sz w:val="24"/>
        </w:rPr>
        <w:tab/>
        <w:t xml:space="preserve">Chapter 5: </w:t>
      </w:r>
      <w:r>
        <w:rPr>
          <w:rStyle w:val="VerbatimChar"/>
          <w:b/>
          <w:color w:val="404040"/>
          <w:sz w:val="24"/>
        </w:rPr>
        <w:t>mc_training_layer</w:t>
      </w:r>
    </w:p>
    <w:p>
      <w:pPr>
        <w:pStyle w:val="Compact"/>
        <w:numPr>
          <w:ilvl w:val="0"/>
          <w:numId w:val="24"/>
        </w:numPr>
        <w:rPr/>
      </w:pPr>
      <w:hyperlink r:id="rId8">
        <w:r>
          <w:rPr>
            <w:rStyle w:val="Hyperlink"/>
            <w:rFonts w:ascii="Consolas" w:hAnsi="Consolas"/>
            <w:sz w:val="22"/>
            <w:sz w:val="22"/>
          </w:rPr>
          <w:t>mc_training_layer</w:t>
        </w:r>
        <w:r>
          <w:rPr>
            <w:rStyle w:val="Hyperlink"/>
          </w:rPr>
          <w:t xml:space="preserve"> — shell, maintenance slot, rock wrappers</w:t>
        </w:r>
      </w:hyperlink>
      <w:bookmarkEnd w:id="20"/>
    </w:p>
    <w:p>
      <w:pPr>
        <w:pStyle w:val="Heading3"/>
        <w:spacing w:before="200" w:after="80"/>
        <w:rPr/>
      </w:pPr>
      <w:bookmarkStart w:id="21" w:name="__RefHeading___Toc2594_2309175800"/>
      <w:bookmarkStart w:id="22" w:name="chapter-6-mc_ras_layer"/>
      <w:bookmarkEnd w:id="21"/>
      <w:r>
        <w:rPr>
          <w:rStyle w:val="SectionNumber"/>
          <w:b/>
          <w:color w:val="404040"/>
          <w:sz w:val="24"/>
        </w:rPr>
        <w:t>2.1.7</w:t>
      </w:r>
      <w:r>
        <w:rPr>
          <w:b/>
          <w:color w:val="404040"/>
          <w:sz w:val="24"/>
        </w:rPr>
        <w:tab/>
        <w:t xml:space="preserve">Chapter 6: </w:t>
      </w:r>
      <w:r>
        <w:rPr>
          <w:rStyle w:val="VerbatimChar"/>
          <w:b/>
          <w:color w:val="404040"/>
          <w:sz w:val="24"/>
        </w:rPr>
        <w:t>mc_ras_layer</w:t>
      </w:r>
    </w:p>
    <w:p>
      <w:pPr>
        <w:pStyle w:val="Compact"/>
        <w:numPr>
          <w:ilvl w:val="0"/>
          <w:numId w:val="25"/>
        </w:numPr>
        <w:rPr/>
      </w:pPr>
      <w:hyperlink r:id="rId9">
        <w:r>
          <w:rPr>
            <w:rStyle w:val="Hyperlink"/>
            <w:rFonts w:ascii="Consolas" w:hAnsi="Consolas"/>
            <w:sz w:val="22"/>
            <w:sz w:val="22"/>
          </w:rPr>
          <w:t>mc_ras_layer</w:t>
        </w:r>
        <w:r>
          <w:rPr>
            <w:rStyle w:val="Hyperlink"/>
          </w:rPr>
          <w:t xml:space="preserve"> — skeleton, transform pair, reserved CSR surface</w:t>
        </w:r>
      </w:hyperlink>
      <w:bookmarkEnd w:id="22"/>
    </w:p>
    <w:p>
      <w:pPr>
        <w:pStyle w:val="Heading3"/>
        <w:spacing w:before="200" w:after="80"/>
        <w:rPr/>
      </w:pPr>
      <w:bookmarkStart w:id="23" w:name="__RefHeading___Toc2596_2309175800"/>
      <w:bookmarkStart w:id="24" w:name="X6b7ef090e93368a3c74775085b7d22e8fdb9bc1"/>
      <w:bookmarkEnd w:id="23"/>
      <w:r>
        <w:rPr>
          <w:rStyle w:val="SectionNumber"/>
          <w:b/>
          <w:color w:val="404040"/>
          <w:sz w:val="24"/>
        </w:rPr>
        <w:t>2.1.8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mc_dfi_2p1_layer</w:t>
        </w:r>
        <w:r>
          <w:rPr>
            <w:rStyle w:val="Hyperlink"/>
          </w:rPr>
          <w:t xml:space="preserve"> — DFI 2.1 command/data pipeline + CDC</w:t>
        </w:r>
      </w:hyperlink>
      <w:bookmarkEnd w:id="24"/>
    </w:p>
    <w:p>
      <w:pPr>
        <w:pStyle w:val="Heading3"/>
        <w:spacing w:before="200" w:after="80"/>
        <w:rPr/>
      </w:pPr>
      <w:bookmarkStart w:id="25" w:name="__RefHeading___Toc2598_2309175800"/>
      <w:bookmarkStart w:id="26" w:name="chapter-8-mc_dfi_3p1_layer"/>
      <w:bookmarkEnd w:id="25"/>
      <w:r>
        <w:rPr>
          <w:rStyle w:val="SectionNumber"/>
          <w:b/>
          <w:color w:val="404040"/>
          <w:sz w:val="24"/>
        </w:rPr>
        <w:t>2.1.9</w:t>
      </w:r>
      <w:r>
        <w:rPr>
          <w:b/>
          <w:color w:val="404040"/>
          <w:sz w:val="24"/>
        </w:rPr>
        <w:tab/>
        <w:t xml:space="preserve">Chapter 8: </w:t>
      </w:r>
      <w:r>
        <w:rPr>
          <w:rStyle w:val="VerbatimChar"/>
          <w:b/>
          <w:color w:val="404040"/>
          <w:sz w:val="24"/>
        </w:rPr>
        <w:t>mc_dfi_3p1_layer</w:t>
      </w:r>
    </w:p>
    <w:p>
      <w:pPr>
        <w:pStyle w:val="Compact"/>
        <w:numPr>
          <w:ilvl w:val="0"/>
          <w:numId w:val="27"/>
        </w:numPr>
        <w:rPr/>
      </w:pPr>
      <w:hyperlink r:id="rId11">
        <w:r>
          <w:rPr>
            <w:rStyle w:val="Hyperlink"/>
            <w:rFonts w:ascii="Consolas" w:hAnsi="Consolas"/>
            <w:sz w:val="22"/>
            <w:sz w:val="22"/>
          </w:rPr>
          <w:t>mc_dfi_3p1_layer</w:t>
        </w:r>
        <w:r>
          <w:rPr>
            <w:rStyle w:val="Hyperlink"/>
          </w:rPr>
          <w:t xml:space="preserve"> — the 3.1 generation delta</w:t>
        </w:r>
      </w:hyperlink>
      <w:bookmarkEnd w:id="26"/>
    </w:p>
    <w:p>
      <w:pPr>
        <w:pStyle w:val="Heading3"/>
        <w:spacing w:before="200" w:after="80"/>
        <w:rPr/>
      </w:pPr>
      <w:bookmarkStart w:id="27" w:name="__RefHeading___Toc2600_2309175800"/>
      <w:bookmarkStart w:id="28" w:name="chapter-9-mc_dfi_4p0_layer"/>
      <w:bookmarkEnd w:id="27"/>
      <w:r>
        <w:rPr>
          <w:rStyle w:val="SectionNumber"/>
          <w:b/>
          <w:color w:val="404040"/>
          <w:sz w:val="24"/>
        </w:rPr>
        <w:t>2.1.10</w:t>
      </w:r>
      <w:r>
        <w:rPr>
          <w:b/>
          <w:color w:val="404040"/>
          <w:sz w:val="24"/>
        </w:rPr>
        <w:tab/>
        <w:t xml:space="preserve">Chapter 9: </w:t>
      </w:r>
      <w:r>
        <w:rPr>
          <w:rStyle w:val="VerbatimChar"/>
          <w:b/>
          <w:color w:val="404040"/>
          <w:sz w:val="24"/>
        </w:rPr>
        <w:t>mc_dfi_4p0_layer</w:t>
      </w:r>
    </w:p>
    <w:p>
      <w:pPr>
        <w:pStyle w:val="Compact"/>
        <w:numPr>
          <w:ilvl w:val="0"/>
          <w:numId w:val="28"/>
        </w:numPr>
        <w:rPr/>
      </w:pPr>
      <w:hyperlink r:id="rId12">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laye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2309175800"/>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2309175800"/>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layers, and seventeen FUBs into common-ip; this book records the architecture those blocks implement — the partner’s layered-stack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2309175800"/>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2309175800"/>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2309175800"/>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layers are, what each one owns, and how they fit together.</w:t>
      </w:r>
    </w:p>
    <w:p>
      <w:pPr>
        <w:pStyle w:val="Compact"/>
        <w:numPr>
          <w:ilvl w:val="0"/>
          <w:numId w:val="11"/>
        </w:numPr>
        <w:rPr/>
      </w:pPr>
      <w:r>
        <w:rPr/>
        <w:t>What the interface between the layers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2309175800"/>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layers,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2309175800"/>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layers.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storage-layer reordering and no RAS features, a granite build with the storage layer in its lite configuration and the RAS layer bypassed is the cheapest full proof that the common core works without its optional layers (Ch 5.2).</w:t>
      </w:r>
      <w:bookmarkEnd w:id="44"/>
    </w:p>
    <w:p>
      <w:pPr>
        <w:pStyle w:val="Heading2"/>
        <w:pBdr>
          <w:bottom w:val="single" w:sz="12" w:space="0" w:color="228B22"/>
        </w:pBdr>
        <w:spacing w:before="280" w:after="80"/>
        <w:rPr/>
      </w:pPr>
      <w:bookmarkStart w:id="45" w:name="__RefHeading___Toc2616_2309175800"/>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layer stack and the name and role of every layer (Ch 2).</w:t>
      </w:r>
    </w:p>
    <w:p>
      <w:pPr>
        <w:pStyle w:val="Compact"/>
        <w:numPr>
          <w:ilvl w:val="0"/>
          <w:numId w:val="33"/>
        </w:numPr>
        <w:rPr/>
      </w:pPr>
      <w:r>
        <w:rPr/>
        <w:t>The descriptor seam and its invariants (Ch 2.2).</w:t>
      </w:r>
    </w:p>
    <w:p>
      <w:pPr>
        <w:pStyle w:val="Compact"/>
        <w:numPr>
          <w:ilvl w:val="0"/>
          <w:numId w:val="34"/>
        </w:numPr>
        <w:rPr/>
      </w:pPr>
      <w:r>
        <w:rPr/>
        <w:t xml:space="preserve">The DFI layer naming — </w:t>
      </w:r>
      <w:r>
        <w:rPr>
          <w:rStyle w:val="VerbatimChar"/>
        </w:rPr>
        <w:t>dfi_2p1_layer</w:t>
      </w:r>
      <w:r>
        <w:rPr/>
        <w:t xml:space="preserve">, </w:t>
      </w:r>
      <w:r>
        <w:rPr>
          <w:rStyle w:val="VerbatimChar"/>
        </w:rPr>
        <w:t>dfi_3p1_layer</w:t>
      </w:r>
      <w:r>
        <w:rPr/>
        <w:t xml:space="preserve">, </w:t>
      </w:r>
      <w:r>
        <w:rPr>
          <w:rStyle w:val="VerbatimChar"/>
        </w:rPr>
        <w:t>dfi_4p0_layer</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2309175800"/>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2309175800"/>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layers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2839720"/>
            <wp:effectExtent l="0" t="0" r="0" b="0"/>
            <wp:docPr id="11" name="Picture" descr="The mem-ctrl-ip whole unit — AXI channels at top, the layer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layer stack in the middle, DDR PHY bar at the bottom"/>
                    <pic:cNvPicPr>
                      <a:picLocks noChangeAspect="1" noChangeArrowheads="1"/>
                    </pic:cNvPicPr>
                  </pic:nvPicPr>
                  <pic:blipFill>
                    <a:blip r:embed="rId22"/>
                    <a:stretch>
                      <a:fillRect/>
                    </a:stretch>
                  </pic:blipFill>
                  <pic:spPr bwMode="auto">
                    <a:xfrm>
                      <a:off x="0" y="0"/>
                      <a:ext cx="5334000" cy="2839720"/>
                    </a:xfrm>
                    <a:prstGeom prst="rect">
                      <a:avLst/>
                    </a:prstGeom>
                  </pic:spPr>
                </pic:pic>
              </a:graphicData>
            </a:graphic>
          </wp:inline>
        </w:drawing>
      </w:r>
    </w:p>
    <w:p>
      <w:pPr>
        <w:pStyle w:val="ImageCaption"/>
        <w:rPr/>
      </w:pPr>
      <w:r>
        <w:rPr/>
        <w:t>The mem-ctrl-ip whole unit — AXI channels at top, the layer stack in the middle, DDR PHY bar at the bottom</w:t>
      </w:r>
    </w:p>
    <w:p>
      <w:pPr>
        <w:pStyle w:val="Heading2"/>
        <w:pBdr>
          <w:bottom w:val="single" w:sz="12" w:space="0" w:color="228B22"/>
        </w:pBdr>
        <w:spacing w:before="280" w:after="80"/>
        <w:rPr/>
      </w:pPr>
      <w:bookmarkStart w:id="54" w:name="__RefHeading___Toc2622_2309175800"/>
      <w:bookmarkEnd w:id="54"/>
      <w:r>
        <w:rPr>
          <w:rStyle w:val="SectionNumber"/>
          <w:b/>
          <w:color w:val="228B22"/>
          <w:sz w:val="28"/>
        </w:rPr>
        <w:t>5.1</w:t>
      </w:r>
      <w:r>
        <w:rPr>
          <w:b/>
          <w:color w:val="228B22"/>
          <w:sz w:val="28"/>
        </w:rPr>
        <w:tab/>
        <w:t>The layer contract</w:t>
      </w:r>
    </w:p>
    <w:p>
      <w:pPr>
        <w:pStyle w:val="FirstParagraph"/>
        <w:rPr/>
      </w:pPr>
      <w:r>
        <w:rPr>
          <w:sz w:val="20"/>
        </w:rPr>
        <w:t xml:space="preserve">Each layer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layer’s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layer-contract"/>
            <w:bookmarkEnd w:id="55"/>
          </w:p>
        </w:tc>
      </w:tr>
    </w:tbl>
    <w:p>
      <w:pPr>
        <w:pStyle w:val="Heading2"/>
        <w:pBdr>
          <w:bottom w:val="single" w:sz="12" w:space="0" w:color="228B22"/>
        </w:pBdr>
        <w:spacing w:before="280" w:after="80"/>
        <w:rPr/>
      </w:pPr>
      <w:bookmarkStart w:id="56" w:name="__RefHeading___Toc2624_2309175800"/>
      <w:bookmarkEnd w:id="56"/>
      <w:r>
        <w:rPr>
          <w:rStyle w:val="SectionNumber"/>
          <w:b/>
          <w:color w:val="228B22"/>
          <w:sz w:val="28"/>
        </w:rPr>
        <w:t>5.2</w:t>
      </w:r>
      <w:r>
        <w:rPr>
          <w:b/>
          <w:color w:val="228B22"/>
          <w:sz w:val="28"/>
        </w:rPr>
        <w:tab/>
        <w:t>Why layers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layer presents the scheduler the same descriptor view the AXI layer does, a feature that needs a different entry-pool organization (bigger CAM, SRAM-backed pool, hashed bank assignment) changes the storage layer only — the scheduler and everything downstream do not move. A product that needs no reordering replaces the storage layer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layer in a full build, and the stripped AXI layer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2309175800"/>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layers are param-selected, not compile-selected by absence.</w:t>
      </w:r>
      <w:r>
        <w:rPr/>
        <w:t xml:space="preserve"> The RAS layer exists or it does not; a build without it wires the storage and DFI layers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2309175800"/>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layer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2309175800"/>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layers, and the load-bearing idea of this architecture: </w:t>
      </w:r>
      <w:r>
        <w:rPr>
          <w:b/>
          <w:bCs/>
          <w:sz w:val="20"/>
        </w:rPr>
        <w:t>the storage layer presents the scheduler exactly the same descriptor interface the AXI layer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2309175800"/>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layer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AXI-layer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layer.</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layer can be designed to emit the same information for a single in-order item, a controller can be assembled with no storage layer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2309175800"/>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layer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layers in a way the drop-in goal forbids.</w:t>
      </w:r>
      <w:bookmarkEnd w:id="69"/>
    </w:p>
    <w:p>
      <w:pPr>
        <w:pStyle w:val="Heading2"/>
        <w:pBdr>
          <w:bottom w:val="single" w:sz="12" w:space="0" w:color="228B22"/>
        </w:pBdr>
        <w:spacing w:before="280" w:after="80"/>
        <w:rPr/>
      </w:pPr>
      <w:bookmarkStart w:id="70" w:name="__RefHeading___Toc2636_2309175800"/>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layer provides it as a </w:t>
      </w:r>
      <w:r>
        <w:rPr>
          <w:i/>
          <w:iCs/>
        </w:rPr>
        <w:t>select</w:t>
      </w:r>
      <w:r>
        <w:rPr/>
        <w:t xml:space="preserve"> feeding the scheduler’s own view). It does not cross the seam as an independent interface; that would let two layers believe two different things about which row is open.</w:t>
      </w:r>
    </w:p>
    <w:p>
      <w:pPr>
        <w:pStyle w:val="Compact"/>
        <w:numPr>
          <w:ilvl w:val="0"/>
          <w:numId w:val="48"/>
        </w:numPr>
        <w:rPr/>
      </w:pPr>
      <w:r>
        <w:rPr>
          <w:b/>
          <w:bCs/>
        </w:rPr>
        <w:t>The seam is not a bus.</w:t>
      </w:r>
      <w:r>
        <w:rPr/>
        <w:t xml:space="preserve"> No arbitration crosses it; the upstream layer owns its entries until the scheduler consumes them.</w:t>
      </w:r>
      <w:bookmarkEnd w:id="71"/>
    </w:p>
    <w:p>
      <w:pPr>
        <w:pStyle w:val="Heading2"/>
        <w:pBdr>
          <w:bottom w:val="single" w:sz="12" w:space="0" w:color="228B22"/>
        </w:pBdr>
        <w:spacing w:before="280" w:after="80"/>
        <w:rPr/>
      </w:pPr>
      <w:bookmarkStart w:id="72" w:name="__RefHeading___Toc2638_2309175800"/>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mc_axi4_layer → mc_storage_layer → &lt;rock&gt;_scheduler_layer</w:t>
      </w:r>
      <w:r>
        <w:rPr>
          <w:sz w:val="20"/>
        </w:rPr>
        <w:t>, with the CAMs living in the storage layer and the rock scheduler wrapper presenting the rock’s maintenance clients to the common core. pumice is the reference integration (measured at 66.67 / 75 MHz on Nexys A7). The contract in this chapter is the destination the storage-layer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2309175800"/>
      <w:bookmarkStart w:id="77" w:name="Xba0e68e539aa7351d2f5c03a115f460d02e06c0"/>
      <w:bookmarkEnd w:id="76"/>
      <w:r>
        <w:rPr>
          <w:rStyle w:val="SectionNumber"/>
          <w:b/>
          <w:color w:val="FFFFFF"/>
          <w:sz w:val="32"/>
        </w:rPr>
        <w:t>7</w:t>
      </w:r>
      <w:r>
        <w:rPr>
          <w:b/>
          <w:color w:val="FFFFFF"/>
          <w:sz w:val="32"/>
        </w:rPr>
        <w:tab/>
        <w:t xml:space="preserve">Why </w:t>
      </w:r>
      <w:r>
        <w:rPr>
          <w:rStyle w:val="VerbatimChar"/>
          <w:b/>
          <w:color w:val="FFFFFF"/>
          <w:sz w:val="32"/>
        </w:rPr>
        <w:t>dfi_2p1_layer</w:t>
      </w:r>
      <w:r>
        <w:rPr>
          <w:b/>
          <w:color w:val="FFFFFF"/>
          <w:sz w:val="32"/>
        </w:rPr>
        <w:t xml:space="preserve"> / </w:t>
      </w:r>
      <w:r>
        <w:rPr>
          <w:rStyle w:val="VerbatimChar"/>
          <w:b/>
          <w:color w:val="FFFFFF"/>
          <w:sz w:val="32"/>
        </w:rPr>
        <w:t>dfi_3p1_layer</w:t>
      </w:r>
      <w:r>
        <w:rPr>
          <w:b/>
          <w:color w:val="FFFFFF"/>
          <w:sz w:val="32"/>
        </w:rPr>
        <w:t xml:space="preserve"> / </w:t>
      </w:r>
      <w:r>
        <w:rPr>
          <w:rStyle w:val="VerbatimChar"/>
          <w:b/>
          <w:color w:val="FFFFFF"/>
          <w:sz w:val="32"/>
        </w:rPr>
        <w:t>dfi_4p0_layer</w:t>
      </w:r>
      <w:r>
        <w:rPr>
          <w:b/>
          <w:color w:val="FFFFFF"/>
          <w:sz w:val="32"/>
        </w:rPr>
        <w:t xml:space="preserve"> Are Separate Blocks</w:t>
      </w:r>
    </w:p>
    <w:p>
      <w:pPr>
        <w:pStyle w:val="FirstParagraph"/>
        <w:rPr/>
      </w:pPr>
      <w:r>
        <w:rPr>
          <w:sz w:val="20"/>
        </w:rPr>
        <w:t xml:space="preserve">The DFI boundary layers are named for the DFI revision they implement — </w:t>
      </w:r>
      <w:r>
        <w:rPr>
          <w:rStyle w:val="VerbatimChar"/>
          <w:sz w:val="20"/>
        </w:rPr>
        <w:t>mc_dfi_2p1_layer</w:t>
      </w:r>
      <w:r>
        <w:rPr>
          <w:sz w:val="20"/>
        </w:rPr>
        <w:t xml:space="preserve">, </w:t>
      </w:r>
      <w:r>
        <w:rPr>
          <w:rStyle w:val="VerbatimChar"/>
          <w:sz w:val="20"/>
        </w:rPr>
        <w:t>mc_dfi_3p1_layer</w:t>
      </w:r>
      <w:r>
        <w:rPr>
          <w:sz w:val="20"/>
        </w:rPr>
        <w:t xml:space="preserve">, </w:t>
      </w:r>
      <w:r>
        <w:rPr>
          <w:rStyle w:val="VerbatimChar"/>
          <w:sz w:val="20"/>
        </w:rPr>
        <w:t>mc_dfi_4p0_layer</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2309175800"/>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dfi_2p1_layer</w:t>
      </w:r>
      <w:r>
        <w:rPr>
          <w:sz w:val="20"/>
        </w:rPr>
        <w:t xml:space="preserve">, gabbro → </w:t>
      </w:r>
      <w:r>
        <w:rPr>
          <w:rStyle w:val="VerbatimChar"/>
          <w:sz w:val="20"/>
        </w:rPr>
        <w:t>dfi_3p1_layer</w:t>
      </w:r>
      <w:r>
        <w:rPr>
          <w:sz w:val="20"/>
        </w:rPr>
        <w:t xml:space="preserve">, diorite → </w:t>
      </w:r>
      <w:r>
        <w:rPr>
          <w:rStyle w:val="VerbatimChar"/>
          <w:sz w:val="20"/>
        </w:rPr>
        <w:t>dfi_4p0_layer</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2309175800"/>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layer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layer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per-layer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2309175800"/>
      <w:bookmarkStart w:id="83" w:name="what-the-layer-never-does"/>
      <w:bookmarkEnd w:id="82"/>
      <w:r>
        <w:rPr>
          <w:rStyle w:val="SectionNumber"/>
          <w:b/>
          <w:color w:val="228B22"/>
          <w:sz w:val="28"/>
        </w:rPr>
        <w:t>7.3</w:t>
      </w:r>
      <w:r>
        <w:rPr>
          <w:b/>
          <w:color w:val="228B22"/>
          <w:sz w:val="28"/>
        </w:rPr>
        <w:tab/>
        <w:t>What the layer never does</w:t>
      </w:r>
    </w:p>
    <w:p>
      <w:pPr>
        <w:pStyle w:val="FirstParagraph"/>
        <w:rPr/>
      </w:pPr>
      <w:r>
        <w:rPr>
          <w:sz w:val="20"/>
        </w:rPr>
        <w:t xml:space="preserve">Per the family boundary doctrine, the DFI layer never absorbs PHY responsibilities: no training search, no calibration algorithm, no IO timing closure. The training layer speaks </w:t>
      </w:r>
      <w:r>
        <w:rPr>
          <w:i/>
          <w:iCs/>
          <w:sz w:val="20"/>
        </w:rPr>
        <w:t>to</w:t>
      </w:r>
      <w:r>
        <w:rPr>
          <w:sz w:val="20"/>
        </w:rPr>
        <w:t xml:space="preserve"> the DFI layer through the documented CSR/contract surface (</w:t>
      </w:r>
      <w:hyperlink r:id="rId27">
        <w:r>
          <w:rPr>
            <w:rStyle w:val="Hyperlink"/>
          </w:rPr>
          <w:t>phy_cal_csr_contract.md</w:t>
        </w:r>
      </w:hyperlink>
      <w:r>
        <w:rPr>
          <w:sz w:val="20"/>
        </w:rPr>
        <w:t>); the PHY owns the mechanism. A DFI layer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ba0e68e539aa7351d2f5c03a115f460d02e06c0"/>
      <w:bookmarkStart w:id="85" w:name="what-the-layer-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2309175800"/>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2309175800"/>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2309175800"/>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2309175800"/>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2309175800"/>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layer (</w:t>
      </w:r>
      <w:r>
        <w:rPr>
          <w:rStyle w:val="VerbatimChar"/>
          <w:sz w:val="20"/>
        </w:rPr>
        <w:t>mc_ras_layer</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layer are controlled by params. we will discuss as needed.” (partner, 2026-10-10.) A layer whose feature list is speculative is a layer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2309175800"/>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2309175800"/>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2309175800"/>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layers</w:t>
      </w:r>
      <w:r>
        <w:rPr/>
        <w:br/>
      </w:r>
      <w:r>
        <w:rPr>
          <w:rStyle w:val="VerbatimChar"/>
        </w:rPr>
        <w:t>│   └── filelists/                     .f files: one per FUB/layer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2309175800"/>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Layers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layer and documented in that layer’s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2309175800"/>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2309175800"/>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2309175800"/>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2309175800"/>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layers selected, knobs set, rock children chosen — not a new RTL tree.</w:t>
      </w:r>
      <w:bookmarkEnd w:id="117"/>
    </w:p>
    <w:p>
      <w:pPr>
        <w:pStyle w:val="Heading2"/>
        <w:pBdr>
          <w:bottom w:val="single" w:sz="12" w:space="0" w:color="228B22"/>
        </w:pBdr>
        <w:spacing w:before="280" w:after="80"/>
        <w:rPr/>
      </w:pPr>
      <w:bookmarkStart w:id="118" w:name="__RefHeading___Toc2674_2309175800"/>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layer in its lite configuration.</w:t>
      </w:r>
      <w:r>
        <w:rPr/>
        <w:t xml:space="preserve"> “Off” is not literal: the scheduler’s pick machinery argmaxes over schedulable-entry vectors, and something must hold those entries. Lite means the stripped AXI-layer configuration serving N=1, in-order — the seam vectors with one entry behind them (Ch 2.2). The entry store can shrink toward one; it cannot reach zero.</w:t>
      </w:r>
    </w:p>
    <w:p>
      <w:pPr>
        <w:pStyle w:val="Compact"/>
        <w:numPr>
          <w:ilvl w:val="0"/>
          <w:numId w:val="50"/>
        </w:numPr>
        <w:rPr/>
      </w:pPr>
      <w:r>
        <w:rPr>
          <w:b/>
          <w:bCs/>
        </w:rPr>
        <w:t>RAS layer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layers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2309175800"/>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2309175800"/>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layer/01_mc_axi4_layer.md" TargetMode="External"/><Relationship Id="rId6" Type="http://schemas.openxmlformats.org/officeDocument/2006/relationships/hyperlink" Target="ch03_storage_layer/01_mc_storage_layer.md" TargetMode="External"/><Relationship Id="rId7" Type="http://schemas.openxmlformats.org/officeDocument/2006/relationships/hyperlink" Target="ch04_scheduler_layer/01_mc_scheduler_layer.md" TargetMode="External"/><Relationship Id="rId8" Type="http://schemas.openxmlformats.org/officeDocument/2006/relationships/hyperlink" Target="ch05_training_layer/01_mc_training_layer.md" TargetMode="External"/><Relationship Id="rId9" Type="http://schemas.openxmlformats.org/officeDocument/2006/relationships/hyperlink" Target="ch06_ras_layer/01_mc_ras_layer.md" TargetMode="External"/><Relationship Id="rId10" Type="http://schemas.openxmlformats.org/officeDocument/2006/relationships/hyperlink" Target="ch07_dfi_2p1_layer/01_mc_dfi_2p1_layer.md" TargetMode="External"/><Relationship Id="rId11" Type="http://schemas.openxmlformats.org/officeDocument/2006/relationships/hyperlink" Target="ch08_dfi_3p1_layer/01_mc_dfi_3p1_layer.md" TargetMode="External"/><Relationship Id="rId12" Type="http://schemas.openxmlformats.org/officeDocument/2006/relationships/hyperlink" Target="ch09_dfi_4p0_layer/01_mc_dfi_4p0_layer.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2026-10-11T14:26:02Z</dcterms:created>
  <dc:creator/>
  <dc:description/>
  <dc:language>en-US</dc:language>
  <cp:lastModifiedBy/>
  <dcterms:modified xsi:type="dcterms:W3CDTF">2026-10-11T07:26:06Z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