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Pre-Bitstream Timing Prediction on FPGA Artix-7 Companion to the ASIC Methodology White Paper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12,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46_2181334207">
            <w:r>
              <w:rPr>
                <w:webHidden/>
                <w:rStyle w:val="IndexLink"/>
              </w:rPr>
              <w:t>1 Readme Fpga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8_2181334207">
            <w:r>
              <w:rPr>
                <w:webHidden/>
                <w:rStyle w:val="IndexLink"/>
              </w:rPr>
              <w:t>2 Pre-Bitstream Timing Prediction on FPGA (Artix-7)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_2181334207">
            <w:r>
              <w:rPr>
                <w:webHidden/>
                <w:rStyle w:val="IndexLink"/>
              </w:rPr>
              <w:t>2.1 Abstract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_2181334207">
            <w:r>
              <w:rPr>
                <w:webHidden/>
                <w:rStyle w:val="IndexLink"/>
              </w:rPr>
              <w:t>2.2 1. What changes between the ASIC paper and this one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_2181334207">
            <w:r>
              <w:rPr>
                <w:webHidden/>
                <w:rStyle w:val="IndexLink"/>
              </w:rPr>
              <w:t>2.3 2. The harness on FPGA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_2181334207">
            <w:r>
              <w:rPr>
                <w:webHidden/>
                <w:rStyle w:val="IndexLink"/>
              </w:rPr>
              <w:t>2.4 3. The Vivado flow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_2181334207">
            <w:r>
              <w:rPr>
                <w:webHidden/>
                <w:rStyle w:val="IndexLink"/>
              </w:rPr>
              <w:t>2.5 4. The spreadsheet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_2181334207">
            <w:r>
              <w:rPr>
                <w:webHidden/>
                <w:rStyle w:val="IndexLink"/>
              </w:rPr>
              <w:t>2.5.1 4.1 characterization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_2181334207">
            <w:r>
              <w:rPr>
                <w:webHidden/>
                <w:rStyle w:val="IndexLink"/>
              </w:rPr>
              <w:t>2.5.2 4.2 building blocks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_2181334207">
            <w:r>
              <w:rPr>
                <w:webHidden/>
                <w:rStyle w:val="IndexLink"/>
              </w:rPr>
              <w:t>2.6 5. The validation loop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_2181334207">
            <w:r>
              <w:rPr>
                <w:webHidden/>
                <w:rStyle w:val="IndexLink"/>
              </w:rPr>
              <w:t>2.6.1 5.1 Wrapper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_2181334207">
            <w:r>
              <w:rPr>
                <w:webHidden/>
                <w:rStyle w:val="IndexLink"/>
              </w:rPr>
              <w:t>2.6.2 5.2 Signature accumulator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_2181334207">
            <w:r>
              <w:rPr>
                <w:webHidden/>
                <w:rStyle w:val="IndexLink"/>
              </w:rPr>
              <w:t>2.6.3 5.3 On-board observation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_2181334207">
            <w:r>
              <w:rPr>
                <w:webHidden/>
                <w:rStyle w:val="IndexLink"/>
              </w:rPr>
              <w:t>2.6.4 5.4 Vivado STA contract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_2181334207">
            <w:r>
              <w:rPr>
                <w:webHidden/>
                <w:rStyle w:val="IndexLink"/>
              </w:rPr>
              <w:t>2.6.5 5.5 Quick command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_2181334207">
            <w:r>
              <w:rPr>
                <w:webHidden/>
                <w:rStyle w:val="IndexLink"/>
              </w:rPr>
              <w:t>2.6.6 5.6 The simpler sweep – when STA is enough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_2181334207">
            <w:r>
              <w:rPr>
                <w:webHidden/>
                <w:rStyle w:val="IndexLink"/>
              </w:rPr>
              <w:t>2.6.7 5.6a The same sweep on Quartus (Cyclone V)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_2181334207">
            <w:r>
              <w:rPr>
                <w:webHidden/>
                <w:rStyle w:val="IndexLink"/>
              </w:rPr>
              <w:t>2.6.8 5.7 What v0.1 still doesn’t do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2_2181334207">
            <w:r>
              <w:rPr>
                <w:webHidden/>
                <w:rStyle w:val="IndexLink"/>
              </w:rPr>
              <w:t>2.7 6. Recommended workflow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4_2181334207">
            <w:r>
              <w:rPr>
                <w:webHidden/>
                <w:rStyle w:val="IndexLink"/>
              </w:rPr>
              <w:t>2.8 7. Limitations / intentional non-features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6_2181334207">
            <w:r>
              <w:rPr>
                <w:webHidden/>
                <w:rStyle w:val="IndexLink"/>
              </w:rPr>
              <w:t>2.9 8. Navigation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-fpga"/>
      <w:bookmarkStart w:id="1" w:name="readme-fpga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946_2181334207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 Fpga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2026-10-02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eadme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1948_2181334207"/>
      <w:bookmarkStart w:id="5" w:name="X4cfa260d7157bfd9c5dee588643ea9b6e76fbd2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Pre-Bitstream Timing Prediction on FPGA (Artix-7)</w:t>
      </w:r>
    </w:p>
    <w:p>
      <w:pPr>
        <w:pStyle w:val="BlockText"/>
        <w:rPr/>
      </w:pPr>
      <w:r>
        <w:rPr/>
        <w:t>The FPGA companion to the ASIC pre-synth methodology. Same harness, same nine FUBs, same spreadsheet shape – but the lookup numbers come from Vivado primitive datasheets (and eventually from real post-route reports off the Nexys A7), and the validation loop runs through an on-board clock sweep instead of an STA tool.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(initial publication; calibration runs pending)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Companion to:</w:t>
      </w:r>
      <w:r>
        <w:rPr>
          <w:sz w:val="20"/>
        </w:rPr>
        <w:t xml:space="preserve"> </w:t>
      </w:r>
      <w:hyperlink r:id="rId3">
        <w:r>
          <w:rPr>
            <w:rStyle w:val="ListLabel82"/>
            <w:rFonts w:ascii="Consolas" w:hAnsi="Consolas"/>
            <w:sz w:val="22"/>
            <w:sz w:val="22"/>
          </w:rPr>
          <w:t>README.md</w:t>
        </w:r>
      </w:hyperlink>
      <w:r>
        <w:rPr>
          <w:sz w:val="20"/>
        </w:rPr>
        <w:t xml:space="preserve"> (ASIC / ASAP7 paper)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Vivado flow live; spreadsheet seeded with datasheet numbers; hardware validation loop planned, not built.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950_2181334207"/>
      <w:bookmarkStart w:id="7" w:name="abstrac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Abstract</w:t>
      </w:r>
    </w:p>
    <w:p>
      <w:pPr>
        <w:pStyle w:val="FirstParagraph"/>
        <w:rPr/>
      </w:pPr>
      <w:r>
        <w:rPr>
          <w:sz w:val="20"/>
        </w:rPr>
        <w:t xml:space="preserve">This document carries the same purpose as the ASIC paper: </w:t>
      </w:r>
      <w:r>
        <w:rPr>
          <w:b/>
          <w:bCs/>
          <w:sz w:val="20"/>
        </w:rPr>
        <w:t>predict and close timing before the bitstream build ever starts</w:t>
      </w:r>
      <w:r>
        <w:rPr>
          <w:sz w:val="20"/>
        </w:rPr>
        <w:t>. On ASIC, that prediction is grounded in Yosys + ABC + OpenSTA per-gate-delay measurements. On FPGA the inputs are different but the workflow is the same:</w:t>
      </w:r>
    </w:p>
    <w:p>
      <w:pPr>
        <w:pStyle w:val="Compact"/>
        <w:numPr>
          <w:ilvl w:val="0"/>
          <w:numId w:val="1"/>
        </w:numPr>
        <w:rPr/>
      </w:pPr>
      <w:r>
        <w:rPr/>
        <w:t>characterize the relevant Xilinx primitives (LUT6, CARRY4, DSP48, BRAM, MUXF7/F8, LUTRAM, SRL) at the speed grade you’ll ship at,</w:t>
      </w:r>
    </w:p>
    <w:p>
      <w:pPr>
        <w:pStyle w:val="Compact"/>
        <w:numPr>
          <w:ilvl w:val="0"/>
          <w:numId w:val="1"/>
        </w:numPr>
        <w:rPr/>
      </w:pPr>
      <w:r>
        <w:rPr/>
        <w:t>record a per-primitive ps-per-level row on the characterization sheet,</w:t>
      </w:r>
    </w:p>
    <w:p>
      <w:pPr>
        <w:pStyle w:val="Compact"/>
        <w:numPr>
          <w:ilvl w:val="0"/>
          <w:numId w:val="1"/>
        </w:numPr>
        <w:rPr/>
      </w:pPr>
      <w:r>
        <w:rPr/>
        <w:t>the building-blocks sheet looks those numbers up via VLOOKUP and reports a slack column for every block you might instantiate,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designer at the spreadsheet sees fail / pass per block as they tweak the planned clock frequency, </w:t>
      </w:r>
      <w:r>
        <w:rPr>
          <w:b/>
          <w:bCs/>
        </w:rPr>
        <w:t>before</w:t>
      </w:r>
      <w:r>
        <w:rPr/>
        <w:t xml:space="preserve"> committing to a 10-30 minute Vivado place-and-route round trip.</w:t>
      </w:r>
    </w:p>
    <w:p>
      <w:pPr>
        <w:pStyle w:val="FirstParagraph"/>
        <w:rPr/>
      </w:pPr>
      <w:r>
        <w:rPr>
          <w:sz w:val="20"/>
        </w:rPr>
        <w:t xml:space="preserve">The deliverable is </w:t>
      </w:r>
      <w:hyperlink r:id="rId4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, generated by </w:t>
      </w:r>
      <w:hyperlink r:id="rId5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. The Vivado flow lives under </w:t>
      </w:r>
      <w:hyperlink r:id="rId6">
        <w:r>
          <w:rPr>
            <w:rStyle w:val="ListLabel82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 – a Nexys A7-100T project that builds the same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harness, wrapped for a single board clock and eight observation LEDs.</w:t>
      </w:r>
    </w:p>
    <w:p>
      <w:pPr>
        <w:pStyle w:val="BodyText"/>
        <w:rPr/>
      </w:pPr>
      <w:r>
        <w:rPr>
          <w:sz w:val="20"/>
        </w:rPr>
        <w:t xml:space="preserve">This methodology is </w:t>
      </w:r>
      <w:r>
        <w:rPr>
          <w:b/>
          <w:bCs/>
          <w:sz w:val="20"/>
        </w:rPr>
        <w:t>explicitly proactive</w:t>
      </w:r>
      <w:r>
        <w:rPr>
          <w:sz w:val="20"/>
        </w:rPr>
        <w:t xml:space="preserve">. It is not a debugger to reach for after Vivado throws a negative WNS at you; it is a design-time budget table the designer consults </w:t>
      </w:r>
      <w:r>
        <w:rPr>
          <w:i/>
          <w:iCs/>
          <w:sz w:val="20"/>
        </w:rPr>
        <w:t xml:space="preserve">before writing the first </w:t>
      </w:r>
      <w:r>
        <w:rPr>
          <w:rStyle w:val="VerbatimChar"/>
          <w:i/>
          <w:iCs/>
          <w:sz w:val="20"/>
        </w:rPr>
        <w:t>always_ff</w:t>
      </w:r>
      <w:r>
        <w:rPr>
          <w:sz w:val="20"/>
        </w:rPr>
        <w:t>. The point is to flip the loop – characterize once per (device, speed grade), then build with a known-good budget – so place and route becomes a confirmation step rather than the first time anyone finds out the pipeline doesn’t close.</w:t>
      </w:r>
    </w:p>
    <w:p>
      <w:pPr>
        <w:pStyle w:val="Normal"/>
        <w:rPr/>
      </w:pPr>
      <w:bookmarkStart w:id="8" w:name="abstr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952_2181334207"/>
      <w:bookmarkStart w:id="10" w:name="Xb6e78256faf625b1072c6eb866dca5ac1548ce3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1. What changes between the ASIC paper and this one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ASIC paper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 paper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TSMC-class ASAP7 PDK (open-source)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Artix-7 (xc7a100tcsg324-1 on Nexys A7-100T)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Yosys + slang + ABC + OpenSTA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+ impl + bitgen)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 / FF / SS (Liberty PVT corners)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 grade -1 / -2 / -3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 range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 GHz - 3.0 GHz (where 7nm starts to choke)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100 - 300 MHz (where Artix-7 typically choke)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Per-level primitives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NAND, XOR, MUX, CARRY, MULT, GRAY_CTR, QUEUE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LUT6, MUXF7, MUXF8, CARRY4, DSP48, LUTRAM, SRL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Mixed-bag proxy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 (multiplier tree)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DSP48 (DSP macro)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single-point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INV, CLK_DIV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(RAMB36 sync read)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Tflop source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Tcq + Tsu derived from NAND chain probe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FDRE Tcq + Tsu (~400 ps -1, ~280 ps -3)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delay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per-metal-layer ps/mm (M2/M3 … M8/M9)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FPGA-routing ps/hop (default 200 ps -1)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 truth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ABC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stime -c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Vivado post-route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report_timing_summary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loop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 data already there (same Liberty)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on-board MMCM clock sweep + host-side golden model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spreadsheet’s </w:t>
      </w:r>
      <w:r>
        <w:rPr>
          <w:b/>
          <w:bCs/>
          <w:sz w:val="20"/>
        </w:rPr>
        <w:t>building blocks</w:t>
      </w:r>
      <w:r>
        <w:rPr>
          <w:sz w:val="20"/>
        </w:rPr>
        <w:t xml:space="preserve"> sheet is identical RTL with FPGA- specific numbers swapped in. 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sheet (per-FUB port walks) is intentionally omitted from this v0.1 – the per-port hand-walks port over 1:1 from the ASIC sheet, only the looked-up per-level numbers change.</w:t>
      </w:r>
    </w:p>
    <w:p>
      <w:pPr>
        <w:pStyle w:val="Normal"/>
        <w:rPr/>
      </w:pPr>
      <w:bookmarkStart w:id="11" w:name="Xb6e78256faf625b1072c6eb866dca5ac1548ce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954_2181334207"/>
      <w:bookmarkStart w:id="13" w:name="the-harness-on-fpga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2. The harness on FPGA</w:t>
      </w:r>
    </w:p>
    <w:p>
      <w:pPr>
        <w:pStyle w:val="FirstParagraph"/>
        <w:rPr/>
      </w:pPr>
      <w:r>
        <w:rPr>
          <w:rStyle w:val="VerbatimChar"/>
          <w:sz w:val="20"/>
        </w:rPr>
        <w:t>char_top</w:t>
      </w:r>
      <w:r>
        <w:rPr>
          <w:sz w:val="20"/>
        </w:rPr>
        <w:t xml:space="preserve"> is the same nine-FUB harness described in </w:t>
      </w:r>
      <w:hyperlink r:id="rId7">
        <w:r>
          <w:rPr>
            <w:rStyle w:val="Hyperlink"/>
            <w:rFonts w:ascii="Consolas" w:hAnsi="Consolas"/>
            <w:sz w:val="22"/>
            <w:sz w:val="22"/>
          </w:rPr>
          <w:t>README.md</w:t>
        </w:r>
        <w:r>
          <w:rPr>
            <w:rStyle w:val="Hyperlink"/>
          </w:rPr>
          <w:t xml:space="preserve"> Section 5</w:t>
        </w:r>
      </w:hyperlink>
      <w:r>
        <w:rPr>
          <w:sz w:val="20"/>
        </w:rPr>
        <w:t xml:space="preserve">. All anti-optimisation defences (LFSR-driven inputs, outputs routed to top-level ports, </w:t>
      </w:r>
      <w:r>
        <w:rPr>
          <w:rStyle w:val="VerbatimChar"/>
          <w:sz w:val="20"/>
        </w:rPr>
        <w:t>dont_touch</w:t>
      </w:r>
      <w:r>
        <w:rPr>
          <w:sz w:val="20"/>
        </w:rPr>
        <w:t xml:space="preserve"> attributes) work identically under Vivado.</w:t>
      </w:r>
    </w:p>
    <w:p>
      <w:pPr>
        <w:pStyle w:val="BodyText"/>
        <w:rPr/>
      </w:pPr>
      <w:r>
        <w:rPr>
          <w:sz w:val="20"/>
        </w:rPr>
        <w:t>For board-level use a thin wrapper trims the wide observation ports down to something the Nexys A7’s 8 user LEDs can drive:</w:t>
      </w:r>
    </w:p>
    <w:p>
      <w:pPr>
        <w:pStyle w:val="Compact"/>
        <w:numPr>
          <w:ilvl w:val="0"/>
          <w:numId w:val="10"/>
        </w:numPr>
        <w:rPr/>
      </w:pPr>
      <w:hyperlink r:id="rId8">
        <w:r>
          <w:rPr>
            <w:rStyle w:val="ListLabel82"/>
            <w:rFonts w:ascii="Consolas" w:hAnsi="Consolas"/>
            <w:sz w:val="22"/>
            <w:sz w:val="22"/>
          </w:rPr>
          <w:t>fpga/rtl/char_top_fpga.sv</w:t>
        </w:r>
      </w:hyperlink>
      <w:r>
        <w:rPr/>
        <w:t xml:space="preserve"> instantiates </w:t>
      </w:r>
      <w:r>
        <w:rPr>
          <w:rStyle w:val="VerbatimChar"/>
        </w:rPr>
        <w:t>char_top</w:t>
      </w:r>
      <w:r>
        <w:rPr/>
        <w:t xml:space="preserve"> with all 9 FUBs enabled and XOR-reduces each FUB’s output bus to a single bit.</w:t>
      </w:r>
    </w:p>
    <w:p>
      <w:pPr>
        <w:pStyle w:val="Compact"/>
        <w:numPr>
          <w:ilvl w:val="0"/>
          <w:numId w:val="11"/>
        </w:numPr>
        <w:rPr/>
      </w:pPr>
      <w:r>
        <w:rPr/>
        <w:t>8 LEDs drive one bit per FUB; the 9th FUB folds into LED[0] via an XOR with the NAND output so both chains reach a top-level port without losing an LED.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A 100 MHz onboard oscillator (board pin </w:t>
      </w:r>
      <w:r>
        <w:rPr>
          <w:b/>
          <w:bCs/>
        </w:rPr>
        <w:t>E3</w:t>
      </w:r>
      <w:r>
        <w:rPr/>
        <w:t xml:space="preserve">) feeds </w:t>
      </w:r>
      <w:r>
        <w:rPr>
          <w:rStyle w:val="VerbatimChar"/>
        </w:rPr>
        <w:t>clk</w:t>
      </w:r>
      <w:r>
        <w:rPr/>
        <w:t>; the CPU_RESETN button (</w:t>
      </w:r>
      <w:r>
        <w:rPr>
          <w:b/>
          <w:bCs/>
        </w:rPr>
        <w:t>C12</w:t>
      </w:r>
      <w:r>
        <w:rPr/>
        <w:t xml:space="preserve">) feeds </w:t>
      </w:r>
      <w:r>
        <w:rPr>
          <w:rStyle w:val="VerbatimChar"/>
        </w:rPr>
        <w:t>rst_n</w:t>
      </w:r>
      <w:r>
        <w:rPr/>
        <w:t>; four switches (</w:t>
      </w:r>
      <w:r>
        <w:rPr>
          <w:b/>
          <w:bCs/>
        </w:rPr>
        <w:t>J15 / L16 / M13 / R15</w:t>
      </w:r>
      <w:r>
        <w:rPr/>
        <w:t>) provide the LFSR seed nibble.</w:t>
      </w:r>
    </w:p>
    <w:p>
      <w:pPr>
        <w:pStyle w:val="FirstParagraph"/>
        <w:rPr/>
      </w:pPr>
      <w:r>
        <w:rPr>
          <w:sz w:val="20"/>
        </w:rPr>
        <w:t>Every chain still reaches an output port, so Vivado optimisation can’t delete anything – the FPGA equivalent of the ASIC scaffold.</w:t>
      </w:r>
    </w:p>
    <w:p>
      <w:pPr>
        <w:pStyle w:val="Normal"/>
        <w:rPr/>
      </w:pPr>
      <w:bookmarkStart w:id="14" w:name="the-harness-on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956_2181334207"/>
      <w:bookmarkStart w:id="16" w:name="the-vivado-flow"/>
      <w:bookmarkEnd w:id="1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3. The Vivado flow</w:t>
      </w:r>
    </w:p>
    <w:p>
      <w:pPr>
        <w:pStyle w:val="FirstParagraph"/>
        <w:rPr/>
      </w:pPr>
      <w:r>
        <w:rPr>
          <w:sz w:val="20"/>
        </w:rPr>
        <w:t xml:space="preserve">The flow lives under </w:t>
      </w:r>
      <w:hyperlink r:id="rId9">
        <w:r>
          <w:rPr>
            <w:rStyle w:val="ListLabel82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, shaped like </w:t>
      </w:r>
      <w:r>
        <w:rPr>
          <w:rStyle w:val="VerbatimChar"/>
          <w:sz w:val="20"/>
        </w:rPr>
        <w:t>stream_characterization/flows-stream-bridge</w:t>
      </w:r>
      <w:r>
        <w:rPr>
          <w:sz w:val="20"/>
        </w:rPr>
        <w:t xml:space="preserve"> (retired):</w:t>
      </w:r>
    </w:p>
    <w:p>
      <w:pPr>
        <w:pStyle w:val="SourceCode"/>
        <w:rPr/>
      </w:pPr>
      <w:r>
        <w:rPr>
          <w:rStyle w:val="VerbatimChar"/>
        </w:rPr>
        <w:t>fpga/</w:t>
      </w:r>
      <w:r>
        <w:rPr/>
        <w:br/>
      </w:r>
      <w:r>
        <w:rPr>
          <w:rStyle w:val="VerbatimChar"/>
        </w:rPr>
        <w:t>├── Makefile                      project | synth | bitstream | program | clean</w:t>
      </w:r>
      <w:r>
        <w:rPr/>
        <w:br/>
      </w:r>
      <w:r>
        <w:rPr>
          <w:rStyle w:val="VerbatimChar"/>
        </w:rPr>
        <w:t>├── rtl/char_top_fpga.sv          thin wrapper around char_top</w:t>
      </w:r>
      <w:r>
        <w:rPr/>
        <w:br/>
      </w:r>
      <w:r>
        <w:rPr>
          <w:rStyle w:val="VerbatimChar"/>
        </w:rPr>
        <w:t>├── constraints/char_top_fpga.xdc Nexys A7-100T pin map + 100 MHz clock</w:t>
      </w:r>
      <w:r>
        <w:rPr/>
        <w:br/>
      </w:r>
      <w:r>
        <w:rPr>
          <w:rStyle w:val="VerbatimChar"/>
        </w:rPr>
        <w:t>└── tcl/</w:t>
      </w:r>
      <w:r>
        <w:rPr/>
        <w:br/>
      </w:r>
      <w:r>
        <w:rPr>
          <w:rStyle w:val="VerbatimChar"/>
        </w:rPr>
        <w:t xml:space="preserve">    ├── create_project.tcl        project gen from rtl/filelists/char_top.f</w:t>
      </w:r>
      <w:r>
        <w:rPr/>
        <w:br/>
      </w:r>
      <w:r>
        <w:rPr>
          <w:rStyle w:val="VerbatimChar"/>
        </w:rPr>
        <w:t xml:space="preserve">    ├── synth_only.tcl            synth + utilization_synth.txt</w:t>
      </w:r>
      <w:r>
        <w:rPr/>
        <w:br/>
      </w:r>
      <w:r>
        <w:rPr>
          <w:rStyle w:val="VerbatimChar"/>
        </w:rPr>
        <w:t xml:space="preserve">    ├── build_all.tcl             synth + impl + bitgen + reports</w:t>
      </w:r>
      <w:r>
        <w:rPr/>
        <w:br/>
      </w:r>
      <w:r>
        <w:rPr>
          <w:rStyle w:val="VerbatimChar"/>
        </w:rPr>
        <w:t xml:space="preserve">    └── (filelist expansion comes from the shared make/tcl/filelist_utils.tcl)</w:t>
      </w:r>
    </w:p>
    <w:p>
      <w:pPr>
        <w:pStyle w:val="FirstParagraph"/>
        <w:rPr/>
      </w:pPr>
      <w:r>
        <w:rPr>
          <w:sz w:val="20"/>
        </w:rPr>
        <w:t xml:space="preserve">Quick start (with </w:t>
      </w:r>
      <w:r>
        <w:rPr>
          <w:rStyle w:val="VerbatimChar"/>
          <w:sz w:val="20"/>
        </w:rPr>
        <w:t>REPO_ROOT</w:t>
      </w:r>
      <w:r>
        <w:rPr>
          <w:sz w:val="20"/>
        </w:rPr>
        <w:t xml:space="preserve"> exported via the repo’s </w:t>
      </w:r>
      <w:r>
        <w:rPr>
          <w:rStyle w:val="VerbatimChar"/>
          <w:sz w:val="20"/>
        </w:rPr>
        <w:t>env_python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projects/asic-trials/timing_characterization/fpga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help            </w:t>
      </w:r>
      <w:r>
        <w:rPr>
          <w:rStyle w:val="CommentTok"/>
        </w:rPr>
        <w:t># see all targets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synth           </w:t>
      </w:r>
      <w:r>
        <w:rPr>
          <w:rStyle w:val="CommentTok"/>
        </w:rPr>
        <w:t># ~2 min, posts utilization + post-synth timing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</w:t>
      </w:r>
      <w:r>
        <w:rPr>
          <w:rStyle w:val="CommentTok"/>
        </w:rPr>
        <w:t># ~10-30 min, full flow + all reports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utilization     </w:t>
      </w:r>
      <w:r>
        <w:rPr>
          <w:rStyle w:val="CommentTok"/>
        </w:rPr>
        <w:t># cat the latest utilization report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timing          </w:t>
      </w:r>
      <w:r>
        <w:rPr>
          <w:rStyle w:val="CommentTok"/>
        </w:rPr>
        <w:t># cat the latest post-route timing summary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</w:t>
      </w:r>
      <w:r>
        <w:rPr>
          <w:rStyle w:val="CommentTok"/>
        </w:rPr>
        <w:t># flash if board is plugged in</w:t>
      </w:r>
    </w:p>
    <w:p>
      <w:pPr>
        <w:pStyle w:val="FirstParagraph"/>
        <w:rPr/>
      </w:pPr>
      <w:r>
        <w:rPr>
          <w:sz w:val="20"/>
        </w:rPr>
        <w:t xml:space="preserve">Reports land under </w:t>
      </w:r>
      <w:r>
        <w:rPr>
          <w:rStyle w:val="VerbatimChar"/>
          <w:sz w:val="20"/>
        </w:rPr>
        <w:t>fpga/reports/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utilization_synth.txt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post-synth LUT/FF/BRAM/DSP totals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utilization_impl.txt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same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timing_summary.txt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per-path-group WNS, the calibration source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timing_worst.txt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50 worst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Vivado’s power estimate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bitstream itself lands at </w:t>
      </w:r>
      <w:r>
        <w:rPr>
          <w:rStyle w:val="VerbatimChar"/>
          <w:sz w:val="20"/>
        </w:rPr>
        <w:t>fpga/bitstream/timing_char.bit</w:t>
      </w:r>
      <w:r>
        <w:rPr>
          <w:sz w:val="20"/>
        </w:rPr>
        <w:t>.</w:t>
      </w:r>
    </w:p>
    <w:p>
      <w:pPr>
        <w:pStyle w:val="Normal"/>
        <w:rPr/>
      </w:pPr>
      <w:bookmarkStart w:id="17" w:name="the-vivado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958_2181334207"/>
      <w:bookmarkStart w:id="19" w:name="the-spreadsheet"/>
      <w:bookmarkEnd w:id="18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4. The spreadsheet</w:t>
      </w:r>
    </w:p>
    <w:p>
      <w:pPr>
        <w:pStyle w:val="FirstParagraph"/>
        <w:rPr/>
      </w:pPr>
      <w:hyperlink r:id="rId10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 is structured exactly like the ASIC companion. Two sheets:</w:t>
      </w:r>
    </w:p>
    <w:p>
      <w:pPr>
        <w:pStyle w:val="Heading3"/>
        <w:spacing w:before="200" w:after="80"/>
        <w:rPr/>
      </w:pPr>
      <w:bookmarkStart w:id="20" w:name="__RefHeading___Toc1960_2181334207"/>
      <w:bookmarkStart w:id="21" w:name="characterization"/>
      <w:bookmarkEnd w:id="20"/>
      <w:r>
        <w:rPr>
          <w:rStyle w:val="SectionNumber"/>
          <w:b/>
          <w:color w:val="404040"/>
          <w:sz w:val="24"/>
        </w:rPr>
        <w:t>2.5.1</w:t>
      </w:r>
      <w:r>
        <w:rPr>
          <w:b/>
          <w:color w:val="404040"/>
          <w:sz w:val="24"/>
        </w:rPr>
        <w:tab/>
        <w:t xml:space="preserve">4.1 </w:t>
      </w:r>
      <w:r>
        <w:rPr>
          <w:rStyle w:val="VerbatimChar"/>
          <w:b/>
          <w:color w:val="404040"/>
          <w:sz w:val="24"/>
        </w:rPr>
        <w:t>characterization</w:t>
      </w:r>
    </w:p>
    <w:p>
      <w:pPr>
        <w:pStyle w:val="FirstParagraph"/>
        <w:rPr/>
      </w:pPr>
      <w:r>
        <w:rPr>
          <w:sz w:val="20"/>
        </w:rPr>
        <w:t>Per-primitive ps-per-level rows for the seven primitives that scale with chain depth (LUT6, MUXF7, MUXF8, CARRY4, DSP48, LUTRAM, SRL), plus a single-point reference for BRAM access time. Speed grades -1 / -2 / -3 across the five-frequency sweep (100 / 150 / 200 / 250 / 300 MHz).</w:t>
      </w:r>
    </w:p>
    <w:p>
      <w:pPr>
        <w:pStyle w:val="BodyText"/>
        <w:rPr/>
      </w:pPr>
      <w:r>
        <w:rPr>
          <w:sz w:val="20"/>
        </w:rPr>
        <w:t>Sample TT-like numbers (Artix-7 -1 ballparks):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per-level ps (-1)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single-LUT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F7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F8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CIN -&gt; COUT (dedicated chain)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PROXY for mixed-bag logic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read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SRL16 / SRL32 shift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(ref)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RAMB36 sync read, 1-cycle</w:t>
            </w:r>
          </w:p>
        </w:tc>
      </w:tr>
    </w:tbl>
    <w:p>
      <w:pPr>
        <w:pStyle w:val="BodyText"/>
        <w:rPr/>
      </w:pPr>
      <w:r>
        <w:rPr>
          <w:sz w:val="20"/>
        </w:rPr>
        <w:t>Tflop (FDRE Tcq + Tsu): 400 ps at -1, 340 ps at -2, 280 ps at -3.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Design clocks table</w:t>
      </w:r>
      <w:r>
        <w:rPr>
          <w:sz w:val="20"/>
        </w:rPr>
        <w:t xml:space="preserve"> at the bottom is the single planning point. One row per clock the design uses: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 name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 (MHz)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sg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 60%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 40%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wire/hop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clk_main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sg-1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(5 empty slots)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bookmarkStart w:id="22" w:name="characterization"/>
      <w:r>
        <w:rPr>
          <w:sz w:val="20"/>
        </w:rPr>
        <w:t>Yellow cells are editable; everything else derives. The “wire/hop” column defaults higher than the ASIC sheet (200 ps -1) because FPGA routing dominates timing more than ASIC standard-cell routing.</w:t>
      </w:r>
      <w:bookmarkEnd w:id="22"/>
    </w:p>
    <w:p>
      <w:pPr>
        <w:pStyle w:val="Heading3"/>
        <w:spacing w:before="200" w:after="80"/>
        <w:rPr/>
      </w:pPr>
      <w:bookmarkStart w:id="23" w:name="__RefHeading___Toc1962_2181334207"/>
      <w:bookmarkStart w:id="24" w:name="building-blocks"/>
      <w:bookmarkEnd w:id="23"/>
      <w:r>
        <w:rPr>
          <w:rStyle w:val="SectionNumber"/>
          <w:b/>
          <w:color w:val="404040"/>
          <w:sz w:val="24"/>
        </w:rPr>
        <w:t>2.5.2</w:t>
      </w:r>
      <w:r>
        <w:rPr>
          <w:b/>
          <w:color w:val="404040"/>
          <w:sz w:val="24"/>
        </w:rPr>
        <w:tab/>
        <w:t xml:space="preserve">4.2 </w:t>
      </w:r>
      <w:r>
        <w:rPr>
          <w:rStyle w:val="VerbatimChar"/>
          <w:b/>
          <w:color w:val="404040"/>
          <w:sz w:val="24"/>
        </w:rPr>
        <w:t>building blocks</w:t>
      </w:r>
    </w:p>
    <w:p>
      <w:pPr>
        <w:pStyle w:val="FirstParagraph"/>
        <w:rPr/>
      </w:pPr>
      <w:r>
        <w:rPr>
          <w:sz w:val="20"/>
        </w:rPr>
        <w:t>One row per reusable RTL block, with editable params and corner-aware target columns: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gaxi_skid_buffer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gaxi_fifo_sync (REG=0)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</w:rPr>
        <w:t>gaxi_fifo_sync (REG=1, BRAM-backed)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arbiter_round_robin</w:t>
      </w:r>
    </w:p>
    <w:p>
      <w:pPr>
        <w:pStyle w:val="Compact"/>
        <w:numPr>
          <w:ilvl w:val="0"/>
          <w:numId w:val="17"/>
        </w:numPr>
        <w:rPr/>
      </w:pPr>
      <w:r>
        <w:rPr>
          <w:rStyle w:val="VerbatimChar"/>
        </w:rPr>
        <w:t>axi4_master_rd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</w:rPr>
        <w:t>axi4_master_wr</w:t>
      </w:r>
    </w:p>
    <w:p>
      <w:pPr>
        <w:pStyle w:val="Compact"/>
        <w:numPr>
          <w:ilvl w:val="0"/>
          <w:numId w:val="19"/>
        </w:numPr>
        <w:rPr/>
      </w:pPr>
      <w:r>
        <w:rPr>
          <w:rStyle w:val="VerbatimChar"/>
        </w:rPr>
        <w:t>BRAM (raw RAMB36)</w:t>
      </w:r>
    </w:p>
    <w:p>
      <w:pPr>
        <w:pStyle w:val="FirstParagraph"/>
        <w:rPr/>
      </w:pPr>
      <w:r>
        <w:rPr>
          <w:sz w:val="20"/>
        </w:rPr>
        <w:t xml:space="preserve">Each row’s slack cell pulls from the Design clocks table via VLOOKUP – change </w:t>
      </w:r>
      <w:r>
        <w:rPr>
          <w:rStyle w:val="VerbatimChar"/>
          <w:sz w:val="20"/>
        </w:rPr>
        <w:t>clk_main</w:t>
      </w:r>
      <w:r>
        <w:rPr>
          <w:sz w:val="20"/>
        </w:rPr>
        <w:t xml:space="preserve">’s freq or speed grade and slack flips per block. Negative slack renders </w:t>
      </w:r>
      <w:r>
        <w:rPr>
          <w:b/>
          <w:bCs/>
          <w:sz w:val="20"/>
        </w:rPr>
        <w:t>bold red</w:t>
      </w:r>
      <w:r>
        <w:rPr>
          <w:sz w:val="20"/>
        </w:rPr>
        <w:t>, three-decimal precision (</w:t>
      </w:r>
      <w:r>
        <w:rPr>
          <w:rStyle w:val="VerbatimChar"/>
          <w:sz w:val="20"/>
        </w:rPr>
        <w:t>0.000</w:t>
      </w:r>
      <w:r>
        <w:rPr>
          <w:sz w:val="20"/>
        </w:rPr>
        <w:t>).</w:t>
      </w:r>
    </w:p>
    <w:p>
      <w:pPr>
        <w:pStyle w:val="Normal"/>
        <w:rPr/>
      </w:pPr>
      <w:bookmarkStart w:id="25" w:name="the-spreadsheet"/>
      <w:bookmarkStart w:id="26" w:name="building-blo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1964_2181334207"/>
      <w:bookmarkStart w:id="28" w:name="the-validation-loop"/>
      <w:bookmarkEnd w:id="27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5. The validation loop</w:t>
      </w:r>
    </w:p>
    <w:p>
      <w:pPr>
        <w:pStyle w:val="FirstParagraph"/>
        <w:rPr/>
      </w:pPr>
      <w:r>
        <w:rPr>
          <w:sz w:val="20"/>
        </w:rPr>
        <w:t xml:space="preserve">The ASIC paper has STA as the ground truth – Yosys + ABC + OpenSTA and the delay numbers come out of </w:t>
      </w:r>
      <w:r>
        <w:rPr>
          <w:rStyle w:val="VerbatimChar"/>
          <w:sz w:val="20"/>
        </w:rPr>
        <w:t>stime -c</w:t>
      </w:r>
      <w:r>
        <w:rPr>
          <w:sz w:val="20"/>
        </w:rPr>
        <w:t xml:space="preserve">. On FPGA the equivalent is Vivado’s post-route </w:t>
      </w:r>
      <w:r>
        <w:rPr>
          <w:rStyle w:val="VerbatimChar"/>
          <w:sz w:val="20"/>
        </w:rPr>
        <w:t>report_timing_summary</w:t>
      </w:r>
      <w:r>
        <w:rPr>
          <w:sz w:val="20"/>
        </w:rPr>
        <w:t xml:space="preserve">, which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already emits. The on-board sanity check that “does the spreadsheet match what the chip actually does at this clock?” is the </w:t>
      </w:r>
      <w:r>
        <w:rPr>
          <w:b/>
          <w:bCs/>
          <w:sz w:val="20"/>
        </w:rPr>
        <w:t>MMCM sweep</w:t>
      </w:r>
      <w:r>
        <w:rPr>
          <w:sz w:val="20"/>
        </w:rPr>
        <w:t>:</w:t>
      </w:r>
    </w:p>
    <w:p>
      <w:pPr>
        <w:pStyle w:val="BlockText"/>
        <w:rPr/>
      </w:pPr>
      <w:r>
        <w:rPr>
          <w:b/>
          <w:bCs/>
        </w:rPr>
        <w:t>Honest assessment up front.</w:t>
      </w:r>
      <w:r>
        <w:rPr/>
        <w:t xml:space="preserve"> On Artix-7 at the frequencies in this sweep (100–300 MHz), the FUBs are small enough that Vivado’s STA is generally trustworthy, and the simpler </w:t>
      </w:r>
      <w:r>
        <w:rPr>
          <w:rStyle w:val="VerbatimChar"/>
        </w:rPr>
        <w:t>bitstream-sweep</w:t>
      </w:r>
      <w:r>
        <w:rPr/>
        <w:t xml:space="preserve"> target (§5.6) gives you everything you need to calibrate the spreadsheet. The MMCM sweep adds little beyond that – it only earns its keep on the rare outlier path where STA mis-modelled the delay and silicon disagrees. Keep it as the “is it real?” gut check; do not treat it as the headline calibration loop. Most users should reach for </w:t>
      </w:r>
      <w:r>
        <w:rPr>
          <w:rStyle w:val="VerbatimChar"/>
        </w:rPr>
        <w:t>make bitstream-sweep</w:t>
      </w:r>
      <w:r>
        <w:rPr/>
        <w:t xml:space="preserve">, not </w:t>
      </w:r>
      <w:r>
        <w:rPr>
          <w:rStyle w:val="VerbatimChar"/>
        </w:rPr>
        <w:t>make bitstream-mmcm</w:t>
      </w:r>
      <w:r>
        <w:rPr/>
        <w:t>.</w:t>
      </w:r>
    </w:p>
    <w:p>
      <w:pPr>
        <w:pStyle w:val="Heading3"/>
        <w:spacing w:before="200" w:after="80"/>
        <w:rPr/>
      </w:pPr>
      <w:bookmarkStart w:id="29" w:name="__RefHeading___Toc1966_2181334207"/>
      <w:bookmarkStart w:id="30" w:name="wrapper"/>
      <w:bookmarkEnd w:id="2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5.1 Wrapper</w:t>
      </w:r>
    </w:p>
    <w:p>
      <w:pPr>
        <w:pStyle w:val="FirstParagraph"/>
        <w:rPr/>
      </w:pPr>
      <w:hyperlink r:id="rId11">
        <w:r>
          <w:rPr>
            <w:rStyle w:val="ListLabel82"/>
            <w:rFonts w:ascii="Consolas" w:hAnsi="Consolas"/>
            <w:sz w:val="22"/>
            <w:sz w:val="22"/>
          </w:rPr>
          <w:t>fpga/rtl/char_top_fpga_mmcm.sv</w:t>
        </w:r>
      </w:hyperlink>
      <w:r>
        <w:rPr>
          <w:sz w:val="20"/>
        </w:rPr>
        <w:t xml:space="preserve"> wraps an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primitive with a VCO running at 1200 MHz, exposing four test clocks to four parallel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instances: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divide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freq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MHz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instance gets the same LFSR seed nibble from </w:t>
      </w:r>
      <w:r>
        <w:rPr>
          <w:rStyle w:val="VerbatimChar"/>
          <w:sz w:val="20"/>
        </w:rPr>
        <w:t>SW[1:0]</w:t>
      </w:r>
      <w:r>
        <w:rPr>
          <w:sz w:val="20"/>
        </w:rPr>
        <w:t>, so all four domains are doing the same work – just at different clocks. Per-domain reset is held until the MMCM locks, then released through a 2-flop synchroniser into each test clock.</w:t>
      </w:r>
      <w:bookmarkEnd w:id="30"/>
    </w:p>
    <w:p>
      <w:pPr>
        <w:pStyle w:val="Heading3"/>
        <w:spacing w:before="200" w:after="80"/>
        <w:rPr/>
      </w:pPr>
      <w:bookmarkStart w:id="31" w:name="__RefHeading___Toc1968_2181334207"/>
      <w:bookmarkStart w:id="32" w:name="signature-accumulator"/>
      <w:bookmarkEnd w:id="3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5.2 Signature accumulator</w:t>
      </w:r>
    </w:p>
    <w:p>
      <w:pPr>
        <w:pStyle w:val="FirstParagraph"/>
        <w:rPr/>
      </w:pPr>
      <w:hyperlink r:id="rId12">
        <w:r>
          <w:rPr>
            <w:rStyle w:val="ListLabel82"/>
            <w:rFonts w:ascii="Consolas" w:hAnsi="Consolas"/>
            <w:sz w:val="22"/>
            <w:sz w:val="22"/>
          </w:rPr>
          <w:t>fpga/rtl/sig_accum.sv</w:t>
        </w:r>
      </w:hyperlink>
      <w:r>
        <w:rPr>
          <w:sz w:val="20"/>
        </w:rPr>
        <w:t xml:space="preserve"> folds every char_top output bus (207 bits worth – nand, inverter, xor, carry, mult, mux, queue, clk_div, gray) into a 32-bit XOR signature in the source domain. A free-running snapshot register updates every 2^16 source-clock cycles and the value crosses into the 100 MHz observation domain via a 2-flop CDC synchroniser (Xilinx </w:t>
      </w:r>
      <w:r>
        <w:rPr>
          <w:rStyle w:val="VerbatimChar"/>
          <w:sz w:val="20"/>
        </w:rPr>
        <w:t>ASYNC_REG = "TRUE"</w:t>
      </w:r>
      <w:r>
        <w:rPr>
          <w:sz w:val="20"/>
        </w:rPr>
        <w:t xml:space="preserve"> attributes preserve the metastability margin).</w:t>
      </w:r>
      <w:bookmarkEnd w:id="32"/>
    </w:p>
    <w:p>
      <w:pPr>
        <w:pStyle w:val="Heading3"/>
        <w:spacing w:before="200" w:after="80"/>
        <w:rPr/>
      </w:pPr>
      <w:bookmarkStart w:id="33" w:name="__RefHeading___Toc1970_2181334207"/>
      <w:bookmarkStart w:id="34" w:name="on-board-observation"/>
      <w:bookmarkEnd w:id="3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5.3 On-board observation</w:t>
      </w:r>
    </w:p>
    <w:p>
      <w:pPr>
        <w:pStyle w:val="FirstParagraph"/>
        <w:rPr/>
      </w:pPr>
      <w:r>
        <w:rPr>
          <w:sz w:val="20"/>
        </w:rPr>
        <w:t>Eight user LEDs show: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LED[0]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clk_test_0 (150 MHz) signature changed since last snapshot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LED[1]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clk_test_1 (200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LED[2]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clk_test_2 (240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LED[3]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clk_test_3 (300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LED[7:4]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lower 4 bits of the signature for the selected clock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SW[3:2]</w:t>
      </w:r>
      <w:r>
        <w:rPr>
          <w:sz w:val="20"/>
        </w:rPr>
        <w:t xml:space="preserve"> selects which domain drives </w:t>
      </w:r>
      <w:r>
        <w:rPr>
          <w:rStyle w:val="VerbatimChar"/>
          <w:sz w:val="20"/>
        </w:rPr>
        <w:t>LED[7:4]</w:t>
      </w:r>
      <w:r>
        <w:rPr>
          <w:sz w:val="20"/>
        </w:rPr>
        <w:t xml:space="preserve"> for closer inspection.</w:t>
      </w:r>
    </w:p>
    <w:p>
      <w:pPr>
        <w:pStyle w:val="BodyText"/>
        <w:rPr/>
      </w:pPr>
      <w:bookmarkStart w:id="35" w:name="on-board-observation"/>
      <w:r>
        <w:rPr>
          <w:sz w:val="20"/>
        </w:rPr>
        <w:t>A failing clock domain’s signature freezes (LED stays solid one way or the other instead of flickering at a few Hz), so a quick glance at LED[3:0] tells you which test clocks the chip is keeping up with.</w:t>
      </w:r>
      <w:bookmarkEnd w:id="35"/>
    </w:p>
    <w:p>
      <w:pPr>
        <w:pStyle w:val="Heading3"/>
        <w:spacing w:before="200" w:after="80"/>
        <w:rPr/>
      </w:pPr>
      <w:bookmarkStart w:id="36" w:name="__RefHeading___Toc1972_2181334207"/>
      <w:bookmarkStart w:id="37" w:name="vivado-sta-contract"/>
      <w:bookmarkEnd w:id="36"/>
      <w:r>
        <w:rPr>
          <w:rStyle w:val="SectionNumber"/>
          <w:b/>
          <w:color w:val="404040"/>
          <w:sz w:val="24"/>
        </w:rPr>
        <w:t>2.6.4</w:t>
      </w:r>
      <w:r>
        <w:rPr>
          <w:b/>
          <w:color w:val="404040"/>
          <w:sz w:val="24"/>
        </w:rPr>
        <w:tab/>
        <w:t>5.4 Vivado STA contract</w:t>
      </w:r>
    </w:p>
    <w:p>
      <w:pPr>
        <w:pStyle w:val="FirstParagraph"/>
        <w:rPr/>
      </w:pPr>
      <w:r>
        <w:rPr>
          <w:rStyle w:val="VerbatimChar"/>
          <w:sz w:val="20"/>
        </w:rPr>
        <w:t>fpga/constraints/char_top_fpga_mmcm.xdc</w:t>
      </w:r>
      <w:r>
        <w:rPr>
          <w:sz w:val="20"/>
        </w:rPr>
        <w:t xml:space="preserve"> declares each MMCM output as a generated clock and groups them as asynchronous to the 100 MHz observation clock, so </w:t>
      </w:r>
      <w:r>
        <w:rPr>
          <w:rStyle w:val="VerbatimChar"/>
          <w:sz w:val="20"/>
        </w:rPr>
        <w:t>make bitstream-mmcm</w:t>
      </w:r>
      <w:r>
        <w:rPr>
          <w:sz w:val="20"/>
        </w:rPr>
        <w:t xml:space="preserve"> produces a </w:t>
      </w:r>
      <w:r>
        <w:rPr>
          <w:rStyle w:val="VerbatimChar"/>
          <w:sz w:val="20"/>
        </w:rPr>
        <w:t>timing_summary.txt</w:t>
      </w:r>
      <w:r>
        <w:rPr>
          <w:sz w:val="20"/>
        </w:rPr>
        <w:t xml:space="preserve"> with one WNS row per </w:t>
      </w:r>
      <w:r>
        <w:rPr>
          <w:rStyle w:val="VerbatimChar"/>
          <w:sz w:val="20"/>
        </w:rPr>
        <w:t>clk_test_N</w:t>
      </w:r>
      <w:r>
        <w:rPr>
          <w:sz w:val="20"/>
        </w:rPr>
        <w:t xml:space="preserve"> group. Those WNS numbers are the calibration source: feed them back into </w:t>
      </w:r>
      <w:r>
        <w:rPr>
          <w:rStyle w:val="VerbatimChar"/>
          <w:sz w:val="20"/>
        </w:rPr>
        <w:t>work/build_fpga_characterization_xlsx.py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 and regenerate the workbook.</w:t>
      </w:r>
      <w:bookmarkEnd w:id="37"/>
    </w:p>
    <w:p>
      <w:pPr>
        <w:pStyle w:val="Heading3"/>
        <w:spacing w:before="200" w:after="80"/>
        <w:rPr/>
      </w:pPr>
      <w:bookmarkStart w:id="38" w:name="__RefHeading___Toc1974_2181334207"/>
      <w:bookmarkStart w:id="39" w:name="quick-command"/>
      <w:bookmarkEnd w:id="38"/>
      <w:r>
        <w:rPr>
          <w:rStyle w:val="SectionNumber"/>
          <w:b/>
          <w:color w:val="404040"/>
          <w:sz w:val="24"/>
        </w:rPr>
        <w:t>2.6.5</w:t>
      </w:r>
      <w:r>
        <w:rPr>
          <w:b/>
          <w:color w:val="404040"/>
          <w:sz w:val="24"/>
        </w:rPr>
        <w:tab/>
        <w:t>5.5 Quick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projects/asic-trials/timing_characterization/fpga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bitstream-mmcm   </w:t>
      </w:r>
      <w:r>
        <w:rPr>
          <w:rStyle w:val="CommentTok"/>
        </w:rPr>
        <w:t># builds char_top_fpga_mmcm with 4 test clocks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 </w:t>
      </w:r>
      <w:r>
        <w:rPr>
          <w:rStyle w:val="CommentTok"/>
        </w:rPr>
        <w:t># flash the board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># watch LED[3:0] for clock-domain liveness</w:t>
      </w:r>
      <w:bookmarkEnd w:id="39"/>
    </w:p>
    <w:p>
      <w:pPr>
        <w:pStyle w:val="Heading3"/>
        <w:spacing w:before="200" w:after="80"/>
        <w:rPr/>
      </w:pPr>
      <w:bookmarkStart w:id="40" w:name="__RefHeading___Toc1976_2181334207"/>
      <w:bookmarkStart w:id="41" w:name="the-simpler-sweep-when-sta-is-enough"/>
      <w:bookmarkEnd w:id="40"/>
      <w:r>
        <w:rPr>
          <w:rStyle w:val="SectionNumber"/>
          <w:b/>
          <w:color w:val="404040"/>
          <w:sz w:val="24"/>
        </w:rPr>
        <w:t>2.6.6</w:t>
      </w:r>
      <w:r>
        <w:rPr>
          <w:b/>
          <w:color w:val="404040"/>
          <w:sz w:val="24"/>
        </w:rPr>
        <w:tab/>
        <w:t>5.6 The simpler sweep – when STA is enough</w:t>
      </w:r>
    </w:p>
    <w:p>
      <w:pPr>
        <w:pStyle w:val="FirstParagraph"/>
        <w:rPr/>
      </w:pPr>
      <w:r>
        <w:rPr>
          <w:sz w:val="20"/>
        </w:rPr>
        <w:t xml:space="preserve">The MMCM build is only worth the extra silicon when you want to </w:t>
      </w:r>
      <w:r>
        <w:rPr>
          <w:b/>
          <w:bCs/>
          <w:sz w:val="20"/>
        </w:rPr>
        <w:t>observe on-chip behaviour</w:t>
      </w:r>
      <w:r>
        <w:rPr>
          <w:sz w:val="20"/>
        </w:rPr>
        <w:t xml:space="preserve"> at multiple clocks from one bitstream. If you only need Vivado’s STA opinion to feed the spreadsheet, the simpler flow is the </w:t>
      </w:r>
      <w:r>
        <w:rPr>
          <w:rStyle w:val="VerbatimChar"/>
          <w:sz w:val="20"/>
        </w:rPr>
        <w:t>bitstream-sweep</w:t>
      </w:r>
      <w:r>
        <w:rPr>
          <w:sz w:val="20"/>
        </w:rPr>
        <w:t xml:space="preserve"> target – it loops the regular </w:t>
      </w:r>
      <w:r>
        <w:rPr>
          <w:rStyle w:val="VerbatimChar"/>
          <w:sz w:val="20"/>
        </w:rPr>
        <w:t>char_top_fpga</w:t>
      </w:r>
      <w:r>
        <w:rPr>
          <w:sz w:val="20"/>
        </w:rPr>
        <w:t xml:space="preserve"> wrapper across a list of target periods, archives each run’s reports under </w:t>
      </w:r>
      <w:r>
        <w:rPr>
          <w:rStyle w:val="VerbatimChar"/>
          <w:sz w:val="20"/>
        </w:rPr>
        <w:t>reports/sweep_&lt;F&gt;MHz/</w:t>
      </w:r>
      <w:r>
        <w:rPr>
          <w:sz w:val="20"/>
        </w:rPr>
        <w:t xml:space="preserve">, and rolls per-clock-group WNS into a single </w:t>
      </w:r>
      <w:r>
        <w:rPr>
          <w:rStyle w:val="VerbatimChar"/>
          <w:sz w:val="20"/>
        </w:rPr>
        <w:t>reports/sweep_wns.csv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bitstream-sweep FREQS_MHZ=</w:t>
      </w:r>
      <w:r>
        <w:rPr>
          <w:rStyle w:val="StringTok"/>
        </w:rPr>
        <w:t>"100 150 200 250 300"</w:t>
      </w:r>
      <w:r>
        <w:rPr/>
        <w:br/>
      </w:r>
      <w:r>
        <w:rPr>
          <w:rStyle w:val="CommentTok"/>
        </w:rPr>
        <w:t># ... runs N back-to-back full builds ...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reports/sweep_wns.csv</w:t>
      </w:r>
    </w:p>
    <w:p>
      <w:pPr>
        <w:pStyle w:val="FirstParagraph"/>
        <w:rPr/>
      </w:pPr>
      <w:r>
        <w:rPr>
          <w:sz w:val="20"/>
        </w:rPr>
        <w:t xml:space="preserve">CSV columns: </w:t>
      </w:r>
      <w:r>
        <w:rPr>
          <w:rStyle w:val="VerbatimChar"/>
          <w:sz w:val="20"/>
        </w:rPr>
        <w:t>freq_mhz, period_ns, group, wns_ns, slack_status, utilization_luts, utilization_ffs, utilization_brams, utilization_dsps, data_delay_ns, logic_levels</w:t>
      </w:r>
      <w:r>
        <w:rPr>
          <w:sz w:val="20"/>
        </w:rPr>
        <w:t xml:space="preserve"> (the last two are filled by the Quartus sweep below and empty here). That’s the direct input to recalibrating </w:t>
      </w:r>
      <w:hyperlink r:id="rId13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dict.</w:t>
      </w:r>
    </w:p>
    <w:p>
      <w:pPr>
        <w:pStyle w:val="BodyText"/>
        <w:rPr/>
      </w:pPr>
      <w:r>
        <w:rPr>
          <w:sz w:val="20"/>
        </w:rPr>
        <w:t xml:space="preserve">Under the hood it’s just a </w:t>
      </w:r>
      <w:r>
        <w:rPr>
          <w:rStyle w:val="VerbatimChar"/>
          <w:sz w:val="20"/>
        </w:rPr>
        <w:t>TARGET_PERIOD_NS</w:t>
      </w:r>
      <w:r>
        <w:rPr>
          <w:sz w:val="20"/>
        </w:rPr>
        <w:t xml:space="preserve"> env var that </w:t>
      </w:r>
      <w:hyperlink r:id="rId14">
        <w:r>
          <w:rPr>
            <w:rStyle w:val="ListLabel82"/>
            <w:rFonts w:ascii="Consolas" w:hAnsi="Consolas"/>
            <w:sz w:val="22"/>
            <w:sz w:val="22"/>
          </w:rPr>
          <w:t>fpga/tcl/clock_constraint.tcl</w:t>
        </w:r>
      </w:hyperlink>
      <w:r>
        <w:rPr>
          <w:sz w:val="20"/>
        </w:rPr>
        <w:t xml:space="preserve"> reads at project-creation time and bakes into a fresh XDC fragment. No MMCM, no sig_accum, no on-chip behaviour – pure post-route Vivado STA.</w:t>
      </w:r>
      <w:bookmarkEnd w:id="41"/>
    </w:p>
    <w:p>
      <w:pPr>
        <w:pStyle w:val="Heading3"/>
        <w:spacing w:before="200" w:after="80"/>
        <w:rPr/>
      </w:pPr>
      <w:bookmarkStart w:id="42" w:name="__RefHeading___Toc1978_2181334207"/>
      <w:bookmarkStart w:id="43" w:name="a-the-same-sweep-on-quartus-cyclone-v"/>
      <w:bookmarkEnd w:id="42"/>
      <w:r>
        <w:rPr>
          <w:rStyle w:val="SectionNumber"/>
          <w:b/>
          <w:color w:val="404040"/>
          <w:sz w:val="24"/>
        </w:rPr>
        <w:t>2.6.7</w:t>
      </w:r>
      <w:r>
        <w:rPr>
          <w:b/>
          <w:color w:val="404040"/>
          <w:sz w:val="24"/>
        </w:rPr>
        <w:tab/>
        <w:t>5.6a The same sweep on Quartus (Cyclone V)</w:t>
      </w:r>
    </w:p>
    <w:p>
      <w:pPr>
        <w:pStyle w:val="FirstParagraph"/>
        <w:rPr/>
      </w:pPr>
      <w:r>
        <w:rPr>
          <w:rStyle w:val="VerbatimChar"/>
          <w:sz w:val="20"/>
        </w:rPr>
        <w:t>make quartus-sweep</w:t>
      </w:r>
      <w:r>
        <w:rPr>
          <w:sz w:val="20"/>
        </w:rPr>
        <w:t xml:space="preserve"> is the Quartus twin (timing_characterization TASK-001, 2026-09-29). It compiles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itself – not a board wrapper – once per frequency on the device named in a config file, with the SAME multi-flow SDC the ASIC and Vivado flows use (</w:t>
      </w:r>
      <w:r>
        <w:rPr>
          <w:rStyle w:val="VerbatimChar"/>
          <w:sz w:val="20"/>
        </w:rPr>
        <w:t>rtl/syn/char_top.sdc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FLOW "quartus"</w:t>
      </w:r>
      <w:r>
        <w:rPr>
          <w:sz w:val="20"/>
        </w:rPr>
        <w:t>), so the three flows measure one constraint: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quartus-sweep QUARTUS_SH=~/intelFPGA_lite/24.1std/quartus/bin/quartus_sh</w:t>
      </w:r>
      <w:r>
        <w:rPr/>
        <w:br/>
      </w:r>
      <w:r>
        <w:rPr>
          <w:rStyle w:val="CommentTok"/>
        </w:rPr>
        <w:t>#   QUARTUS_CFG=quartus/sweep_config.example.tcl   (device, I/O split, parameters)</w:t>
      </w:r>
      <w:r>
        <w:rPr/>
        <w:br/>
      </w:r>
      <w:r>
        <w:rPr>
          <w:rStyle w:val="CommentTok"/>
        </w:rPr>
        <w:t>#   FREQS_MHZ="100 150 200 250 300"                (same default list as bitstream-sweep)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quartus-sweep-dry   </w:t>
      </w:r>
      <w:r>
        <w:rPr>
          <w:rStyle w:val="CommentTok"/>
        </w:rPr>
        <w:t># print the plan under plain tclsh, compile nothing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reports/quartus/sweep_wns.csv</w:t>
      </w:r>
    </w:p>
    <w:p>
      <w:pPr>
        <w:pStyle w:val="FirstParagraph"/>
        <w:rPr/>
      </w:pPr>
      <w:r>
        <w:rPr>
          <w:sz w:val="20"/>
        </w:rPr>
        <w:t xml:space="preserve">Each point is a fresh project under </w:t>
      </w:r>
      <w:r>
        <w:rPr>
          <w:rStyle w:val="VerbatimChar"/>
          <w:sz w:val="20"/>
        </w:rPr>
        <w:t>build/quartus/&lt;F&gt;MHz/</w:t>
      </w:r>
      <w:r>
        <w:rPr>
          <w:sz w:val="20"/>
        </w:rPr>
        <w:t xml:space="preserve"> (map, fit, STA; no assembler, ~90 s on a Cyclone V GX for the full char_top). Two things the Vivado sweep does not give you land in </w:t>
      </w:r>
      <w:r>
        <w:rPr>
          <w:rStyle w:val="VerbatimChar"/>
          <w:sz w:val="20"/>
        </w:rPr>
        <w:t>reports/quartus/sweep_&lt;F&gt;MHz/</w:t>
      </w:r>
      <w:r>
        <w:rPr>
          <w:sz w:val="20"/>
        </w:rPr>
        <w:t>:</w:t>
      </w:r>
    </w:p>
    <w:p>
      <w:pPr>
        <w:pStyle w:val="Compact"/>
        <w:numPr>
          <w:ilvl w:val="0"/>
          <w:numId w:val="20"/>
        </w:numPr>
        <w:rPr/>
      </w:pPr>
      <w:r>
        <w:rPr>
          <w:rStyle w:val="VerbatimChar"/>
          <w:b/>
          <w:bCs/>
        </w:rPr>
        <w:t>fub_slack.csv</w:t>
      </w:r>
      <w:r>
        <w:rPr/>
        <w:t xml:space="preserve"> from </w:t>
      </w:r>
      <w:hyperlink r:id="rId15">
        <w:r>
          <w:rPr>
            <w:rStyle w:val="ListLabel82"/>
            <w:rFonts w:ascii="Consolas" w:hAnsi="Consolas"/>
            <w:sz w:val="22"/>
            <w:sz w:val="22"/>
          </w:rPr>
          <w:t>fpga/quartus/sta_reports.tcl</w:t>
        </w:r>
      </w:hyperlink>
      <w:r>
        <w:rPr/>
        <w:t xml:space="preserve">: for every FUB the worst register-to-register setup path launched from its flops – slack, data-path delay and </w:t>
      </w:r>
      <w:r>
        <w:rPr>
          <w:b/>
          <w:bCs/>
        </w:rPr>
        <w:t>logic levels</w:t>
      </w:r>
      <w:r>
        <w:rPr/>
        <w:t xml:space="preserve"> – plus a </w:t>
      </w:r>
      <w:r>
        <w:rPr>
          <w:rStyle w:val="VerbatimChar"/>
        </w:rPr>
        <w:t>&lt;fub&gt;.io</w:t>
      </w:r>
      <w:r>
        <w:rPr/>
        <w:t xml:space="preserve"> row for the worst path to any endpoint (the 20 % output-delay budget lands on those) and a </w:t>
      </w:r>
      <w:r>
        <w:rPr>
          <w:rStyle w:val="VerbatimChar"/>
        </w:rPr>
        <w:t>design</w:t>
      </w:r>
      <w:r>
        <w:rPr/>
        <w:t xml:space="preserve"> row. This is the per-FUB gate-delay signal the methodology is after, read straight from the Timing Analyzer’s </w:t>
      </w:r>
      <w:r>
        <w:rPr>
          <w:rStyle w:val="VerbatimChar"/>
        </w:rPr>
        <w:t>get_timing_paths</w:t>
      </w:r>
      <w:r>
        <w:rPr/>
        <w:t xml:space="preserve"> rather than eyeballed from a report.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All four timing models</w:t>
      </w:r>
      <w:r>
        <w:rPr/>
        <w:t xml:space="preserve"> (slow/fast x 85C/0C) as </w:t>
      </w:r>
      <w:r>
        <w:rPr>
          <w:rStyle w:val="VerbatimChar"/>
        </w:rPr>
        <w:t>clk:&lt;model&gt;</w:t>
      </w:r>
      <w:r>
        <w:rPr/>
        <w:t xml:space="preserve"> rows.</w:t>
      </w:r>
    </w:p>
    <w:p>
      <w:pPr>
        <w:pStyle w:val="FirstParagraph"/>
        <w:rPr/>
      </w:pPr>
      <w:r>
        <w:rPr>
          <w:rStyle w:val="VerbatimChar"/>
          <w:sz w:val="20"/>
        </w:rPr>
        <w:t>parse_timing_sweep.py --tool quartus</w:t>
      </w:r>
      <w:r>
        <w:rPr>
          <w:sz w:val="20"/>
        </w:rPr>
        <w:t xml:space="preserve"> rolls both into the same CSV shape as the Vivado sweep, with two extra columns: </w:t>
      </w:r>
      <w:r>
        <w:rPr>
          <w:rStyle w:val="VerbatimChar"/>
          <w:sz w:val="20"/>
        </w:rPr>
        <w:t>data_delay_ns, logic_levels</w:t>
      </w:r>
      <w:r>
        <w:rPr>
          <w:sz w:val="20"/>
        </w:rPr>
        <w:t xml:space="preserve"> (empty on Vivado rows). </w:t>
      </w:r>
      <w:r>
        <w:rPr>
          <w:rStyle w:val="VerbatimChar"/>
          <w:sz w:val="20"/>
        </w:rPr>
        <w:t>utilization_luts</w:t>
      </w:r>
      <w:r>
        <w:rPr>
          <w:sz w:val="20"/>
        </w:rPr>
        <w:t xml:space="preserve"> carries ALMs on Quartus rows – an ALM is not a LUT; compare across tools by ratio, not by count.</w:t>
      </w:r>
    </w:p>
    <w:p>
      <w:pPr>
        <w:pStyle w:val="BodyText"/>
        <w:rPr/>
      </w:pPr>
      <w:r>
        <w:rPr>
          <w:sz w:val="20"/>
        </w:rPr>
        <w:t xml:space="preserve">Config is a plain Tcl file of </w:t>
      </w:r>
      <w:r>
        <w:rPr>
          <w:rStyle w:val="VerbatimChar"/>
          <w:sz w:val="20"/>
        </w:rPr>
        <w:t>set</w:t>
      </w:r>
      <w:r>
        <w:rPr>
          <w:sz w:val="20"/>
        </w:rPr>
        <w:t xml:space="preserve"> statements (</w:t>
      </w:r>
      <w:hyperlink r:id="rId16">
        <w:r>
          <w:rPr>
            <w:rStyle w:val="ListLabel82"/>
            <w:rFonts w:ascii="Consolas" w:hAnsi="Consolas"/>
            <w:sz w:val="22"/>
            <w:sz w:val="22"/>
          </w:rPr>
          <w:t>fpga/quartus/sweep_config.example.tcl</w:t>
        </w:r>
      </w:hyperlink>
      <w:r>
        <w:rPr>
          <w:sz w:val="20"/>
        </w:rPr>
        <w:t xml:space="preserve"> documents every key). The default device is the Cyclone V GX Starter Kit part, 5CGXFC5C6F27C7: the DE1-SoC’s 5CSEMA5F31C6 does not have 242 user pins free for the fully-enabled char_top; set </w:t>
      </w:r>
      <w:r>
        <w:rPr>
          <w:rStyle w:val="VerbatimChar"/>
          <w:sz w:val="20"/>
        </w:rPr>
        <w:t>VIRTUAL_PINS 1</w:t>
      </w:r>
      <w:r>
        <w:rPr>
          <w:sz w:val="20"/>
        </w:rPr>
        <w:t xml:space="preserve"> to use it. Quartus Prime Lite 24.1std installs only Cyclone V and MAX 10.</w:t>
      </w:r>
    </w:p>
    <w:p>
      <w:pPr>
        <w:pStyle w:val="BodyText"/>
        <w:rPr/>
      </w:pPr>
      <w:r>
        <w:rPr>
          <w:sz w:val="20"/>
        </w:rPr>
        <w:t xml:space="preserve">Two things the first Quartus run taught, both now in the SDC: the Timing Analyzer does not implement </w:t>
      </w:r>
      <w:r>
        <w:rPr>
          <w:rStyle w:val="VerbatimChar"/>
          <w:sz w:val="20"/>
        </w:rPr>
        <w:t>set_load</w:t>
      </w:r>
      <w:r>
        <w:rPr>
          <w:sz w:val="20"/>
        </w:rPr>
        <w:t xml:space="preserve">, and its </w:t>
      </w:r>
      <w:r>
        <w:rPr>
          <w:rStyle w:val="VerbatimChar"/>
          <w:sz w:val="20"/>
        </w:rPr>
        <w:t>set_clock_uncertainty</w:t>
      </w:r>
      <w:r>
        <w:rPr>
          <w:sz w:val="20"/>
        </w:rPr>
        <w:t xml:space="preserve"> names the clock with </w:t>
      </w:r>
      <w:r>
        <w:rPr>
          <w:rStyle w:val="VerbatimChar"/>
          <w:sz w:val="20"/>
        </w:rPr>
        <w:t>-to</w:t>
      </w:r>
      <w:r>
        <w:rPr>
          <w:sz w:val="20"/>
        </w:rPr>
        <w:t xml:space="preserve"> and takes the value last – </w:t>
      </w:r>
      <w:r>
        <w:rPr>
          <w:rStyle w:val="VerbatimChar"/>
          <w:sz w:val="20"/>
        </w:rPr>
        <w:t>read_sdc</w:t>
      </w:r>
      <w:r>
        <w:rPr>
          <w:sz w:val="20"/>
        </w:rPr>
        <w:t xml:space="preserve"> aborts on the first error and the fitter then reports “Can’t fit design”, which is the SDC failure wearing a resource costume.</w:t>
      </w:r>
      <w:bookmarkEnd w:id="43"/>
    </w:p>
    <w:p>
      <w:pPr>
        <w:pStyle w:val="Heading3"/>
        <w:spacing w:before="200" w:after="80"/>
        <w:rPr/>
      </w:pPr>
      <w:bookmarkStart w:id="44" w:name="__RefHeading___Toc1980_2181334207"/>
      <w:bookmarkStart w:id="45" w:name="what-v0.1-still-doesnt-do"/>
      <w:bookmarkEnd w:id="44"/>
      <w:r>
        <w:rPr>
          <w:rStyle w:val="SectionNumber"/>
          <w:b/>
          <w:color w:val="404040"/>
          <w:sz w:val="24"/>
        </w:rPr>
        <w:t>2.6.8</w:t>
      </w:r>
      <w:r>
        <w:rPr>
          <w:b/>
          <w:color w:val="404040"/>
          <w:sz w:val="24"/>
        </w:rPr>
        <w:tab/>
        <w:t>5.7 What v0.1 still doesn’t do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Host-side golden model.</w:t>
      </w:r>
      <w:r>
        <w:rPr/>
        <w:t xml:space="preserve"> Both sweeps (MMCM and target-freq) report structural / STA signals. Neither asks “did the chip produce THE RIGHT data?” A UART or USB-blaster handshake out to the host’s LFSR reference model would close that gap.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Spreadsheet auto-update.</w:t>
      </w:r>
      <w:r>
        <w:rPr/>
        <w:t xml:space="preserve"> </w:t>
      </w:r>
      <w:r>
        <w:rPr>
          <w:rStyle w:val="VerbatimChar"/>
        </w:rPr>
        <w:t>parse_timing_sweep.py</w:t>
      </w:r>
      <w:r>
        <w:rPr/>
        <w:t xml:space="preserve"> produces </w:t>
      </w:r>
      <w:r>
        <w:rPr>
          <w:rStyle w:val="VerbatimChar"/>
        </w:rPr>
        <w:t>sweep_wns.csv</w:t>
      </w:r>
      <w:r>
        <w:rPr/>
        <w:t xml:space="preserve"> but doesn’t feed the values back into the workbook builder’s </w:t>
      </w:r>
      <w:r>
        <w:rPr>
          <w:rStyle w:val="VerbatimChar"/>
        </w:rPr>
        <w:t>PRIM_PS</w:t>
      </w:r>
      <w:r>
        <w:rPr/>
        <w:t xml:space="preserve"> dict; that’s still a copy-paste workflow.</w:t>
      </w:r>
    </w:p>
    <w:p>
      <w:pPr>
        <w:pStyle w:val="Normal"/>
        <w:rPr/>
      </w:pPr>
      <w:bookmarkStart w:id="46" w:name="the-validation-loop"/>
      <w:bookmarkStart w:id="47" w:name="what-v0.1-still-doesnt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1982_2181334207"/>
      <w:bookmarkStart w:id="49" w:name="recommended-workflow"/>
      <w:bookmarkEnd w:id="48"/>
      <w:r>
        <w:rPr>
          <w:rStyle w:val="SectionNumber"/>
          <w:b/>
          <w:color w:val="228B22"/>
          <w:sz w:val="28"/>
        </w:rPr>
        <w:t>2.7</w:t>
      </w:r>
      <w:r>
        <w:rPr>
          <w:b/>
          <w:color w:val="228B22"/>
          <w:sz w:val="28"/>
        </w:rPr>
        <w:tab/>
        <w:t>6. Recommended workflow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Plan</w:t>
      </w:r>
      <w:r>
        <w:rPr/>
        <w:t xml:space="preserve">. Open </w:t>
      </w:r>
      <w:hyperlink r:id="rId17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/>
        <w:t xml:space="preserve">. On </w:t>
      </w:r>
      <w:r>
        <w:rPr>
          <w:rStyle w:val="VerbatimChar"/>
        </w:rPr>
        <w:t>characterization</w:t>
      </w:r>
      <w:r>
        <w:rPr/>
        <w:t xml:space="preserve">, set </w:t>
      </w:r>
      <w:r>
        <w:rPr>
          <w:rStyle w:val="VerbatimChar"/>
        </w:rPr>
        <w:t>clk_main</w:t>
      </w:r>
      <w:r>
        <w:rPr/>
        <w:t xml:space="preserve"> freq + speed grade to your target. Flip to </w:t>
      </w:r>
      <w:r>
        <w:rPr>
          <w:rStyle w:val="VerbatimChar"/>
        </w:rPr>
        <w:t>building blocks</w:t>
      </w:r>
      <w:r>
        <w:rPr/>
        <w:t xml:space="preserve"> – any red rows are the blocks you’ll need to pipeline harder or use sparingly.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Iterate the plan</w:t>
      </w:r>
      <w:r>
        <w:rPr/>
        <w:t xml:space="preserve">. Lower the freq until everything’s green (the design’s actual ceiling on this device); switch the speed grade to model a faster-graded part; bump </w:t>
      </w:r>
      <w:r>
        <w:rPr>
          <w:rStyle w:val="VerbatimChar"/>
        </w:rPr>
        <w:t>wire/hop</w:t>
      </w:r>
      <w:r>
        <w:rPr/>
        <w:t xml:space="preserve"> to model longer inter-CLB routes.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Build</w:t>
      </w:r>
      <w:r>
        <w:rPr/>
        <w:t xml:space="preserve">. </w:t>
      </w:r>
      <w:r>
        <w:rPr>
          <w:rStyle w:val="VerbatimChar"/>
        </w:rPr>
        <w:t>cd fpga; make synth</w:t>
      </w:r>
      <w:r>
        <w:rPr/>
        <w:t xml:space="preserve"> for a quick utilisation check; </w:t>
      </w:r>
      <w:r>
        <w:rPr>
          <w:rStyle w:val="VerbatimChar"/>
        </w:rPr>
        <w:t>make bitstream</w:t>
      </w:r>
      <w:r>
        <w:rPr/>
        <w:t xml:space="preserve"> for the full place-and-route + reports.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Calibrate</w:t>
      </w:r>
      <w:r>
        <w:rPr/>
        <w:t xml:space="preserve">. Read </w:t>
      </w:r>
      <w:r>
        <w:rPr>
          <w:rStyle w:val="VerbatimChar"/>
        </w:rPr>
        <w:t>reports/timing_summary.txt</w:t>
      </w:r>
      <w:r>
        <w:rPr/>
        <w:t xml:space="preserve"> after </w:t>
      </w:r>
      <w:r>
        <w:rPr>
          <w:rStyle w:val="VerbatimChar"/>
        </w:rPr>
        <w:t>make bitstream</w:t>
      </w:r>
      <w:r>
        <w:rPr/>
        <w:t xml:space="preserve">. Compare the per-FUB WNS against what the spreadsheet predicted. Update </w:t>
      </w:r>
      <w:hyperlink r:id="rId18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/>
        <w:t xml:space="preserve">’s </w:t>
      </w:r>
      <w:r>
        <w:rPr>
          <w:rStyle w:val="VerbatimChar"/>
        </w:rPr>
        <w:t>PRIM_PS</w:t>
      </w:r>
      <w:r>
        <w:rPr/>
        <w:t xml:space="preserve"> dict with the calibrated numbers and regenerate the workbook.</w:t>
      </w:r>
    </w:p>
    <w:p>
      <w:pPr>
        <w:pStyle w:val="FirstParagraph"/>
        <w:rPr/>
      </w:pPr>
      <w:r>
        <w:rPr>
          <w:sz w:val="20"/>
        </w:rPr>
        <w:t>The methodology pays for itself the first time it tells you “your plan doesn’t fit at 300 MHz on -1 silicon” before you spend 30 minutes on a Vivado run to learn the same thing.</w:t>
      </w:r>
    </w:p>
    <w:p>
      <w:pPr>
        <w:pStyle w:val="Normal"/>
        <w:rPr/>
      </w:pPr>
      <w:bookmarkStart w:id="50" w:name="recommended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1984_2181334207"/>
      <w:bookmarkStart w:id="52" w:name="limitations-intentional-non-features"/>
      <w:bookmarkEnd w:id="51"/>
      <w:r>
        <w:rPr>
          <w:rStyle w:val="SectionNumber"/>
          <w:b/>
          <w:color w:val="228B22"/>
          <w:sz w:val="28"/>
        </w:rPr>
        <w:t>2.8</w:t>
      </w:r>
      <w:r>
        <w:rPr>
          <w:b/>
          <w:color w:val="228B22"/>
          <w:sz w:val="28"/>
        </w:rPr>
        <w:tab/>
        <w:t>7. Limitations / intentional non-features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Seed data are datasheet ballparks</w:t>
      </w:r>
      <w:r>
        <w:rPr/>
        <w:t>, not calibrated measurements. Treat the v0.1 workbook as a methodology demo; the per-LUT / per-CARRY4 numbers are reasonable to start a discussion but should be replaced with calibrated values from real Vivado runs.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Wire delay is one number.</w:t>
      </w:r>
      <w:r>
        <w:rPr/>
        <w:t xml:space="preserve"> ASIC has four metal layers in the workbook; FPGA’s interconnect is more uniform and the inter-CLB routing dominates. One ps/hop with a per-clock override is enough resolution for a SWAG.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No MMCM sweep, no host golden model.</w:t>
      </w:r>
      <w:r>
        <w:rPr/>
        <w:t xml:space="preserve"> The on-board validation loop in section 5 is sketched but not wired up.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No power numbers.</w:t>
      </w:r>
      <w:r>
        <w:rPr/>
        <w:t xml:space="preserve"> Vivado emits </w:t>
      </w:r>
      <w:r>
        <w:rPr>
          <w:rStyle w:val="VerbatimChar"/>
        </w:rPr>
        <w:t>report_power</w:t>
      </w:r>
      <w:r>
        <w:rPr/>
        <w:t>; the workbook doesn’t yet model it.</w:t>
      </w:r>
    </w:p>
    <w:p>
      <w:pPr>
        <w:pStyle w:val="Normal"/>
        <w:rPr/>
      </w:pPr>
      <w:bookmarkStart w:id="53" w:name="limitations-intentional-non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1986_2181334207"/>
      <w:bookmarkStart w:id="55" w:name="navigation"/>
      <w:bookmarkEnd w:id="54"/>
      <w:r>
        <w:rPr>
          <w:rStyle w:val="SectionNumber"/>
          <w:b/>
          <w:color w:val="228B22"/>
          <w:sz w:val="28"/>
        </w:rPr>
        <w:t>2.9</w:t>
      </w:r>
      <w:r>
        <w:rPr>
          <w:b/>
          <w:color w:val="228B22"/>
          <w:sz w:val="28"/>
        </w:rPr>
        <w:tab/>
        <w:t>8. Navigation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ASIC companion paper: </w:t>
      </w:r>
      <w:hyperlink r:id="rId19">
        <w:r>
          <w:rPr>
            <w:rStyle w:val="ListLabel82"/>
            <w:rFonts w:ascii="Consolas" w:hAnsi="Consolas"/>
            <w:sz w:val="22"/>
            <w:sz w:val="22"/>
          </w:rPr>
          <w:t>README.md</w:t>
        </w:r>
      </w:hyperlink>
    </w:p>
    <w:p>
      <w:pPr>
        <w:pStyle w:val="Compact"/>
        <w:numPr>
          <w:ilvl w:val="0"/>
          <w:numId w:val="30"/>
        </w:numPr>
        <w:rPr/>
      </w:pPr>
      <w:r>
        <w:rPr/>
        <w:t xml:space="preserve">Vivado flow Makefile: </w:t>
      </w:r>
      <w:hyperlink r:id="rId20">
        <w:r>
          <w:rPr>
            <w:rStyle w:val="ListLabel82"/>
            <w:rFonts w:ascii="Consolas" w:hAnsi="Consolas"/>
            <w:sz w:val="22"/>
            <w:sz w:val="22"/>
          </w:rPr>
          <w:t>fpga/Makefile</w:t>
        </w:r>
      </w:hyperlink>
    </w:p>
    <w:p>
      <w:pPr>
        <w:pStyle w:val="Compact"/>
        <w:numPr>
          <w:ilvl w:val="0"/>
          <w:numId w:val="31"/>
        </w:numPr>
        <w:rPr/>
      </w:pPr>
      <w:r>
        <w:rPr/>
        <w:t xml:space="preserve">Board pin map: </w:t>
      </w:r>
      <w:hyperlink r:id="rId21">
        <w:r>
          <w:rPr>
            <w:rStyle w:val="ListLabel82"/>
            <w:rFonts w:ascii="Consolas" w:hAnsi="Consolas"/>
            <w:sz w:val="22"/>
            <w:sz w:val="22"/>
          </w:rPr>
          <w:t>fpga/constraints/char_top_fpga.xdc</w:t>
        </w:r>
      </w:hyperlink>
    </w:p>
    <w:p>
      <w:pPr>
        <w:pStyle w:val="Compact"/>
        <w:numPr>
          <w:ilvl w:val="0"/>
          <w:numId w:val="32"/>
        </w:numPr>
        <w:rPr/>
      </w:pPr>
      <w:r>
        <w:rPr/>
        <w:t xml:space="preserve">FPGA wrapper RTL: </w:t>
      </w:r>
      <w:hyperlink r:id="rId22">
        <w:r>
          <w:rPr>
            <w:rStyle w:val="ListLabel82"/>
            <w:rFonts w:ascii="Consolas" w:hAnsi="Consolas"/>
            <w:sz w:val="22"/>
            <w:sz w:val="22"/>
          </w:rPr>
          <w:t>fpga/rtl/char_top_fpga.sv</w:t>
        </w:r>
      </w:hyperlink>
    </w:p>
    <w:p>
      <w:pPr>
        <w:pStyle w:val="Compact"/>
        <w:numPr>
          <w:ilvl w:val="0"/>
          <w:numId w:val="33"/>
        </w:numPr>
        <w:rPr/>
      </w:pPr>
      <w:r>
        <w:rPr/>
        <w:t xml:space="preserve">FPGA spreadsheet: </w:t>
      </w:r>
      <w:hyperlink r:id="rId23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</w:p>
    <w:p>
      <w:pPr>
        <w:pStyle w:val="Compact"/>
        <w:numPr>
          <w:ilvl w:val="0"/>
          <w:numId w:val="34"/>
        </w:numPr>
        <w:rPr/>
      </w:pPr>
      <w:r>
        <w:rPr/>
        <w:t xml:space="preserve">Spreadsheet generator: </w:t>
      </w:r>
      <w:hyperlink r:id="rId24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</w:p>
    <w:p>
      <w:pPr>
        <w:pStyle w:val="Compact"/>
        <w:numPr>
          <w:ilvl w:val="0"/>
          <w:numId w:val="35"/>
        </w:numPr>
        <w:rPr/>
      </w:pPr>
      <w:r>
        <w:rPr/>
        <w:t xml:space="preserve">Components area: </w:t>
      </w:r>
      <w:hyperlink r:id="rId25">
        <w:r>
          <w:rPr>
            <w:rStyle w:val="ListLabel82"/>
            <w:rFonts w:ascii="Consolas" w:hAnsi="Consolas"/>
            <w:sz w:val="22"/>
            <w:sz w:val="22"/>
          </w:rPr>
          <w:t>../../components/README.md</w:t>
        </w:r>
      </w:hyperlink>
    </w:p>
    <w:p>
      <w:pPr>
        <w:pStyle w:val="Compact"/>
        <w:numPr>
          <w:ilvl w:val="0"/>
          <w:numId w:val="36"/>
        </w:numPr>
        <w:rPr/>
      </w:pPr>
      <w:r>
        <w:rPr/>
        <w:t xml:space="preserve">Repository guide: </w:t>
      </w:r>
      <w:hyperlink r:id="rId26">
        <w:r>
          <w:rPr>
            <w:rStyle w:val="ListLabel82"/>
            <w:rFonts w:ascii="Consolas" w:hAnsi="Consolas"/>
            <w:sz w:val="22"/>
            <w:sz w:val="22"/>
          </w:rPr>
          <w:t>/CLAUDE.md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5"/>
      <w:bookmarkEnd w:id="55"/>
    </w:p>
    <w:sectPr>
      <w:footerReference w:type="even" r:id="rId27"/>
      <w:footerReference w:type="default" r:id="rId28"/>
      <w:footerReference w:type="first" r:id="rId2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6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work/artix7_characterization.xlsx" TargetMode="External"/><Relationship Id="rId5" Type="http://schemas.openxmlformats.org/officeDocument/2006/relationships/hyperlink" Target="work/build_fpga_characterization_xlsx.py" TargetMode="External"/><Relationship Id="rId6" Type="http://schemas.openxmlformats.org/officeDocument/2006/relationships/hyperlink" Target="fpga/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fpga/rtl/char_top_fpga.sv" TargetMode="External"/><Relationship Id="rId9" Type="http://schemas.openxmlformats.org/officeDocument/2006/relationships/hyperlink" Target="fpga/" TargetMode="External"/><Relationship Id="rId10" Type="http://schemas.openxmlformats.org/officeDocument/2006/relationships/hyperlink" Target="work/artix7_characterization.xlsx" TargetMode="External"/><Relationship Id="rId11" Type="http://schemas.openxmlformats.org/officeDocument/2006/relationships/hyperlink" Target="fpga/rtl/char_top_fpga_mmcm.sv" TargetMode="External"/><Relationship Id="rId12" Type="http://schemas.openxmlformats.org/officeDocument/2006/relationships/hyperlink" Target="fpga/rtl/sig_accum.sv" TargetMode="External"/><Relationship Id="rId13" Type="http://schemas.openxmlformats.org/officeDocument/2006/relationships/hyperlink" Target="work/build_fpga_characterization_xlsx.py" TargetMode="External"/><Relationship Id="rId14" Type="http://schemas.openxmlformats.org/officeDocument/2006/relationships/hyperlink" Target="fpga/tcl/clock_constraint.tcl" TargetMode="External"/><Relationship Id="rId15" Type="http://schemas.openxmlformats.org/officeDocument/2006/relationships/hyperlink" Target="fpga/quartus/sta_reports.tcl" TargetMode="External"/><Relationship Id="rId16" Type="http://schemas.openxmlformats.org/officeDocument/2006/relationships/hyperlink" Target="fpga/quartus/sweep_config.example.tcl" TargetMode="External"/><Relationship Id="rId17" Type="http://schemas.openxmlformats.org/officeDocument/2006/relationships/hyperlink" Target="work/artix7_characterization.xlsx" TargetMode="External"/><Relationship Id="rId18" Type="http://schemas.openxmlformats.org/officeDocument/2006/relationships/hyperlink" Target="work/build_fpga_characterization_xlsx.py" TargetMode="External"/><Relationship Id="rId19" Type="http://schemas.openxmlformats.org/officeDocument/2006/relationships/hyperlink" Target="README.md" TargetMode="External"/><Relationship Id="rId20" Type="http://schemas.openxmlformats.org/officeDocument/2006/relationships/hyperlink" Target="fpga/Makefile" TargetMode="External"/><Relationship Id="rId21" Type="http://schemas.openxmlformats.org/officeDocument/2006/relationships/hyperlink" Target="fpga/constraints/char_top_fpga.xdc" TargetMode="External"/><Relationship Id="rId22" Type="http://schemas.openxmlformats.org/officeDocument/2006/relationships/hyperlink" Target="fpga/rtl/char_top_fpga.sv" TargetMode="External"/><Relationship Id="rId23" Type="http://schemas.openxmlformats.org/officeDocument/2006/relationships/hyperlink" Target="work/artix7_characterization.xlsx" TargetMode="External"/><Relationship Id="rId24" Type="http://schemas.openxmlformats.org/officeDocument/2006/relationships/hyperlink" Target="work/build_fpga_characterization_xlsx.py" TargetMode="External"/><Relationship Id="rId25" Type="http://schemas.openxmlformats.org/officeDocument/2006/relationships/hyperlink" Target="../../components/README.md" TargetMode="External"/><Relationship Id="rId26" Type="http://schemas.openxmlformats.org/officeDocument/2006/relationships/hyperlink" Target="../../../CLAUDE.md" TargetMode="Externa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2026-10-02T15:24:09Z</dcterms:created>
  <dc:creator/>
  <dc:description/>
  <dc:language>en-US</dc:language>
  <cp:lastModifiedBy/>
  <dcterms:modified xsi:type="dcterms:W3CDTF">2026-10-02T08:24:13Z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