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Timing Characterization -- Synthesis Guide Per-FUB recipes, the multi-flow SDC, and how to read the results</w:t>
      </w:r>
    </w:p>
    <w:p>
      <w:pPr>
        <w:pStyle w:val="Normal"/>
        <w:keepNext w:val="true"/>
        <w:spacing w:before="400" w:after="200"/>
        <w:jc w:val="center"/>
        <w:rPr/>
      </w:pPr>
      <w:r>
        <w:rPr>
          <w:rFonts w:ascii="Calibri" w:hAnsi="Calibri"/>
          <w:b/>
          <w:color w:val="000000"/>
          <w:sz w:val="20"/>
        </w:rPr>
        <w:t>September 29,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51_3487549937">
            <w:r>
              <w:rPr>
                <w:webHidden/>
                <w:rStyle w:val="IndexLink"/>
              </w:rPr>
              <w:t>Timing Characterization – Synthesis Guide</w:t>
              <w:tab/>
              <w:t>6</w:t>
            </w:r>
          </w:hyperlink>
        </w:p>
        <w:p>
          <w:pPr>
            <w:pStyle w:val="TOC2"/>
            <w:tabs>
              <w:tab w:val="clear" w:pos="9077"/>
              <w:tab w:val="right" w:pos="9359" w:leader="dot"/>
            </w:tabs>
            <w:rPr/>
          </w:pPr>
          <w:hyperlink w:anchor="__RefHeading___Toc3053_3487549937">
            <w:r>
              <w:rPr>
                <w:webHidden/>
                <w:rStyle w:val="IndexLink"/>
              </w:rPr>
              <w:t>1. What This Design Is and Why It Exists</w:t>
              <w:tab/>
              <w:t>6</w:t>
            </w:r>
          </w:hyperlink>
        </w:p>
        <w:p>
          <w:pPr>
            <w:pStyle w:val="TOC2"/>
            <w:tabs>
              <w:tab w:val="clear" w:pos="9077"/>
              <w:tab w:val="right" w:pos="9359" w:leader="dot"/>
            </w:tabs>
            <w:rPr/>
          </w:pPr>
          <w:hyperlink w:anchor="__RefHeading___Toc3055_3487549937">
            <w:r>
              <w:rPr>
                <w:webHidden/>
                <w:rStyle w:val="IndexLink"/>
              </w:rPr>
              <w:t>2. Architecture Overview</w:t>
              <w:tab/>
              <w:t>6</w:t>
            </w:r>
          </w:hyperlink>
        </w:p>
        <w:p>
          <w:pPr>
            <w:pStyle w:val="TOC2"/>
            <w:tabs>
              <w:tab w:val="clear" w:pos="9077"/>
              <w:tab w:val="right" w:pos="9359" w:leader="dot"/>
            </w:tabs>
            <w:rPr/>
          </w:pPr>
          <w:hyperlink w:anchor="__RefHeading___Toc3057_3487549937">
            <w:r>
              <w:rPr>
                <w:webHidden/>
                <w:rStyle w:val="IndexLink"/>
              </w:rPr>
              <w:t>3. FUB Catalog – Characterization Purpose of Each Block</w:t>
              <w:tab/>
              <w:t>7</w:t>
            </w:r>
          </w:hyperlink>
        </w:p>
        <w:p>
          <w:pPr>
            <w:pStyle w:val="TOC3"/>
            <w:tabs>
              <w:tab w:val="clear" w:pos="8793"/>
              <w:tab w:val="right" w:pos="9359" w:leader="dot"/>
            </w:tabs>
            <w:rPr/>
          </w:pPr>
          <w:hyperlink w:anchor="__RefHeading___Toc3059_3487549937">
            <w:r>
              <w:rPr>
                <w:webHidden/>
                <w:rStyle w:val="IndexLink"/>
              </w:rPr>
              <w:t>3.1 nand_chain (NAND Gate Binary Tree)</w:t>
              <w:tab/>
              <w:t>7</w:t>
            </w:r>
          </w:hyperlink>
        </w:p>
        <w:p>
          <w:pPr>
            <w:pStyle w:val="TOC3"/>
            <w:tabs>
              <w:tab w:val="clear" w:pos="8793"/>
              <w:tab w:val="right" w:pos="9359" w:leader="dot"/>
            </w:tabs>
            <w:rPr/>
          </w:pPr>
          <w:hyperlink w:anchor="__RefHeading___Toc3061_3487549937">
            <w:r>
              <w:rPr>
                <w:webHidden/>
                <w:rStyle w:val="IndexLink"/>
              </w:rPr>
              <w:t>3.2 inverter_chain (Inverter Chain)</w:t>
              <w:tab/>
              <w:t>8</w:t>
            </w:r>
          </w:hyperlink>
        </w:p>
        <w:p>
          <w:pPr>
            <w:pStyle w:val="TOC3"/>
            <w:tabs>
              <w:tab w:val="clear" w:pos="8793"/>
              <w:tab w:val="right" w:pos="9359" w:leader="dot"/>
            </w:tabs>
            <w:rPr/>
          </w:pPr>
          <w:hyperlink w:anchor="__RefHeading___Toc3063_3487549937">
            <w:r>
              <w:rPr>
                <w:webHidden/>
                <w:rStyle w:val="IndexLink"/>
              </w:rPr>
              <w:t>3.3 xor_tree (XOR Gate Binary Tree)</w:t>
              <w:tab/>
              <w:t>8</w:t>
            </w:r>
          </w:hyperlink>
        </w:p>
        <w:p>
          <w:pPr>
            <w:pStyle w:val="TOC3"/>
            <w:tabs>
              <w:tab w:val="clear" w:pos="8793"/>
              <w:tab w:val="right" w:pos="9359" w:leader="dot"/>
            </w:tabs>
            <w:rPr/>
          </w:pPr>
          <w:hyperlink w:anchor="__RefHeading___Toc3065_3487549937">
            <w:r>
              <w:rPr>
                <w:webHidden/>
                <w:rStyle w:val="IndexLink"/>
              </w:rPr>
              <w:t>3.4 carry_chain (Ripple-Carry Adder)</w:t>
              <w:tab/>
              <w:t>9</w:t>
            </w:r>
          </w:hyperlink>
        </w:p>
        <w:p>
          <w:pPr>
            <w:pStyle w:val="TOC3"/>
            <w:tabs>
              <w:tab w:val="clear" w:pos="8793"/>
              <w:tab w:val="right" w:pos="9359" w:leader="dot"/>
            </w:tabs>
            <w:rPr/>
          </w:pPr>
          <w:hyperlink w:anchor="__RefHeading___Toc3067_3487549937">
            <w:r>
              <w:rPr>
                <w:webHidden/>
                <w:rStyle w:val="IndexLink"/>
              </w:rPr>
              <w:t>3.5 multiplier_tree (Multiplier Wrapper)</w:t>
              <w:tab/>
              <w:t>10</w:t>
            </w:r>
          </w:hyperlink>
        </w:p>
        <w:p>
          <w:pPr>
            <w:pStyle w:val="TOC3"/>
            <w:tabs>
              <w:tab w:val="clear" w:pos="8793"/>
              <w:tab w:val="right" w:pos="9359" w:leader="dot"/>
            </w:tabs>
            <w:rPr/>
          </w:pPr>
          <w:hyperlink w:anchor="__RefHeading___Toc3069_3487549937">
            <w:r>
              <w:rPr>
                <w:webHidden/>
                <w:rStyle w:val="IndexLink"/>
              </w:rPr>
              <w:t>3.6 mux_tree (Binary Mux Tree)</w:t>
              <w:tab/>
              <w:t>10</w:t>
            </w:r>
          </w:hyperlink>
        </w:p>
        <w:p>
          <w:pPr>
            <w:pStyle w:val="TOC3"/>
            <w:tabs>
              <w:tab w:val="clear" w:pos="8793"/>
              <w:tab w:val="right" w:pos="9359" w:leader="dot"/>
            </w:tabs>
            <w:rPr/>
          </w:pPr>
          <w:hyperlink w:anchor="__RefHeading___Toc3071_3487549937">
            <w:r>
              <w:rPr>
                <w:webHidden/>
                <w:rStyle w:val="IndexLink"/>
              </w:rPr>
              <w:t>3.7 queue_depth (FIFO Queue)</w:t>
              <w:tab/>
              <w:t>11</w:t>
            </w:r>
          </w:hyperlink>
        </w:p>
        <w:p>
          <w:pPr>
            <w:pStyle w:val="TOC3"/>
            <w:tabs>
              <w:tab w:val="clear" w:pos="8793"/>
              <w:tab w:val="right" w:pos="9359" w:leader="dot"/>
            </w:tabs>
            <w:rPr/>
          </w:pPr>
          <w:hyperlink w:anchor="__RefHeading___Toc3073_3487549937">
            <w:r>
              <w:rPr>
                <w:webHidden/>
                <w:rStyle w:val="IndexLink"/>
              </w:rPr>
              <w:t>3.8 clock_divider_chain (Clock Divider Cascade)</w:t>
              <w:tab/>
              <w:t>12</w:t>
            </w:r>
          </w:hyperlink>
        </w:p>
        <w:p>
          <w:pPr>
            <w:pStyle w:val="TOC3"/>
            <w:tabs>
              <w:tab w:val="clear" w:pos="8793"/>
              <w:tab w:val="right" w:pos="9359" w:leader="dot"/>
            </w:tabs>
            <w:rPr/>
          </w:pPr>
          <w:hyperlink w:anchor="__RefHeading___Toc3075_3487549937">
            <w:r>
              <w:rPr>
                <w:webHidden/>
                <w:rStyle w:val="IndexLink"/>
              </w:rPr>
              <w:t>3.9 gray_counter_chain (Gray Counter)</w:t>
              <w:tab/>
              <w:t>12</w:t>
            </w:r>
          </w:hyperlink>
        </w:p>
        <w:p>
          <w:pPr>
            <w:pStyle w:val="TOC2"/>
            <w:tabs>
              <w:tab w:val="clear" w:pos="9077"/>
              <w:tab w:val="right" w:pos="9359" w:leader="dot"/>
            </w:tabs>
            <w:rPr/>
          </w:pPr>
          <w:hyperlink w:anchor="__RefHeading___Toc3077_3487549937">
            <w:r>
              <w:rPr>
                <w:webHidden/>
                <w:rStyle w:val="IndexLink"/>
              </w:rPr>
              <w:t>4. The LFSR – Anti-Optimization Engine</w:t>
              <w:tab/>
              <w:t>13</w:t>
            </w:r>
          </w:hyperlink>
        </w:p>
        <w:p>
          <w:pPr>
            <w:pStyle w:val="TOC2"/>
            <w:tabs>
              <w:tab w:val="clear" w:pos="9077"/>
              <w:tab w:val="right" w:pos="9359" w:leader="dot"/>
            </w:tabs>
            <w:rPr/>
          </w:pPr>
          <w:hyperlink w:anchor="__RefHeading___Toc3079_3487549937">
            <w:r>
              <w:rPr>
                <w:webHidden/>
                <w:rStyle w:val="IndexLink"/>
              </w:rPr>
              <w:t>5. SDC Constraints Strategy</w:t>
              <w:tab/>
              <w:t>13</w:t>
            </w:r>
          </w:hyperlink>
        </w:p>
        <w:p>
          <w:pPr>
            <w:pStyle w:val="TOC3"/>
            <w:tabs>
              <w:tab w:val="clear" w:pos="8793"/>
              <w:tab w:val="right" w:pos="9359" w:leader="dot"/>
            </w:tabs>
            <w:rPr/>
          </w:pPr>
          <w:hyperlink w:anchor="__RefHeading___Toc3081_3487549937">
            <w:r>
              <w:rPr>
                <w:webHidden/>
                <w:rStyle w:val="IndexLink"/>
              </w:rPr>
              <w:t>5.1 Multi-Flow SDC</w:t>
              <w:tab/>
              <w:t>13</w:t>
            </w:r>
          </w:hyperlink>
        </w:p>
        <w:p>
          <w:pPr>
            <w:pStyle w:val="TOC3"/>
            <w:tabs>
              <w:tab w:val="clear" w:pos="8793"/>
              <w:tab w:val="right" w:pos="9359" w:leader="dot"/>
            </w:tabs>
            <w:rPr/>
          </w:pPr>
          <w:hyperlink w:anchor="__RefHeading___Toc3083_3487549937">
            <w:r>
              <w:rPr>
                <w:webHidden/>
                <w:rStyle w:val="IndexLink"/>
              </w:rPr>
              <w:t>5.2 Overridable Parameters</w:t>
              <w:tab/>
              <w:t>14</w:t>
            </w:r>
          </w:hyperlink>
        </w:p>
        <w:p>
          <w:pPr>
            <w:pStyle w:val="TOC3"/>
            <w:tabs>
              <w:tab w:val="clear" w:pos="8793"/>
              <w:tab w:val="right" w:pos="9359" w:leader="dot"/>
            </w:tabs>
            <w:rPr/>
          </w:pPr>
          <w:hyperlink w:anchor="__RefHeading___Toc3085_3487549937">
            <w:r>
              <w:rPr>
                <w:webHidden/>
                <w:rStyle w:val="IndexLink"/>
              </w:rPr>
              <w:t>5.3 What Each Flow Requires Externally</w:t>
              <w:tab/>
              <w:t>14</w:t>
            </w:r>
          </w:hyperlink>
        </w:p>
        <w:p>
          <w:pPr>
            <w:pStyle w:val="TOC3"/>
            <w:tabs>
              <w:tab w:val="clear" w:pos="8793"/>
              <w:tab w:val="right" w:pos="9359" w:leader="dot"/>
            </w:tabs>
            <w:rPr/>
          </w:pPr>
          <w:hyperlink w:anchor="__RefHeading___Toc3087_3487549937">
            <w:r>
              <w:rPr>
                <w:webHidden/>
                <w:rStyle w:val="IndexLink"/>
              </w:rPr>
              <w:t>5.4 The 80/20 I/O Split</w:t>
              <w:tab/>
              <w:t>15</w:t>
            </w:r>
          </w:hyperlink>
        </w:p>
        <w:p>
          <w:pPr>
            <w:pStyle w:val="TOC3"/>
            <w:tabs>
              <w:tab w:val="clear" w:pos="8793"/>
              <w:tab w:val="right" w:pos="9359" w:leader="dot"/>
            </w:tabs>
            <w:rPr/>
          </w:pPr>
          <w:hyperlink w:anchor="__RefHeading___Toc3089_3487549937">
            <w:r>
              <w:rPr>
                <w:webHidden/>
                <w:rStyle w:val="IndexLink"/>
              </w:rPr>
              <w:t>5.5 Sweeping Frequency</w:t>
              <w:tab/>
              <w:t>15</w:t>
            </w:r>
          </w:hyperlink>
        </w:p>
        <w:p>
          <w:pPr>
            <w:pStyle w:val="TOC3"/>
            <w:tabs>
              <w:tab w:val="clear" w:pos="8793"/>
              <w:tab w:val="right" w:pos="9359" w:leader="dot"/>
            </w:tabs>
            <w:rPr/>
          </w:pPr>
          <w:hyperlink w:anchor="__RefHeading___Toc3091_3487549937">
            <w:r>
              <w:rPr>
                <w:webHidden/>
                <w:rStyle w:val="IndexLink"/>
              </w:rPr>
              <w:t>5.6 Tool-Specific Features</w:t>
              <w:tab/>
              <w:t>16</w:t>
            </w:r>
          </w:hyperlink>
        </w:p>
        <w:p>
          <w:pPr>
            <w:pStyle w:val="TOC2"/>
            <w:tabs>
              <w:tab w:val="clear" w:pos="9077"/>
              <w:tab w:val="right" w:pos="9359" w:leader="dot"/>
            </w:tabs>
            <w:rPr/>
          </w:pPr>
          <w:hyperlink w:anchor="__RefHeading___Toc3093_3487549937">
            <w:r>
              <w:rPr>
                <w:webHidden/>
                <w:rStyle w:val="IndexLink"/>
              </w:rPr>
              <w:t>6. Synthesis Workflow</w:t>
              <w:tab/>
              <w:t>16</w:t>
            </w:r>
          </w:hyperlink>
        </w:p>
        <w:p>
          <w:pPr>
            <w:pStyle w:val="TOC3"/>
            <w:tabs>
              <w:tab w:val="clear" w:pos="8793"/>
              <w:tab w:val="right" w:pos="9359" w:leader="dot"/>
            </w:tabs>
            <w:rPr/>
          </w:pPr>
          <w:hyperlink w:anchor="__RefHeading___Toc3095_3487549937">
            <w:r>
              <w:rPr>
                <w:webHidden/>
                <w:rStyle w:val="IndexLink"/>
              </w:rPr>
              <w:t>6.1 Single-FUB Characterization</w:t>
              <w:tab/>
              <w:t>16</w:t>
            </w:r>
          </w:hyperlink>
        </w:p>
        <w:p>
          <w:pPr>
            <w:pStyle w:val="TOC3"/>
            <w:tabs>
              <w:tab w:val="clear" w:pos="8793"/>
              <w:tab w:val="right" w:pos="9359" w:leader="dot"/>
            </w:tabs>
            <w:rPr/>
          </w:pPr>
          <w:hyperlink w:anchor="__RefHeading___Toc3097_3487549937">
            <w:r>
              <w:rPr>
                <w:webHidden/>
                <w:rStyle w:val="IndexLink"/>
              </w:rPr>
              <w:t>6.2 Parameter Sweep</w:t>
              <w:tab/>
              <w:t>17</w:t>
            </w:r>
          </w:hyperlink>
        </w:p>
        <w:p>
          <w:pPr>
            <w:pStyle w:val="TOC3"/>
            <w:tabs>
              <w:tab w:val="clear" w:pos="8793"/>
              <w:tab w:val="right" w:pos="9359" w:leader="dot"/>
            </w:tabs>
            <w:rPr/>
          </w:pPr>
          <w:hyperlink w:anchor="__RefHeading___Toc3099_3487549937">
            <w:r>
              <w:rPr>
                <w:webHidden/>
                <w:rStyle w:val="IndexLink"/>
              </w:rPr>
              <w:t>6.3 Cross-FUB Comparison</w:t>
              <w:tab/>
              <w:t>17</w:t>
            </w:r>
          </w:hyperlink>
        </w:p>
        <w:p>
          <w:pPr>
            <w:pStyle w:val="TOC3"/>
            <w:tabs>
              <w:tab w:val="clear" w:pos="8793"/>
              <w:tab w:val="right" w:pos="9359" w:leader="dot"/>
            </w:tabs>
            <w:rPr/>
          </w:pPr>
          <w:hyperlink w:anchor="__RefHeading___Toc3101_3487549937">
            <w:r>
              <w:rPr>
                <w:webHidden/>
                <w:rStyle w:val="IndexLink"/>
              </w:rPr>
              <w:t>6.4 Cross-Technology Comparison</w:t>
              <w:tab/>
              <w:t>17</w:t>
            </w:r>
          </w:hyperlink>
        </w:p>
        <w:p>
          <w:pPr>
            <w:pStyle w:val="TOC2"/>
            <w:tabs>
              <w:tab w:val="clear" w:pos="9077"/>
              <w:tab w:val="right" w:pos="9359" w:leader="dot"/>
            </w:tabs>
            <w:rPr/>
          </w:pPr>
          <w:hyperlink w:anchor="__RefHeading___Toc3103_3487549937">
            <w:r>
              <w:rPr>
                <w:webHidden/>
                <w:rStyle w:val="IndexLink"/>
              </w:rPr>
              <w:t>7. Interpreting Results</w:t>
              <w:tab/>
              <w:t>17</w:t>
            </w:r>
          </w:hyperlink>
        </w:p>
        <w:p>
          <w:pPr>
            <w:pStyle w:val="TOC3"/>
            <w:tabs>
              <w:tab w:val="clear" w:pos="8793"/>
              <w:tab w:val="right" w:pos="9359" w:leader="dot"/>
            </w:tabs>
            <w:rPr/>
          </w:pPr>
          <w:hyperlink w:anchor="__RefHeading___Toc3105_3487549937">
            <w:r>
              <w:rPr>
                <w:webHidden/>
                <w:rStyle w:val="IndexLink"/>
              </w:rPr>
              <w:t>7.1 Key Metrics</w:t>
              <w:tab/>
              <w:t>17</w:t>
            </w:r>
          </w:hyperlink>
        </w:p>
        <w:p>
          <w:pPr>
            <w:pStyle w:val="TOC3"/>
            <w:tabs>
              <w:tab w:val="clear" w:pos="8793"/>
              <w:tab w:val="right" w:pos="9359" w:leader="dot"/>
            </w:tabs>
            <w:rPr/>
          </w:pPr>
          <w:hyperlink w:anchor="__RefHeading___Toc3107_3487549937">
            <w:r>
              <w:rPr>
                <w:webHidden/>
                <w:rStyle w:val="IndexLink"/>
              </w:rPr>
              <w:t>7.2 Expected Trends</w:t>
              <w:tab/>
              <w:t>18</w:t>
            </w:r>
          </w:hyperlink>
        </w:p>
        <w:p>
          <w:pPr>
            <w:pStyle w:val="TOC3"/>
            <w:tabs>
              <w:tab w:val="clear" w:pos="8793"/>
              <w:tab w:val="right" w:pos="9359" w:leader="dot"/>
            </w:tabs>
            <w:rPr/>
          </w:pPr>
          <w:hyperlink w:anchor="__RefHeading___Toc3109_3487549937">
            <w:r>
              <w:rPr>
                <w:webHidden/>
                <w:rStyle w:val="IndexLink"/>
              </w:rPr>
              <w:t>7.3 Normalizing Across Technologies</w:t>
              <w:tab/>
              <w:t>19</w:t>
            </w:r>
          </w:hyperlink>
        </w:p>
        <w:p>
          <w:pPr>
            <w:pStyle w:val="TOC2"/>
            <w:tabs>
              <w:tab w:val="clear" w:pos="9077"/>
              <w:tab w:val="right" w:pos="9359" w:leader="dot"/>
            </w:tabs>
            <w:rPr/>
          </w:pPr>
          <w:hyperlink w:anchor="__RefHeading___Toc3111_3487549937">
            <w:r>
              <w:rPr>
                <w:webHidden/>
                <w:rStyle w:val="IndexLink"/>
              </w:rPr>
              <w:t>8. File Organization</w:t>
              <w:tab/>
              <w:t>19</w:t>
            </w:r>
          </w:hyperlink>
        </w:p>
        <w:p>
          <w:pPr>
            <w:pStyle w:val="TOC2"/>
            <w:tabs>
              <w:tab w:val="clear" w:pos="9077"/>
              <w:tab w:val="right" w:pos="9359" w:leader="dot"/>
            </w:tabs>
            <w:rPr/>
          </w:pPr>
          <w:hyperlink w:anchor="__RefHeading___Toc3113_3487549937">
            <w:r>
              <w:rPr>
                <w:webHidden/>
                <w:rStyle w:val="IndexLink"/>
              </w:rPr>
              <w:t>9. Quick Reference – Recommended First Runs</w:t>
              <w:tab/>
              <w:t>20</w:t>
            </w:r>
          </w:hyperlink>
          <w:r>
            <w:rPr>
              <w:rStyle w:val="IndexLink"/>
            </w:rPr>
            <w:fldChar w:fldCharType="end"/>
          </w:r>
        </w:p>
      </w:sdtContent>
    </w:sdt>
    <w:p>
      <w:pPr>
        <w:pStyle w:val="Normal"/>
        <w:rPr/>
      </w:pPr>
      <w:r>
        <w:rPr/>
      </w:r>
      <w:bookmarkStart w:id="0" w:name="timing-characterization-synthesis-guide"/>
      <w:bookmarkStart w:id="1" w:name="timing-characterization-synthesis-guid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3051_3487549937"/>
      <w:bookmarkEnd w:id="2"/>
      <w:r>
        <w:rPr>
          <w:b/>
          <w:color w:val="FFFFFF"/>
          <w:sz w:val="32"/>
        </w:rPr>
        <w:t>Timing Characterization – Synthesis Guide</w: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 w:name="__RefHeading___Toc3053_3487549937"/>
      <w:bookmarkStart w:id="4" w:name="what-this-design-is-and-why-it-exists"/>
      <w:bookmarkEnd w:id="3"/>
      <w:r>
        <w:rPr>
          <w:b/>
          <w:color w:val="228B22"/>
          <w:sz w:val="28"/>
        </w:rPr>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1"/>
        </w:numPr>
        <w:rPr/>
      </w:pPr>
      <w:r>
        <w:rPr/>
        <w:t>FPGA families (Xilinx 7-series vs. UltraScale vs. Cyclone/Stratix)</w:t>
      </w:r>
    </w:p>
    <w:p>
      <w:pPr>
        <w:pStyle w:val="Compact"/>
        <w:numPr>
          <w:ilvl w:val="0"/>
          <w:numId w:val="1"/>
        </w:numPr>
        <w:rPr/>
      </w:pPr>
      <w:r>
        <w:rPr/>
        <w:t>ASIC standard-cell libraries (TSMC, GF, Samsung at various nodes)</w:t>
      </w:r>
    </w:p>
    <w:p>
      <w:pPr>
        <w:pStyle w:val="Compact"/>
        <w:numPr>
          <w:ilvl w:val="0"/>
          <w:numId w:val="1"/>
        </w:numPr>
        <w:rPr/>
      </w:pPr>
      <w:r>
        <w:rPr/>
        <w:t>Synthesis tool settings (effort levels, mapping strategies)</w:t>
      </w:r>
    </w:p>
    <w:p>
      <w:pPr>
        <w:pStyle w:val="Compact"/>
        <w:numPr>
          <w:ilvl w:val="0"/>
          <w:numId w:val="1"/>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5" w:name="what-this-design-is-and-why-it-exis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pBdr>
          <w:bottom w:val="single" w:sz="12" w:space="0" w:color="228B22"/>
        </w:pBdr>
        <w:spacing w:before="280" w:after="80"/>
        <w:rPr/>
      </w:pPr>
      <w:bookmarkStart w:id="6" w:name="__RefHeading___Toc3055_3487549937"/>
      <w:bookmarkStart w:id="7" w:name="architecture-overview"/>
      <w:bookmarkEnd w:id="6"/>
      <w:r>
        <w:rPr>
          <w:b/>
          <w:color w:val="228B22"/>
          <w:sz w:val="28"/>
        </w:rPr>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8" w:name="architecture-overview"/>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3057_3487549937"/>
      <w:bookmarkStart w:id="10" w:name="X9505e980668b75d36d2751248fea19bf091173e"/>
      <w:bookmarkEnd w:id="9"/>
      <w:r>
        <w:rPr>
          <w:b/>
          <w:color w:val="228B22"/>
          <w:sz w:val="28"/>
        </w:rPr>
        <w:t>3. FUB Catalog – Characterization Purpose of Each Block</w:t>
      </w:r>
    </w:p>
    <w:p>
      <w:pPr>
        <w:pStyle w:val="Heading3"/>
        <w:spacing w:before="200" w:after="80"/>
        <w:rPr/>
      </w:pPr>
      <w:bookmarkStart w:id="11" w:name="__RefHeading___Toc3059_3487549937"/>
      <w:bookmarkStart w:id="12" w:name="nand_chain-nand-gate-binary-tree"/>
      <w:bookmarkEnd w:id="11"/>
      <w:r>
        <w:rPr>
          <w:b/>
          <w:color w:val="404040"/>
          <w:sz w:val="24"/>
        </w:rPr>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13" w:name="nand_chain-nand-gate-binary-tre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spacing w:before="200" w:after="80"/>
        <w:rPr/>
      </w:pPr>
      <w:bookmarkStart w:id="14" w:name="__RefHeading___Toc3061_3487549937"/>
      <w:bookmarkStart w:id="15" w:name="inverter_chain-inverter-chain"/>
      <w:bookmarkEnd w:id="14"/>
      <w:r>
        <w:rPr>
          <w:b/>
          <w:color w:val="404040"/>
          <w:sz w:val="24"/>
        </w:rPr>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16" w:name="inverter_chain-inverter-chai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3"/>
        <w:spacing w:before="200" w:after="80"/>
        <w:rPr/>
      </w:pPr>
      <w:bookmarkStart w:id="17" w:name="__RefHeading___Toc3063_3487549937"/>
      <w:bookmarkStart w:id="18" w:name="xor_tree-xor-gate-binary-tree"/>
      <w:bookmarkEnd w:id="17"/>
      <w:r>
        <w:rPr>
          <w:b/>
          <w:color w:val="404040"/>
          <w:sz w:val="24"/>
        </w:rPr>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19" w:name="xor_tree-xor-gate-binary-tre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3"/>
        <w:spacing w:before="200" w:after="80"/>
        <w:rPr/>
      </w:pPr>
      <w:bookmarkStart w:id="20" w:name="__RefHeading___Toc3065_3487549937"/>
      <w:bookmarkStart w:id="21" w:name="carry_chain-ripple-carry-adder"/>
      <w:bookmarkEnd w:id="20"/>
      <w:r>
        <w:rPr>
          <w:b/>
          <w:color w:val="404040"/>
          <w:sz w:val="24"/>
        </w:rPr>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Quartus targets).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22" w:name="carry_chain-ripple-carry-adde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3"/>
        <w:spacing w:before="200" w:after="80"/>
        <w:rPr/>
      </w:pPr>
      <w:bookmarkStart w:id="23" w:name="__RefHeading___Toc3067_3487549937"/>
      <w:bookmarkStart w:id="24" w:name="multiplier_tree-multiplier-wrapper"/>
      <w:bookmarkEnd w:id="23"/>
      <w:r>
        <w:rPr>
          <w:b/>
          <w:color w:val="404040"/>
          <w:sz w:val="24"/>
        </w:rPr>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25" w:name="multiplier_tree-multiplier-wrappe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3"/>
        <w:spacing w:before="200" w:after="80"/>
        <w:rPr/>
      </w:pPr>
      <w:bookmarkStart w:id="26" w:name="__RefHeading___Toc3069_3487549937"/>
      <w:bookmarkStart w:id="27" w:name="mux_tree-binary-mux-tree"/>
      <w:bookmarkEnd w:id="26"/>
      <w:r>
        <w:rPr>
          <w:b/>
          <w:color w:val="404040"/>
          <w:sz w:val="24"/>
        </w:rPr>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28" w:name="mux_tree-binary-mux-tree"/>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p>
    <w:p>
      <w:pPr>
        <w:pStyle w:val="Heading3"/>
        <w:spacing w:before="200" w:after="80"/>
        <w:rPr/>
      </w:pPr>
      <w:bookmarkStart w:id="29" w:name="__RefHeading___Toc3071_3487549937"/>
      <w:bookmarkStart w:id="30" w:name="queue_depth-fifo-queue"/>
      <w:bookmarkEnd w:id="29"/>
      <w:r>
        <w:rPr>
          <w:b/>
          <w:color w:val="404040"/>
          <w:sz w:val="24"/>
        </w:rPr>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31" w:name="queue_depth-fifo-queu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3"/>
        <w:spacing w:before="200" w:after="80"/>
        <w:rPr/>
      </w:pPr>
      <w:bookmarkStart w:id="32" w:name="__RefHeading___Toc3073_3487549937"/>
      <w:bookmarkStart w:id="33" w:name="X7ddc119973811cac97f64c070918fb0731f65cb"/>
      <w:bookmarkEnd w:id="32"/>
      <w:r>
        <w:rPr>
          <w:b/>
          <w:color w:val="404040"/>
          <w:sz w:val="24"/>
        </w:rPr>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34" w:name="X7ddc119973811cac97f64c070918fb0731f65cb"/>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3"/>
        <w:spacing w:before="200" w:after="80"/>
        <w:rPr/>
      </w:pPr>
      <w:bookmarkStart w:id="35" w:name="__RefHeading___Toc3075_3487549937"/>
      <w:bookmarkStart w:id="36" w:name="gray_counter_chain-gray-counter"/>
      <w:bookmarkEnd w:id="35"/>
      <w:r>
        <w:rPr>
          <w:b/>
          <w:color w:val="404040"/>
          <w:sz w:val="24"/>
        </w:rPr>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37" w:name="X9505e980668b75d36d2751248fea19bf091173e"/>
      <w:bookmarkStart w:id="38" w:name="gray_counter_chain-gray-counte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3077_3487549937"/>
      <w:bookmarkStart w:id="40" w:name="the-lfsr-anti-optimization-engine"/>
      <w:bookmarkEnd w:id="39"/>
      <w:r>
        <w:rPr>
          <w:b/>
          <w:color w:val="228B22"/>
          <w:sz w:val="28"/>
        </w:rPr>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5"/>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2"/>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2"/>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1" w:name="the-lfsr-anti-optimization-engine"/>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pBdr>
          <w:bottom w:val="single" w:sz="12" w:space="0" w:color="228B22"/>
        </w:pBdr>
        <w:spacing w:before="280" w:after="80"/>
        <w:rPr/>
      </w:pPr>
      <w:bookmarkStart w:id="42" w:name="__RefHeading___Toc3079_3487549937"/>
      <w:bookmarkStart w:id="43" w:name="sdc-constraints-strategy"/>
      <w:bookmarkEnd w:id="42"/>
      <w:r>
        <w:rPr>
          <w:b/>
          <w:color w:val="228B22"/>
          <w:sz w:val="28"/>
        </w:rPr>
        <w:t>5. SDC Constraints Strategy</w:t>
      </w:r>
    </w:p>
    <w:p>
      <w:pPr>
        <w:pStyle w:val="Heading3"/>
        <w:spacing w:before="200" w:after="80"/>
        <w:rPr/>
      </w:pPr>
      <w:bookmarkStart w:id="44" w:name="__RefHeading___Toc3081_3487549937"/>
      <w:bookmarkStart w:id="45" w:name="multi-flow-sdc"/>
      <w:bookmarkEnd w:id="44"/>
      <w:r>
        <w:rPr>
          <w:b/>
          <w:color w:val="404040"/>
          <w:sz w:val="24"/>
        </w:rPr>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 (</w:t>
            </w:r>
            <w:r>
              <w:rPr>
                <w:rStyle w:val="VerbatimChar"/>
                <w:rFonts w:eastAsia="Cambria" w:cs=""/>
                <w:kern w:val="0"/>
                <w:szCs w:val="24"/>
                <w:lang w:val="en-US" w:eastAsia="en-US" w:bidi="ar-SA"/>
              </w:rPr>
              <w:t>fpga/quartus/sweep_config.example.tcl</w:t>
            </w:r>
            <w:r>
              <w:rPr>
                <w:rFonts w:eastAsia="Cambria" w:cs=""/>
                <w:kern w:val="0"/>
                <w:sz w:val="24"/>
                <w:szCs w:val="24"/>
                <w:lang w:val="en-US" w:eastAsia="en-US" w:bidi="ar-SA"/>
              </w:rPr>
              <w:t>)</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5"/>
    </w:p>
    <w:p>
      <w:pPr>
        <w:pStyle w:val="Heading3"/>
        <w:spacing w:before="200" w:after="80"/>
        <w:rPr/>
      </w:pPr>
      <w:bookmarkStart w:id="46" w:name="__RefHeading___Toc3083_3487549937"/>
      <w:bookmarkEnd w:id="46"/>
      <w:r>
        <w:rPr>
          <w:b/>
          <w:color w:val="404040"/>
          <w:sz w:val="24"/>
        </w:rPr>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7" w:name="overridable-parameters"/>
            <w:bookmarkEnd w:id="47"/>
          </w:p>
        </w:tc>
      </w:tr>
    </w:tbl>
    <w:p>
      <w:pPr>
        <w:pStyle w:val="Heading3"/>
        <w:spacing w:before="200" w:after="80"/>
        <w:rPr/>
      </w:pPr>
      <w:bookmarkStart w:id="48" w:name="__RefHeading___Toc3085_3487549937"/>
      <w:bookmarkEnd w:id="48"/>
      <w:r>
        <w:rPr>
          <w:b/>
          <w:color w:val="404040"/>
          <w:sz w:val="24"/>
        </w:rPr>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V"</w:t>
      </w:r>
      <w:r>
        <w:rPr/>
        <w:br/>
      </w:r>
      <w:r>
        <w:rPr>
          <w:rStyle w:val="VerbatimChar"/>
        </w:rPr>
        <w:t>set_global_assignment -name DEVICE 5CGXFC5C6F27C7</w:t>
      </w:r>
      <w:r>
        <w:rPr/>
        <w:br/>
      </w:r>
      <w:r>
        <w:rPr>
          <w:rStyle w:val="VerbatimChar"/>
        </w:rPr>
        <w:t>set_global_assignment -name SDC_FILE timing_target.sdc   ;# a 6-line wrapper, see below</w:t>
      </w:r>
      <w:r>
        <w:rPr/>
        <w:br/>
      </w:r>
      <w:r>
        <w:rPr>
          <w:rStyle w:val="VerbatimChar"/>
        </w:rPr>
        <w:t>set_global_assignment -name OPTIMIZATION_MODE "HIGH PERFORMANCE EFFORT"</w:t>
      </w:r>
    </w:p>
    <w:p>
      <w:pPr>
        <w:pStyle w:val="FirstParagraph"/>
        <w:rPr/>
      </w:pPr>
      <w:r>
        <w:rPr>
          <w:sz w:val="20"/>
        </w:rPr>
        <w:t>The Timing Analyzer reads SDC as Tcl, so the wrapper it is pointed at sets the flow and sources the master file (there is no “pre-SDC hook”):</w:t>
      </w:r>
    </w:p>
    <w:p>
      <w:pPr>
        <w:pStyle w:val="SourceCode"/>
        <w:rPr/>
      </w:pPr>
      <w:r>
        <w:rPr>
          <w:rStyle w:val="CommentTok"/>
        </w:rPr>
        <w:t># timing_target.sdc</w:t>
      </w:r>
      <w:r>
        <w:rPr/>
        <w:br/>
      </w:r>
      <w:r>
        <w:rPr>
          <w:rStyle w:val="KeywordTok"/>
        </w:rPr>
        <w:t>set</w:t>
      </w:r>
      <w:r>
        <w:rPr>
          <w:rStyle w:val="NormalTok"/>
        </w:rPr>
        <w:t xml:space="preserve"> FLOW            quartus</w:t>
      </w:r>
      <w:r>
        <w:rPr/>
        <w:br/>
      </w:r>
      <w:r>
        <w:rPr>
          <w:rStyle w:val="KeywordTok"/>
        </w:rPr>
        <w:t>set</w:t>
      </w:r>
      <w:r>
        <w:rPr>
          <w:rStyle w:val="NormalTok"/>
        </w:rPr>
        <w:t xml:space="preserve"> TARGET_FREQ_MHZ </w:t>
      </w:r>
      <w:r>
        <w:rPr>
          <w:rStyle w:val="DecValTok"/>
        </w:rPr>
        <w:t>200</w:t>
      </w:r>
      <w:r>
        <w:rPr/>
        <w:br/>
      </w:r>
      <w:r>
        <w:rPr>
          <w:rStyle w:val="KeywordTok"/>
        </w:rPr>
        <w:t>source</w:t>
      </w:r>
      <w:r>
        <w:rPr>
          <w:rStyle w:val="NormalTok"/>
        </w:rPr>
        <w:t xml:space="preserve"> </w:t>
      </w:r>
      <w:r>
        <w:rPr>
          <w:rStyle w:val="StringTok"/>
        </w:rPr>
        <w:t>"/abs/path/to/rtl/syn/char_top.sdc"</w:t>
      </w:r>
    </w:p>
    <w:p>
      <w:pPr>
        <w:pStyle w:val="FirstParagraph"/>
        <w:rPr/>
      </w:pPr>
      <w:r>
        <w:rPr>
          <w:sz w:val="20"/>
        </w:rPr>
        <w:t xml:space="preserve">This is exactly what </w:t>
      </w:r>
      <w:r>
        <w:rPr>
          <w:rStyle w:val="VerbatimChar"/>
          <w:sz w:val="20"/>
        </w:rPr>
        <w:t>fpga/quartus/syn_sweep_quartus.tcl</w:t>
      </w:r>
      <w:r>
        <w:rPr>
          <w:sz w:val="20"/>
        </w:rPr>
        <w:t xml:space="preserve"> generates per sweep point; </w:t>
      </w:r>
      <w:r>
        <w:rPr>
          <w:rStyle w:val="VerbatimChar"/>
          <w:sz w:val="20"/>
        </w:rPr>
        <w:t>cd fpga &amp;&amp; make quartus-sweep</w:t>
      </w:r>
      <w:r>
        <w:rPr>
          <w:sz w:val="20"/>
        </w:rPr>
        <w:t xml:space="preserve"> runs the whole loop and </w:t>
      </w:r>
      <w:r>
        <w:rPr>
          <w:rStyle w:val="VerbatimChar"/>
          <w:sz w:val="20"/>
        </w:rPr>
        <w:t>fpga/quartus/sta_reports.tcl</w:t>
      </w:r>
      <w:r>
        <w:rPr>
          <w:sz w:val="20"/>
        </w:rPr>
        <w:t xml:space="preserve"> adds per-FUB slack / data delay / logic levels. Two Timing Analyzer differences are folded into the master SDC: </w:t>
      </w:r>
      <w:r>
        <w:rPr>
          <w:rStyle w:val="VerbatimChar"/>
          <w:sz w:val="20"/>
        </w:rPr>
        <w:t>set_clock_uncertainty</w:t>
      </w:r>
      <w:r>
        <w:rPr>
          <w:sz w:val="20"/>
        </w:rPr>
        <w:t xml:space="preserve"> takes </w:t>
      </w:r>
      <w:r>
        <w:rPr>
          <w:rStyle w:val="VerbatimChar"/>
          <w:sz w:val="20"/>
        </w:rPr>
        <w:t>-to &lt;clock&gt;</w:t>
      </w:r>
      <w:r>
        <w:rPr>
          <w:sz w:val="20"/>
        </w:rPr>
        <w:t xml:space="preserve"> with the value LAST, and </w:t>
      </w:r>
      <w:r>
        <w:rPr>
          <w:rStyle w:val="VerbatimChar"/>
          <w:sz w:val="20"/>
        </w:rPr>
        <w:t>set_load</w:t>
      </w:r>
      <w:r>
        <w:rPr>
          <w:sz w:val="20"/>
        </w:rPr>
        <w:t xml:space="preserve"> is not implemented (</w:t>
      </w:r>
      <w:r>
        <w:rPr>
          <w:rStyle w:val="VerbatimChar"/>
          <w:sz w:val="20"/>
        </w:rPr>
        <w:t>read_sdc</w:t>
      </w:r>
      <w:r>
        <w:rPr>
          <w:sz w:val="20"/>
        </w:rPr>
        <w:t xml:space="preserve"> aborts on it).</w:t>
      </w:r>
    </w:p>
    <w:p>
      <w:pPr>
        <w:pStyle w:val="Heading3"/>
        <w:spacing w:before="200" w:after="80"/>
        <w:rPr/>
      </w:pPr>
      <w:bookmarkStart w:id="49" w:name="__RefHeading___Toc3087_3487549937"/>
      <w:bookmarkStart w:id="50" w:name="the-8020-io-split"/>
      <w:bookmarkEnd w:id="49"/>
      <w:r>
        <w:rPr>
          <w:b/>
          <w:color w:val="404040"/>
          <w:sz w:val="24"/>
        </w:rPr>
        <w:t>5.4 The 80/20 I/O Split</w:t>
      </w:r>
    </w:p>
    <w:p>
      <w:pPr>
        <w:pStyle w:val="FirstParagraph"/>
        <w:rPr/>
      </w:pPr>
      <w:r>
        <w:rPr>
          <w:sz w:val="20"/>
        </w:rPr>
        <w:t>The 80% input delay / 20% output delay split is intentional:</w:t>
      </w:r>
    </w:p>
    <w:p>
      <w:pPr>
        <w:pStyle w:val="Normal"/>
        <w:numPr>
          <w:ilvl w:val="0"/>
          <w:numId w:val="6"/>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7"/>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50"/>
    </w:p>
    <w:p>
      <w:pPr>
        <w:pStyle w:val="Heading3"/>
        <w:spacing w:before="200" w:after="80"/>
        <w:rPr/>
      </w:pPr>
      <w:bookmarkStart w:id="51" w:name="__RefHeading___Toc3089_3487549937"/>
      <w:bookmarkStart w:id="52" w:name="sweeping-frequency"/>
      <w:bookmarkEnd w:id="51"/>
      <w:r>
        <w:rPr>
          <w:b/>
          <w:color w:val="404040"/>
          <w:sz w:val="24"/>
        </w:rPr>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53" w:name="sweeping-frequency"/>
      <w:r>
        <w:rPr>
          <w:sz w:val="20"/>
        </w:rPr>
        <w:t>Typical sweep points: 100, 200, 300, 400, 500, 600, 750, 1000 MHz.</w:t>
      </w:r>
      <w:bookmarkEnd w:id="53"/>
    </w:p>
    <w:p>
      <w:pPr>
        <w:pStyle w:val="Heading3"/>
        <w:spacing w:before="200" w:after="80"/>
        <w:rPr/>
      </w:pPr>
      <w:bookmarkStart w:id="54" w:name="__RefHeading___Toc3091_3487549937"/>
      <w:bookmarkStart w:id="55" w:name="tool-specific-features"/>
      <w:bookmarkEnd w:id="54"/>
      <w:r>
        <w:rPr>
          <w:b/>
          <w:color w:val="404040"/>
          <w:sz w:val="24"/>
        </w:rPr>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supported by the Timing Analyzer; 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slack/delay/levels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-group</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fpga/quartus/sta_reports.tcl</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fub_slack.csv</w:t>
            </w:r>
            <w:r>
              <w:rPr>
                <w:rFonts w:eastAsia="Cambria" w:cs=""/>
                <w:kern w:val="0"/>
                <w:sz w:val="24"/>
                <w:szCs w:val="24"/>
                <w:lang w:val="en-US" w:eastAsia="en-US" w:bidi="ar-SA"/>
              </w:rPr>
              <w:t xml:space="preserve"> (automated)</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56" w:name="sdc-constraints-strategy"/>
      <w:bookmarkStart w:id="57" w:name="tool-specific-featur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p>
    <w:p>
      <w:pPr>
        <w:pStyle w:val="Heading2"/>
        <w:pBdr>
          <w:bottom w:val="single" w:sz="12" w:space="0" w:color="228B22"/>
        </w:pBdr>
        <w:spacing w:before="280" w:after="80"/>
        <w:rPr/>
      </w:pPr>
      <w:bookmarkStart w:id="58" w:name="__RefHeading___Toc3093_3487549937"/>
      <w:bookmarkStart w:id="59" w:name="synthesis-workflow"/>
      <w:bookmarkEnd w:id="58"/>
      <w:r>
        <w:rPr>
          <w:b/>
          <w:color w:val="228B22"/>
          <w:sz w:val="28"/>
        </w:rPr>
        <w:t>6. Synthesis Workflow</w:t>
      </w:r>
    </w:p>
    <w:p>
      <w:pPr>
        <w:pStyle w:val="Heading3"/>
        <w:spacing w:before="200" w:after="80"/>
        <w:rPr/>
      </w:pPr>
      <w:bookmarkStart w:id="60" w:name="__RefHeading___Toc3095_3487549937"/>
      <w:bookmarkStart w:id="61" w:name="single-fub-characterization"/>
      <w:bookmarkEnd w:id="60"/>
      <w:r>
        <w:rPr>
          <w:b/>
          <w:color w:val="404040"/>
          <w:sz w:val="24"/>
        </w:rPr>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61"/>
    </w:p>
    <w:p>
      <w:pPr>
        <w:pStyle w:val="Heading3"/>
        <w:spacing w:before="200" w:after="80"/>
        <w:rPr/>
      </w:pPr>
      <w:bookmarkStart w:id="62" w:name="__RefHeading___Toc3097_3487549937"/>
      <w:bookmarkStart w:id="63" w:name="parameter-sweep"/>
      <w:bookmarkEnd w:id="62"/>
      <w:r>
        <w:rPr>
          <w:b/>
          <w:color w:val="404040"/>
          <w:sz w:val="24"/>
        </w:rPr>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63"/>
    </w:p>
    <w:p>
      <w:pPr>
        <w:pStyle w:val="Heading3"/>
        <w:spacing w:before="200" w:after="80"/>
        <w:rPr/>
      </w:pPr>
      <w:bookmarkStart w:id="64" w:name="__RefHeading___Toc3099_3487549937"/>
      <w:bookmarkStart w:id="65" w:name="cross-fub-comparison"/>
      <w:bookmarkEnd w:id="64"/>
      <w:r>
        <w:rPr>
          <w:b/>
          <w:color w:val="404040"/>
          <w:sz w:val="24"/>
        </w:rPr>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65"/>
    </w:p>
    <w:p>
      <w:pPr>
        <w:pStyle w:val="Heading3"/>
        <w:spacing w:before="200" w:after="80"/>
        <w:rPr/>
      </w:pPr>
      <w:bookmarkStart w:id="66" w:name="__RefHeading___Toc3101_3487549937"/>
      <w:bookmarkStart w:id="67" w:name="cross-technology-comparison"/>
      <w:bookmarkEnd w:id="66"/>
      <w:r>
        <w:rPr>
          <w:b/>
          <w:color w:val="404040"/>
          <w:sz w:val="24"/>
        </w:rPr>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68" w:name="synthesis-workflow"/>
      <w:bookmarkStart w:id="69" w:name="cross-technology-comparis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bookmarkEnd w:id="69"/>
    </w:p>
    <w:p>
      <w:pPr>
        <w:pStyle w:val="Heading2"/>
        <w:pBdr>
          <w:bottom w:val="single" w:sz="12" w:space="0" w:color="228B22"/>
        </w:pBdr>
        <w:spacing w:before="280" w:after="80"/>
        <w:rPr/>
      </w:pPr>
      <w:bookmarkStart w:id="70" w:name="__RefHeading___Toc3103_3487549937"/>
      <w:bookmarkStart w:id="71" w:name="interpreting-results"/>
      <w:bookmarkEnd w:id="70"/>
      <w:r>
        <w:rPr>
          <w:b/>
          <w:color w:val="228B22"/>
          <w:sz w:val="28"/>
        </w:rPr>
        <w:t>7. Interpreting Results</w:t>
      </w:r>
    </w:p>
    <w:p>
      <w:pPr>
        <w:pStyle w:val="Heading3"/>
        <w:spacing w:before="200" w:after="80"/>
        <w:rPr/>
      </w:pPr>
      <w:bookmarkStart w:id="72" w:name="__RefHeading___Toc3105_3487549937"/>
      <w:bookmarkEnd w:id="72"/>
      <w:r>
        <w:rPr>
          <w:b/>
          <w:color w:val="404040"/>
          <w:sz w:val="24"/>
        </w:rPr>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73" w:name="key-metrics"/>
            <w:bookmarkEnd w:id="73"/>
          </w:p>
        </w:tc>
      </w:tr>
    </w:tbl>
    <w:p>
      <w:pPr>
        <w:pStyle w:val="Heading3"/>
        <w:spacing w:before="200" w:after="80"/>
        <w:rPr/>
      </w:pPr>
      <w:bookmarkStart w:id="74" w:name="__RefHeading___Toc3107_3487549937"/>
      <w:bookmarkEnd w:id="74"/>
      <w:r>
        <w:rPr>
          <w:b/>
          <w:color w:val="404040"/>
          <w:sz w:val="24"/>
        </w:rPr>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75" w:name="__RefHeading___Toc3109_3487549937"/>
      <w:bookmarkEnd w:id="75"/>
      <w:r>
        <w:rPr>
          <w:b/>
          <w:color w:val="404040"/>
          <w:sz w:val="24"/>
        </w:rPr>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76" w:name="interpreting-resul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2"/>
        <w:pBdr>
          <w:bottom w:val="single" w:sz="12" w:space="0" w:color="228B22"/>
        </w:pBdr>
        <w:spacing w:before="280" w:after="80"/>
        <w:rPr/>
      </w:pPr>
      <w:bookmarkStart w:id="77" w:name="__RefHeading___Toc3111_3487549937"/>
      <w:bookmarkStart w:id="78" w:name="file-organization"/>
      <w:bookmarkEnd w:id="77"/>
      <w:r>
        <w:rPr>
          <w:b/>
          <w:color w:val="228B22"/>
          <w:sz w:val="28"/>
        </w:rPr>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79" w:name="file-organiz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3113_3487549937"/>
      <w:bookmarkStart w:id="81" w:name="quick-reference-recommended-first-runs"/>
      <w:bookmarkEnd w:id="80"/>
      <w:r>
        <w:rPr>
          <w:b/>
          <w:color w:val="228B22"/>
          <w:sz w:val="28"/>
        </w:rPr>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1"/>
      <w:bookmarkEnd w:id="81"/>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 Synthesis Guide Per-FUB recipes, the multi-flow SDC, and how to read the results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 Synthesis Guide Per-FUB recipes, the multi-flow SDC, and how to read the results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2026-10-02T15:24:15Z</dcterms:created>
  <dc:creator/>
  <dc:description/>
  <dc:language>en-US</dc:language>
  <cp:lastModifiedBy/>
  <dcterms:modified xsi:type="dcterms:W3CDTF">2026-10-02T08:24:20Z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