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Timing Characterization -- Synthesis Guide Per-FUB recipes, the multi-flow SDC, and how to read the results</w:t>
      </w:r>
    </w:p>
    <w:p>
      <w:pPr>
        <w:pStyle w:val="Normal"/>
        <w:keepNext w:val="true"/>
        <w:spacing w:before="400" w:after="200"/>
        <w:jc w:val="center"/>
        <w:rPr/>
      </w:pPr>
      <w:r>
        <w:rPr>
          <w:rFonts w:ascii="Calibri" w:hAnsi="Calibri"/>
          <w:b/>
          <w:color w:val="000000"/>
          <w:sz w:val="20"/>
        </w:rPr>
        <w:t>September 29,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051_3737963300">
            <w:r>
              <w:rPr>
                <w:webHidden/>
                <w:rStyle w:val="IndexLink"/>
              </w:rPr>
              <w:t>Timing Characterization – Synthesis Guide</w:t>
              <w:tab/>
              <w:t>6</w:t>
            </w:r>
          </w:hyperlink>
        </w:p>
        <w:p>
          <w:pPr>
            <w:pStyle w:val="TOC2"/>
            <w:tabs>
              <w:tab w:val="clear" w:pos="9077"/>
              <w:tab w:val="right" w:pos="9359" w:leader="dot"/>
            </w:tabs>
            <w:rPr/>
          </w:pPr>
          <w:hyperlink w:anchor="__RefHeading___Toc3053_3737963300">
            <w:r>
              <w:rPr>
                <w:webHidden/>
                <w:rStyle w:val="IndexLink"/>
              </w:rPr>
              <w:t>1. What This Design Is and Why It Exists</w:t>
              <w:tab/>
              <w:t>6</w:t>
            </w:r>
          </w:hyperlink>
        </w:p>
        <w:p>
          <w:pPr>
            <w:pStyle w:val="TOC2"/>
            <w:tabs>
              <w:tab w:val="clear" w:pos="9077"/>
              <w:tab w:val="right" w:pos="9359" w:leader="dot"/>
            </w:tabs>
            <w:rPr/>
          </w:pPr>
          <w:hyperlink w:anchor="__RefHeading___Toc3055_3737963300">
            <w:r>
              <w:rPr>
                <w:webHidden/>
                <w:rStyle w:val="IndexLink"/>
              </w:rPr>
              <w:t>2. Architecture Overview</w:t>
              <w:tab/>
              <w:t>6</w:t>
            </w:r>
          </w:hyperlink>
        </w:p>
        <w:p>
          <w:pPr>
            <w:pStyle w:val="TOC2"/>
            <w:tabs>
              <w:tab w:val="clear" w:pos="9077"/>
              <w:tab w:val="right" w:pos="9359" w:leader="dot"/>
            </w:tabs>
            <w:rPr/>
          </w:pPr>
          <w:hyperlink w:anchor="__RefHeading___Toc3057_3737963300">
            <w:r>
              <w:rPr>
                <w:webHidden/>
                <w:rStyle w:val="IndexLink"/>
              </w:rPr>
              <w:t>3. FUB Catalog – Characterization Purpose of Each Block</w:t>
              <w:tab/>
              <w:t>7</w:t>
            </w:r>
          </w:hyperlink>
        </w:p>
        <w:p>
          <w:pPr>
            <w:pStyle w:val="TOC3"/>
            <w:tabs>
              <w:tab w:val="clear" w:pos="8793"/>
              <w:tab w:val="right" w:pos="9359" w:leader="dot"/>
            </w:tabs>
            <w:rPr/>
          </w:pPr>
          <w:hyperlink w:anchor="__RefHeading___Toc3059_3737963300">
            <w:r>
              <w:rPr>
                <w:webHidden/>
                <w:rStyle w:val="IndexLink"/>
              </w:rPr>
              <w:t>3.1 nand_chain (NAND Gate Binary Tree)</w:t>
              <w:tab/>
              <w:t>7</w:t>
            </w:r>
          </w:hyperlink>
        </w:p>
        <w:p>
          <w:pPr>
            <w:pStyle w:val="TOC3"/>
            <w:tabs>
              <w:tab w:val="clear" w:pos="8793"/>
              <w:tab w:val="right" w:pos="9359" w:leader="dot"/>
            </w:tabs>
            <w:rPr/>
          </w:pPr>
          <w:hyperlink w:anchor="__RefHeading___Toc3061_3737963300">
            <w:r>
              <w:rPr>
                <w:webHidden/>
                <w:rStyle w:val="IndexLink"/>
              </w:rPr>
              <w:t>3.2 inverter_chain (Inverter Chain)</w:t>
              <w:tab/>
              <w:t>8</w:t>
            </w:r>
          </w:hyperlink>
        </w:p>
        <w:p>
          <w:pPr>
            <w:pStyle w:val="TOC3"/>
            <w:tabs>
              <w:tab w:val="clear" w:pos="8793"/>
              <w:tab w:val="right" w:pos="9359" w:leader="dot"/>
            </w:tabs>
            <w:rPr/>
          </w:pPr>
          <w:hyperlink w:anchor="__RefHeading___Toc3063_3737963300">
            <w:r>
              <w:rPr>
                <w:webHidden/>
                <w:rStyle w:val="IndexLink"/>
              </w:rPr>
              <w:t>3.3 xor_tree (XOR Gate Binary Tree)</w:t>
              <w:tab/>
              <w:t>8</w:t>
            </w:r>
          </w:hyperlink>
        </w:p>
        <w:p>
          <w:pPr>
            <w:pStyle w:val="TOC3"/>
            <w:tabs>
              <w:tab w:val="clear" w:pos="8793"/>
              <w:tab w:val="right" w:pos="9359" w:leader="dot"/>
            </w:tabs>
            <w:rPr/>
          </w:pPr>
          <w:hyperlink w:anchor="__RefHeading___Toc3065_3737963300">
            <w:r>
              <w:rPr>
                <w:webHidden/>
                <w:rStyle w:val="IndexLink"/>
              </w:rPr>
              <w:t>3.4 carry_chain (Ripple-Carry Adder)</w:t>
              <w:tab/>
              <w:t>9</w:t>
            </w:r>
          </w:hyperlink>
        </w:p>
        <w:p>
          <w:pPr>
            <w:pStyle w:val="TOC3"/>
            <w:tabs>
              <w:tab w:val="clear" w:pos="8793"/>
              <w:tab w:val="right" w:pos="9359" w:leader="dot"/>
            </w:tabs>
            <w:rPr/>
          </w:pPr>
          <w:hyperlink w:anchor="__RefHeading___Toc3067_3737963300">
            <w:r>
              <w:rPr>
                <w:webHidden/>
                <w:rStyle w:val="IndexLink"/>
              </w:rPr>
              <w:t>3.5 multiplier_tree (Multiplier Wrapper)</w:t>
              <w:tab/>
              <w:t>10</w:t>
            </w:r>
          </w:hyperlink>
        </w:p>
        <w:p>
          <w:pPr>
            <w:pStyle w:val="TOC3"/>
            <w:tabs>
              <w:tab w:val="clear" w:pos="8793"/>
              <w:tab w:val="right" w:pos="9359" w:leader="dot"/>
            </w:tabs>
            <w:rPr/>
          </w:pPr>
          <w:hyperlink w:anchor="__RefHeading___Toc3069_3737963300">
            <w:r>
              <w:rPr>
                <w:webHidden/>
                <w:rStyle w:val="IndexLink"/>
              </w:rPr>
              <w:t>3.6 mux_tree (Binary Mux Tree)</w:t>
              <w:tab/>
              <w:t>10</w:t>
            </w:r>
          </w:hyperlink>
        </w:p>
        <w:p>
          <w:pPr>
            <w:pStyle w:val="TOC3"/>
            <w:tabs>
              <w:tab w:val="clear" w:pos="8793"/>
              <w:tab w:val="right" w:pos="9359" w:leader="dot"/>
            </w:tabs>
            <w:rPr/>
          </w:pPr>
          <w:hyperlink w:anchor="__RefHeading___Toc3071_3737963300">
            <w:r>
              <w:rPr>
                <w:webHidden/>
                <w:rStyle w:val="IndexLink"/>
              </w:rPr>
              <w:t>3.7 queue_depth (FIFO Queue)</w:t>
              <w:tab/>
              <w:t>11</w:t>
            </w:r>
          </w:hyperlink>
        </w:p>
        <w:p>
          <w:pPr>
            <w:pStyle w:val="TOC3"/>
            <w:tabs>
              <w:tab w:val="clear" w:pos="8793"/>
              <w:tab w:val="right" w:pos="9359" w:leader="dot"/>
            </w:tabs>
            <w:rPr/>
          </w:pPr>
          <w:hyperlink w:anchor="__RefHeading___Toc3073_3737963300">
            <w:r>
              <w:rPr>
                <w:webHidden/>
                <w:rStyle w:val="IndexLink"/>
              </w:rPr>
              <w:t>3.8 clock_divider_chain (Clock Divider Cascade)</w:t>
              <w:tab/>
              <w:t>12</w:t>
            </w:r>
          </w:hyperlink>
        </w:p>
        <w:p>
          <w:pPr>
            <w:pStyle w:val="TOC3"/>
            <w:tabs>
              <w:tab w:val="clear" w:pos="8793"/>
              <w:tab w:val="right" w:pos="9359" w:leader="dot"/>
            </w:tabs>
            <w:rPr/>
          </w:pPr>
          <w:hyperlink w:anchor="__RefHeading___Toc3075_3737963300">
            <w:r>
              <w:rPr>
                <w:webHidden/>
                <w:rStyle w:val="IndexLink"/>
              </w:rPr>
              <w:t>3.9 gray_counter_chain (Gray Counter)</w:t>
              <w:tab/>
              <w:t>12</w:t>
            </w:r>
          </w:hyperlink>
        </w:p>
        <w:p>
          <w:pPr>
            <w:pStyle w:val="TOC2"/>
            <w:tabs>
              <w:tab w:val="clear" w:pos="9077"/>
              <w:tab w:val="right" w:pos="9359" w:leader="dot"/>
            </w:tabs>
            <w:rPr/>
          </w:pPr>
          <w:hyperlink w:anchor="__RefHeading___Toc3077_3737963300">
            <w:r>
              <w:rPr>
                <w:webHidden/>
                <w:rStyle w:val="IndexLink"/>
              </w:rPr>
              <w:t>4. The LFSR – Anti-Optimization Engine</w:t>
              <w:tab/>
              <w:t>13</w:t>
            </w:r>
          </w:hyperlink>
        </w:p>
        <w:p>
          <w:pPr>
            <w:pStyle w:val="TOC2"/>
            <w:tabs>
              <w:tab w:val="clear" w:pos="9077"/>
              <w:tab w:val="right" w:pos="9359" w:leader="dot"/>
            </w:tabs>
            <w:rPr/>
          </w:pPr>
          <w:hyperlink w:anchor="__RefHeading___Toc3079_3737963300">
            <w:r>
              <w:rPr>
                <w:webHidden/>
                <w:rStyle w:val="IndexLink"/>
              </w:rPr>
              <w:t>5. SDC Constraints Strategy</w:t>
              <w:tab/>
              <w:t>13</w:t>
            </w:r>
          </w:hyperlink>
        </w:p>
        <w:p>
          <w:pPr>
            <w:pStyle w:val="TOC3"/>
            <w:tabs>
              <w:tab w:val="clear" w:pos="8793"/>
              <w:tab w:val="right" w:pos="9359" w:leader="dot"/>
            </w:tabs>
            <w:rPr/>
          </w:pPr>
          <w:hyperlink w:anchor="__RefHeading___Toc3081_3737963300">
            <w:r>
              <w:rPr>
                <w:webHidden/>
                <w:rStyle w:val="IndexLink"/>
              </w:rPr>
              <w:t>5.1 Multi-Flow SDC</w:t>
              <w:tab/>
              <w:t>13</w:t>
            </w:r>
          </w:hyperlink>
        </w:p>
        <w:p>
          <w:pPr>
            <w:pStyle w:val="TOC3"/>
            <w:tabs>
              <w:tab w:val="clear" w:pos="8793"/>
              <w:tab w:val="right" w:pos="9359" w:leader="dot"/>
            </w:tabs>
            <w:rPr/>
          </w:pPr>
          <w:hyperlink w:anchor="__RefHeading___Toc3083_3737963300">
            <w:r>
              <w:rPr>
                <w:webHidden/>
                <w:rStyle w:val="IndexLink"/>
              </w:rPr>
              <w:t>5.2 Overridable Parameters</w:t>
              <w:tab/>
              <w:t>14</w:t>
            </w:r>
          </w:hyperlink>
        </w:p>
        <w:p>
          <w:pPr>
            <w:pStyle w:val="TOC3"/>
            <w:tabs>
              <w:tab w:val="clear" w:pos="8793"/>
              <w:tab w:val="right" w:pos="9359" w:leader="dot"/>
            </w:tabs>
            <w:rPr/>
          </w:pPr>
          <w:hyperlink w:anchor="__RefHeading___Toc3085_3737963300">
            <w:r>
              <w:rPr>
                <w:webHidden/>
                <w:rStyle w:val="IndexLink"/>
              </w:rPr>
              <w:t>5.3 What Each Flow Requires Externally</w:t>
              <w:tab/>
              <w:t>14</w:t>
            </w:r>
          </w:hyperlink>
        </w:p>
        <w:p>
          <w:pPr>
            <w:pStyle w:val="TOC3"/>
            <w:tabs>
              <w:tab w:val="clear" w:pos="8793"/>
              <w:tab w:val="right" w:pos="9359" w:leader="dot"/>
            </w:tabs>
            <w:rPr/>
          </w:pPr>
          <w:hyperlink w:anchor="__RefHeading___Toc3087_3737963300">
            <w:r>
              <w:rPr>
                <w:webHidden/>
                <w:rStyle w:val="IndexLink"/>
              </w:rPr>
              <w:t>5.4 The 80/20 I/O Split</w:t>
              <w:tab/>
              <w:t>15</w:t>
            </w:r>
          </w:hyperlink>
        </w:p>
        <w:p>
          <w:pPr>
            <w:pStyle w:val="TOC3"/>
            <w:tabs>
              <w:tab w:val="clear" w:pos="8793"/>
              <w:tab w:val="right" w:pos="9359" w:leader="dot"/>
            </w:tabs>
            <w:rPr/>
          </w:pPr>
          <w:hyperlink w:anchor="__RefHeading___Toc3089_3737963300">
            <w:r>
              <w:rPr>
                <w:webHidden/>
                <w:rStyle w:val="IndexLink"/>
              </w:rPr>
              <w:t>5.5 Sweeping Frequency</w:t>
              <w:tab/>
              <w:t>15</w:t>
            </w:r>
          </w:hyperlink>
        </w:p>
        <w:p>
          <w:pPr>
            <w:pStyle w:val="TOC3"/>
            <w:tabs>
              <w:tab w:val="clear" w:pos="8793"/>
              <w:tab w:val="right" w:pos="9359" w:leader="dot"/>
            </w:tabs>
            <w:rPr/>
          </w:pPr>
          <w:hyperlink w:anchor="__RefHeading___Toc3091_3737963300">
            <w:r>
              <w:rPr>
                <w:webHidden/>
                <w:rStyle w:val="IndexLink"/>
              </w:rPr>
              <w:t>5.6 Tool-Specific Features</w:t>
              <w:tab/>
              <w:t>16</w:t>
            </w:r>
          </w:hyperlink>
        </w:p>
        <w:p>
          <w:pPr>
            <w:pStyle w:val="TOC2"/>
            <w:tabs>
              <w:tab w:val="clear" w:pos="9077"/>
              <w:tab w:val="right" w:pos="9359" w:leader="dot"/>
            </w:tabs>
            <w:rPr/>
          </w:pPr>
          <w:hyperlink w:anchor="__RefHeading___Toc3093_3737963300">
            <w:r>
              <w:rPr>
                <w:webHidden/>
                <w:rStyle w:val="IndexLink"/>
              </w:rPr>
              <w:t>6. Synthesis Workflow</w:t>
              <w:tab/>
              <w:t>16</w:t>
            </w:r>
          </w:hyperlink>
        </w:p>
        <w:p>
          <w:pPr>
            <w:pStyle w:val="TOC3"/>
            <w:tabs>
              <w:tab w:val="clear" w:pos="8793"/>
              <w:tab w:val="right" w:pos="9359" w:leader="dot"/>
            </w:tabs>
            <w:rPr/>
          </w:pPr>
          <w:hyperlink w:anchor="__RefHeading___Toc3095_3737963300">
            <w:r>
              <w:rPr>
                <w:webHidden/>
                <w:rStyle w:val="IndexLink"/>
              </w:rPr>
              <w:t>6.1 Single-FUB Characterization</w:t>
              <w:tab/>
              <w:t>16</w:t>
            </w:r>
          </w:hyperlink>
        </w:p>
        <w:p>
          <w:pPr>
            <w:pStyle w:val="TOC3"/>
            <w:tabs>
              <w:tab w:val="clear" w:pos="8793"/>
              <w:tab w:val="right" w:pos="9359" w:leader="dot"/>
            </w:tabs>
            <w:rPr/>
          </w:pPr>
          <w:hyperlink w:anchor="__RefHeading___Toc3097_3737963300">
            <w:r>
              <w:rPr>
                <w:webHidden/>
                <w:rStyle w:val="IndexLink"/>
              </w:rPr>
              <w:t>6.2 Parameter Sweep</w:t>
              <w:tab/>
              <w:t>17</w:t>
            </w:r>
          </w:hyperlink>
        </w:p>
        <w:p>
          <w:pPr>
            <w:pStyle w:val="TOC3"/>
            <w:tabs>
              <w:tab w:val="clear" w:pos="8793"/>
              <w:tab w:val="right" w:pos="9359" w:leader="dot"/>
            </w:tabs>
            <w:rPr/>
          </w:pPr>
          <w:hyperlink w:anchor="__RefHeading___Toc3099_3737963300">
            <w:r>
              <w:rPr>
                <w:webHidden/>
                <w:rStyle w:val="IndexLink"/>
              </w:rPr>
              <w:t>6.3 Cross-FUB Comparison</w:t>
              <w:tab/>
              <w:t>17</w:t>
            </w:r>
          </w:hyperlink>
        </w:p>
        <w:p>
          <w:pPr>
            <w:pStyle w:val="TOC3"/>
            <w:tabs>
              <w:tab w:val="clear" w:pos="8793"/>
              <w:tab w:val="right" w:pos="9359" w:leader="dot"/>
            </w:tabs>
            <w:rPr/>
          </w:pPr>
          <w:hyperlink w:anchor="__RefHeading___Toc3101_3737963300">
            <w:r>
              <w:rPr>
                <w:webHidden/>
                <w:rStyle w:val="IndexLink"/>
              </w:rPr>
              <w:t>6.4 Cross-Technology Comparison</w:t>
              <w:tab/>
              <w:t>17</w:t>
            </w:r>
          </w:hyperlink>
        </w:p>
        <w:p>
          <w:pPr>
            <w:pStyle w:val="TOC2"/>
            <w:tabs>
              <w:tab w:val="clear" w:pos="9077"/>
              <w:tab w:val="right" w:pos="9359" w:leader="dot"/>
            </w:tabs>
            <w:rPr/>
          </w:pPr>
          <w:hyperlink w:anchor="__RefHeading___Toc3103_3737963300">
            <w:r>
              <w:rPr>
                <w:webHidden/>
                <w:rStyle w:val="IndexLink"/>
              </w:rPr>
              <w:t>7. Interpreting Results</w:t>
              <w:tab/>
              <w:t>17</w:t>
            </w:r>
          </w:hyperlink>
        </w:p>
        <w:p>
          <w:pPr>
            <w:pStyle w:val="TOC3"/>
            <w:tabs>
              <w:tab w:val="clear" w:pos="8793"/>
              <w:tab w:val="right" w:pos="9359" w:leader="dot"/>
            </w:tabs>
            <w:rPr/>
          </w:pPr>
          <w:hyperlink w:anchor="__RefHeading___Toc3105_3737963300">
            <w:r>
              <w:rPr>
                <w:webHidden/>
                <w:rStyle w:val="IndexLink"/>
              </w:rPr>
              <w:t>7.1 Key Metrics</w:t>
              <w:tab/>
              <w:t>17</w:t>
            </w:r>
          </w:hyperlink>
        </w:p>
        <w:p>
          <w:pPr>
            <w:pStyle w:val="TOC3"/>
            <w:tabs>
              <w:tab w:val="clear" w:pos="8793"/>
              <w:tab w:val="right" w:pos="9359" w:leader="dot"/>
            </w:tabs>
            <w:rPr/>
          </w:pPr>
          <w:hyperlink w:anchor="__RefHeading___Toc3107_3737963300">
            <w:r>
              <w:rPr>
                <w:webHidden/>
                <w:rStyle w:val="IndexLink"/>
              </w:rPr>
              <w:t>7.2 Expected Trends</w:t>
              <w:tab/>
              <w:t>18</w:t>
            </w:r>
          </w:hyperlink>
        </w:p>
        <w:p>
          <w:pPr>
            <w:pStyle w:val="TOC3"/>
            <w:tabs>
              <w:tab w:val="clear" w:pos="8793"/>
              <w:tab w:val="right" w:pos="9359" w:leader="dot"/>
            </w:tabs>
            <w:rPr/>
          </w:pPr>
          <w:hyperlink w:anchor="__RefHeading___Toc3109_3737963300">
            <w:r>
              <w:rPr>
                <w:webHidden/>
                <w:rStyle w:val="IndexLink"/>
              </w:rPr>
              <w:t>7.3 Normalizing Across Technologies</w:t>
              <w:tab/>
              <w:t>19</w:t>
            </w:r>
          </w:hyperlink>
        </w:p>
        <w:p>
          <w:pPr>
            <w:pStyle w:val="TOC2"/>
            <w:tabs>
              <w:tab w:val="clear" w:pos="9077"/>
              <w:tab w:val="right" w:pos="9359" w:leader="dot"/>
            </w:tabs>
            <w:rPr/>
          </w:pPr>
          <w:hyperlink w:anchor="__RefHeading___Toc3111_3737963300">
            <w:r>
              <w:rPr>
                <w:webHidden/>
                <w:rStyle w:val="IndexLink"/>
              </w:rPr>
              <w:t>8. File Organization</w:t>
              <w:tab/>
              <w:t>19</w:t>
            </w:r>
          </w:hyperlink>
        </w:p>
        <w:p>
          <w:pPr>
            <w:pStyle w:val="TOC2"/>
            <w:tabs>
              <w:tab w:val="clear" w:pos="9077"/>
              <w:tab w:val="right" w:pos="9359" w:leader="dot"/>
            </w:tabs>
            <w:rPr/>
          </w:pPr>
          <w:hyperlink w:anchor="__RefHeading___Toc3113_3737963300">
            <w:r>
              <w:rPr>
                <w:webHidden/>
                <w:rStyle w:val="IndexLink"/>
              </w:rPr>
              <w:t>9. Quick Reference – Recommended First Runs</w:t>
              <w:tab/>
              <w:t>20</w:t>
            </w:r>
          </w:hyperlink>
          <w:r>
            <w:rPr>
              <w:rStyle w:val="IndexLink"/>
            </w:rPr>
            <w:fldChar w:fldCharType="end"/>
          </w:r>
        </w:p>
      </w:sdtContent>
    </w:sdt>
    <w:p>
      <w:pPr>
        <w:pStyle w:val="Normal"/>
        <w:rPr/>
      </w:pPr>
      <w:r>
        <w:rPr/>
      </w:r>
      <w:bookmarkStart w:id="0" w:name="timing-characterization-synthesis-guide"/>
      <w:bookmarkStart w:id="1" w:name="timing-characterization-synthesis-guide"/>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3051_3737963300"/>
      <w:bookmarkEnd w:id="2"/>
      <w:r>
        <w:rPr>
          <w:b/>
          <w:color w:val="FFFFFF"/>
          <w:sz w:val="32"/>
        </w:rPr>
        <w:t>Timing Characterization – Synthesis Guide</w:t>
      </w:r>
    </w:p>
    <w:p>
      <w:pPr>
        <w:pStyle w:val="FirstParagraph"/>
        <w:rPr/>
      </w:pPr>
      <w:r>
        <w:rPr>
          <w:b/>
          <w:bCs/>
          <w:sz w:val="20"/>
        </w:rPr>
        <w:t>Version:</w:t>
      </w:r>
      <w:r>
        <w:rPr>
          <w:sz w:val="20"/>
        </w:rPr>
        <w:t xml:space="preserve"> 1.0 </w:t>
      </w:r>
      <w:r>
        <w:rPr>
          <w:b/>
          <w:bCs/>
          <w:sz w:val="20"/>
        </w:rPr>
        <w:t>Last Updated:</w:t>
      </w:r>
      <w:r>
        <w:rPr>
          <w:sz w:val="20"/>
        </w:rPr>
        <w:t xml:space="preserve"> 2026-03-18 </w:t>
      </w:r>
      <w:r>
        <w:rPr>
          <w:b/>
          <w:bCs/>
          <w:sz w:val="20"/>
        </w:rPr>
        <w:t>Purpose:</w:t>
      </w:r>
      <w:r>
        <w:rPr>
          <w:sz w:val="20"/>
        </w:rPr>
        <w:t xml:space="preserve"> Detailed guide to synthesizing and interpreting timing characterization results</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 w:name="__RefHeading___Toc3053_3737963300"/>
      <w:bookmarkStart w:id="4" w:name="what-this-design-is-and-why-it-exists"/>
      <w:bookmarkEnd w:id="3"/>
      <w:r>
        <w:rPr>
          <w:b/>
          <w:color w:val="228B22"/>
          <w:sz w:val="28"/>
        </w:rPr>
        <w:t>1. What This Design Is and Why It Exists</w:t>
      </w:r>
    </w:p>
    <w:p>
      <w:pPr>
        <w:pStyle w:val="FirstParagraph"/>
        <w:rPr/>
      </w:pPr>
      <w:r>
        <w:rPr>
          <w:rStyle w:val="VerbatimChar"/>
          <w:sz w:val="20"/>
        </w:rPr>
        <w:t>char_top</w:t>
      </w:r>
      <w:r>
        <w:rPr>
          <w:sz w:val="20"/>
        </w:rPr>
        <w:t xml:space="preserve"> is a </w:t>
      </w:r>
      <w:r>
        <w:rPr>
          <w:b/>
          <w:bCs/>
          <w:sz w:val="20"/>
        </w:rPr>
        <w:t>synthesis benchmarking harness</w:t>
      </w:r>
      <w:r>
        <w:rPr>
          <w:sz w:val="20"/>
        </w:rPr>
        <w:t>. It does not implement a useful datapath – its sole purpose is to force synthesis tools to build specific combinational structures between registered endpoints so that the resulting timing reports can be compared across:</w:t>
      </w:r>
    </w:p>
    <w:p>
      <w:pPr>
        <w:pStyle w:val="Compact"/>
        <w:numPr>
          <w:ilvl w:val="0"/>
          <w:numId w:val="1"/>
        </w:numPr>
        <w:rPr/>
      </w:pPr>
      <w:r>
        <w:rPr/>
        <w:t>FPGA families (Xilinx 7-series vs. UltraScale vs. Cyclone/Stratix)</w:t>
      </w:r>
    </w:p>
    <w:p>
      <w:pPr>
        <w:pStyle w:val="Compact"/>
        <w:numPr>
          <w:ilvl w:val="0"/>
          <w:numId w:val="1"/>
        </w:numPr>
        <w:rPr/>
      </w:pPr>
      <w:r>
        <w:rPr/>
        <w:t>ASIC standard-cell libraries (TSMC, GF, Samsung at various nodes)</w:t>
      </w:r>
    </w:p>
    <w:p>
      <w:pPr>
        <w:pStyle w:val="Compact"/>
        <w:numPr>
          <w:ilvl w:val="0"/>
          <w:numId w:val="1"/>
        </w:numPr>
        <w:rPr/>
      </w:pPr>
      <w:r>
        <w:rPr/>
        <w:t>Synthesis tool settings (effort levels, mapping strategies)</w:t>
      </w:r>
    </w:p>
    <w:p>
      <w:pPr>
        <w:pStyle w:val="Compact"/>
        <w:numPr>
          <w:ilvl w:val="0"/>
          <w:numId w:val="1"/>
        </w:numPr>
        <w:rPr/>
      </w:pPr>
      <w:r>
        <w:rPr/>
        <w:t>Parameter sweeps (wider adders, deeper trees, bigger multipliers)</w:t>
      </w:r>
    </w:p>
    <w:p>
      <w:pPr>
        <w:pStyle w:val="FirstParagraph"/>
        <w:rPr/>
      </w:pPr>
      <w:r>
        <w:rPr>
          <w:sz w:val="20"/>
        </w:rPr>
        <w:t xml:space="preserve">Every flip-flop input is driven by a 32-bit Galois LFSR that produces a maximal-length pseudo-random sequence. Every flip-flop output is routed to a top-level port. Together these two measures guarantee that the synthesis tool </w:t>
      </w:r>
      <w:r>
        <w:rPr>
          <w:b/>
          <w:bCs/>
          <w:sz w:val="20"/>
        </w:rPr>
        <w:t>cannot</w:t>
      </w:r>
      <w:r>
        <w:rPr>
          <w:sz w:val="20"/>
        </w:rPr>
        <w:t xml:space="preserve"> constant-propagate inputs or prune unused outputs. Additionally, every internal combinational net carries vendor-appropriate </w:t>
      </w:r>
      <w:r>
        <w:rPr>
          <w:rStyle w:val="VerbatimChar"/>
          <w:sz w:val="20"/>
        </w:rPr>
        <w:t>dont_touch</w:t>
      </w:r>
      <w:r>
        <w:rPr>
          <w:sz w:val="20"/>
        </w:rPr>
        <w:t xml:space="preserve"> / </w:t>
      </w:r>
      <w:r>
        <w:rPr>
          <w:rStyle w:val="VerbatimChar"/>
          <w:sz w:val="20"/>
        </w:rPr>
        <w:t>preserve</w:t>
      </w:r>
      <w:r>
        <w:rPr>
          <w:sz w:val="20"/>
        </w:rPr>
        <w:t xml:space="preserve"> attributes as a second line of defense.</w:t>
      </w:r>
    </w:p>
    <w:p>
      <w:pPr>
        <w:pStyle w:val="BodyText"/>
        <w:rPr/>
      </w:pPr>
      <w:r>
        <w:rPr>
          <w:sz w:val="20"/>
        </w:rPr>
        <w:t>The design is organized as a single top-level wrapper (</w:t>
      </w:r>
      <w:r>
        <w:rPr>
          <w:rStyle w:val="VerbatimChar"/>
          <w:sz w:val="20"/>
        </w:rPr>
        <w:t>char_top</w:t>
      </w:r>
      <w:r>
        <w:rPr>
          <w:sz w:val="20"/>
        </w:rPr>
        <w:t xml:space="preserve">) that conditionally instantiates nine </w:t>
      </w:r>
      <w:r>
        <w:rPr>
          <w:b/>
          <w:bCs/>
          <w:sz w:val="20"/>
        </w:rPr>
        <w:t>Functional Unit Blocks (FUBs)</w:t>
      </w:r>
      <w:r>
        <w:rPr>
          <w:sz w:val="20"/>
        </w:rPr>
        <w:t>. Each FUB isolates a different class of combinational logic so that its timing can be reported independently.</w:t>
      </w:r>
    </w:p>
    <w:p>
      <w:pPr>
        <w:pStyle w:val="Normal"/>
        <w:rPr/>
      </w:pPr>
      <w:bookmarkStart w:id="5" w:name="what-this-design-is-and-why-it-exists"/>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pBdr>
          <w:bottom w:val="single" w:sz="12" w:space="0" w:color="228B22"/>
        </w:pBdr>
        <w:spacing w:before="280" w:after="80"/>
        <w:rPr/>
      </w:pPr>
      <w:bookmarkStart w:id="6" w:name="__RefHeading___Toc3055_3737963300"/>
      <w:bookmarkStart w:id="7" w:name="architecture-overview"/>
      <w:bookmarkEnd w:id="6"/>
      <w:r>
        <w:rPr>
          <w:b/>
          <w:color w:val="228B22"/>
          <w:sz w:val="28"/>
        </w:rPr>
        <w:t>2. Architecture Overview</w:t>
      </w:r>
    </w:p>
    <w:p>
      <w:pPr>
        <w:pStyle w:val="SourceCode"/>
        <w:rPr/>
      </w:pPr>
      <w:r>
        <w:rPr>
          <w:rStyle w:val="VerbatimChar"/>
        </w:rPr>
        <w:t xml:space="preserve">                    </w:t>
      </w:r>
      <w:r>
        <w:rPr>
          <w:rStyle w:val="VerbatimChar"/>
        </w:rPr>
        <w:t>+------------------------------------------+</w:t>
      </w:r>
      <w:r>
        <w:rPr/>
        <w:br/>
      </w:r>
      <w:r>
        <w:rPr>
          <w:rStyle w:val="VerbatimChar"/>
        </w:rPr>
        <w:t xml:space="preserve">                    |              char_top                    |</w:t>
      </w:r>
      <w:r>
        <w:rPr/>
        <w:br/>
      </w:r>
      <w:r>
        <w:rPr>
          <w:rStyle w:val="VerbatimChar"/>
        </w:rPr>
        <w:t xml:space="preserve">                    |                                          |</w:t>
      </w:r>
      <w:r>
        <w:rPr/>
        <w:br/>
      </w:r>
      <w:r>
        <w:rPr>
          <w:rStyle w:val="VerbatimChar"/>
        </w:rPr>
        <w:t xml:space="preserve">  i_seed_valid ----&gt;|  +--------+                              |</w:t>
      </w:r>
      <w:r>
        <w:rPr/>
        <w:br/>
      </w:r>
      <w:r>
        <w:rPr>
          <w:rStyle w:val="VerbatimChar"/>
        </w:rPr>
        <w:t xml:space="preserve">  i_seed_data  ----&gt;|  | 32-bit |   r_lfsr[31:0]               |</w:t>
      </w:r>
      <w:r>
        <w:rPr/>
        <w:br/>
      </w:r>
      <w:r>
        <w:rPr>
          <w:rStyle w:val="VerbatimChar"/>
        </w:rPr>
        <w:t xml:space="preserve">                    |  | Galois |--------------------------+--&gt;| FUB inputs</w:t>
      </w:r>
      <w:r>
        <w:rPr/>
        <w:br/>
      </w:r>
      <w:r>
        <w:rPr>
          <w:rStyle w:val="VerbatimChar"/>
        </w:rPr>
        <w:t xml:space="preserve">                    |  |  LFSR  |                          |   |</w:t>
      </w:r>
      <w:r>
        <w:rPr/>
        <w:br/>
      </w:r>
      <w:r>
        <w:rPr>
          <w:rStyle w:val="VerbatimChar"/>
        </w:rPr>
        <w:t xml:space="preserve">                    |  +--------+                          |   |</w:t>
      </w:r>
      <w:r>
        <w:rPr/>
        <w:br/>
      </w:r>
      <w:r>
        <w:rPr>
          <w:rStyle w:val="VerbatimChar"/>
        </w:rPr>
        <w:t xml:space="preserve">                    |                                      |   |</w:t>
      </w:r>
      <w:r>
        <w:rPr/>
        <w:br/>
      </w:r>
      <w:r>
        <w:rPr>
          <w:rStyle w:val="VerbatimChar"/>
        </w:rPr>
        <w:t xml:space="preserve">                    |  +-------------+  +--------------+   |   |</w:t>
      </w:r>
      <w:r>
        <w:rPr/>
        <w:br/>
      </w:r>
      <w:r>
        <w:rPr>
          <w:rStyle w:val="VerbatimChar"/>
        </w:rPr>
        <w:t xml:space="preserve">                    |  | nand_chain  |  | inverter_chain|  |   |</w:t>
      </w:r>
      <w:r>
        <w:rPr/>
        <w:br/>
      </w:r>
      <w:r>
        <w:rPr>
          <w:rStyle w:val="VerbatimChar"/>
        </w:rPr>
        <w:t xml:space="preserve">                    |  | (NAND tree) |  | (INV chain)  |&lt;--+   |</w:t>
      </w:r>
      <w:r>
        <w:rPr/>
        <w:br/>
      </w:r>
      <w:r>
        <w:rPr>
          <w:rStyle w:val="VerbatimChar"/>
        </w:rPr>
        <w:t xml:space="preserve">                    |  +------+------+  +------+-------+   |   |</w:t>
      </w:r>
      <w:r>
        <w:rPr/>
        <w:br/>
      </w:r>
      <w:r>
        <w:rPr>
          <w:rStyle w:val="VerbatimChar"/>
        </w:rPr>
        <w:t xml:space="preserve">                    |         |                |           |   |</w:t>
      </w:r>
      <w:r>
        <w:rPr/>
        <w:br/>
      </w:r>
      <w:r>
        <w:rPr>
          <w:rStyle w:val="VerbatimChar"/>
        </w:rPr>
        <w:t xml:space="preserve">                    |  +------+------+  +------+-------+   |   |</w:t>
      </w:r>
      <w:r>
        <w:rPr/>
        <w:br/>
      </w:r>
      <w:r>
        <w:rPr>
          <w:rStyle w:val="VerbatimChar"/>
        </w:rPr>
        <w:t xml:space="preserve">                    |  | xor_tree    |  | carry_chain  |&lt;--+   |</w:t>
      </w:r>
      <w:r>
        <w:rPr/>
        <w:br/>
      </w:r>
      <w:r>
        <w:rPr>
          <w:rStyle w:val="VerbatimChar"/>
        </w:rPr>
        <w:t xml:space="preserve">                    |  | (XOR tree)  |  | (adder)      |   |   |</w:t>
      </w:r>
      <w:r>
        <w:rPr/>
        <w:br/>
      </w:r>
      <w:r>
        <w:rPr>
          <w:rStyle w:val="VerbatimChar"/>
        </w:rPr>
        <w:t xml:space="preserve">                    |  +------+------+  +------+-------+   |   |</w:t>
      </w:r>
      <w:r>
        <w:rPr/>
        <w:br/>
      </w:r>
      <w:r>
        <w:rPr>
          <w:rStyle w:val="VerbatimChar"/>
        </w:rPr>
        <w:t xml:space="preserve">                    |         |                |           |   |</w:t>
      </w:r>
      <w:r>
        <w:rPr/>
        <w:br/>
      </w:r>
      <w:r>
        <w:rPr>
          <w:rStyle w:val="VerbatimChar"/>
        </w:rPr>
        <w:t xml:space="preserve">                    |  +------+------+  +------+-------+   |   |</w:t>
      </w:r>
      <w:r>
        <w:rPr/>
        <w:br/>
      </w:r>
      <w:r>
        <w:rPr>
          <w:rStyle w:val="VerbatimChar"/>
        </w:rPr>
        <w:t xml:space="preserve">                    |  | mux_tree    |  | multiplier   |&lt;--+   |</w:t>
      </w:r>
      <w:r>
        <w:rPr/>
        <w:br/>
      </w:r>
      <w:r>
        <w:rPr>
          <w:rStyle w:val="VerbatimChar"/>
        </w:rPr>
        <w:t xml:space="preserve">                    |  | (MUX tree)  |  |   _tree      |   |   |</w:t>
      </w:r>
      <w:r>
        <w:rPr/>
        <w:br/>
      </w:r>
      <w:r>
        <w:rPr>
          <w:rStyle w:val="VerbatimChar"/>
        </w:rPr>
        <w:t xml:space="preserve">                    |  +------+------+  +------+-------+   |   |</w:t>
      </w:r>
      <w:r>
        <w:rPr/>
        <w:br/>
      </w:r>
      <w:r>
        <w:rPr>
          <w:rStyle w:val="VerbatimChar"/>
        </w:rPr>
        <w:t xml:space="preserve">                    |         |                |           |   |</w:t>
      </w:r>
      <w:r>
        <w:rPr/>
        <w:br/>
      </w:r>
      <w:r>
        <w:rPr>
          <w:rStyle w:val="VerbatimChar"/>
        </w:rPr>
        <w:t xml:space="preserve">                    |  +------+------+  +------+-------+   |   |</w:t>
      </w:r>
      <w:r>
        <w:rPr/>
        <w:br/>
      </w:r>
      <w:r>
        <w:rPr>
          <w:rStyle w:val="VerbatimChar"/>
        </w:rPr>
        <w:t xml:space="preserve">                    |  | queue_depth |  | clock_divider|   |   |</w:t>
      </w:r>
      <w:r>
        <w:rPr/>
        <w:br/>
      </w:r>
      <w:r>
        <w:rPr>
          <w:rStyle w:val="VerbatimChar"/>
        </w:rPr>
        <w:t xml:space="preserve">                    |  | (FIFO)      |  |   _chain     |&lt;--+   |</w:t>
      </w:r>
      <w:r>
        <w:rPr/>
        <w:br/>
      </w:r>
      <w:r>
        <w:rPr>
          <w:rStyle w:val="VerbatimChar"/>
        </w:rPr>
        <w:t xml:space="preserve">                    |  +------+------+  +------+-------+   |   |</w:t>
      </w:r>
      <w:r>
        <w:rPr/>
        <w:br/>
      </w:r>
      <w:r>
        <w:rPr>
          <w:rStyle w:val="VerbatimChar"/>
        </w:rPr>
        <w:t xml:space="preserve">                    |         |                |           |   |</w:t>
      </w:r>
      <w:r>
        <w:rPr/>
        <w:br/>
      </w:r>
      <w:r>
        <w:rPr>
          <w:rStyle w:val="VerbatimChar"/>
        </w:rPr>
        <w:t xml:space="preserve">                    |  +------+-----------+    |           |   |</w:t>
      </w:r>
      <w:r>
        <w:rPr/>
        <w:br/>
      </w:r>
      <w:r>
        <w:rPr>
          <w:rStyle w:val="VerbatimChar"/>
        </w:rPr>
        <w:t xml:space="preserve">                    |  | gray_counter     |&lt;---+           |   |</w:t>
      </w:r>
      <w:r>
        <w:rPr/>
        <w:br/>
      </w:r>
      <w:r>
        <w:rPr>
          <w:rStyle w:val="VerbatimChar"/>
        </w:rPr>
        <w:t xml:space="preserve">                    |  |   _chain         |                |   |</w:t>
      </w:r>
      <w:r>
        <w:rPr/>
        <w:br/>
      </w:r>
      <w:r>
        <w:rPr>
          <w:rStyle w:val="VerbatimChar"/>
        </w:rPr>
        <w:t xml:space="preserve">                    |  +------+-----------+                |   |</w:t>
      </w:r>
      <w:r>
        <w:rPr/>
        <w:br/>
      </w:r>
      <w:r>
        <w:rPr>
          <w:rStyle w:val="VerbatimChar"/>
        </w:rPr>
        <w:t xml:space="preserve">                    |         |                            |   |</w:t>
      </w:r>
      <w:r>
        <w:rPr/>
        <w:br/>
      </w:r>
      <w:r>
        <w:rPr>
          <w:rStyle w:val="VerbatimChar"/>
        </w:rPr>
        <w:t xml:space="preserve">                    +---------+----------------------------+---+</w:t>
      </w:r>
      <w:r>
        <w:rPr/>
        <w:br/>
      </w:r>
      <w:r>
        <w:rPr>
          <w:rStyle w:val="VerbatimChar"/>
        </w:rPr>
        <w:t xml:space="preserve">                              |</w:t>
      </w:r>
      <w:r>
        <w:rPr/>
        <w:br/>
      </w:r>
      <w:r>
        <w:rPr>
          <w:rStyle w:val="VerbatimChar"/>
        </w:rPr>
        <w:t xml:space="preserve">                              v</w:t>
      </w:r>
      <w:r>
        <w:rPr/>
        <w:br/>
      </w:r>
      <w:r>
        <w:rPr>
          <w:rStyle w:val="VerbatimChar"/>
        </w:rPr>
        <w:t xml:space="preserve">                    o_nand, o_inverter, o_xor, o_carry, o_mult,</w:t>
      </w:r>
      <w:r>
        <w:rPr/>
        <w:br/>
      </w:r>
      <w:r>
        <w:rPr>
          <w:rStyle w:val="VerbatimChar"/>
        </w:rPr>
        <w:t xml:space="preserve">                    o_mux, o_queue_data, o_queue_valid, o_queue_count,</w:t>
      </w:r>
      <w:r>
        <w:rPr/>
        <w:br/>
      </w:r>
      <w:r>
        <w:rPr>
          <w:rStyle w:val="VerbatimChar"/>
        </w:rPr>
        <w:t xml:space="preserve">                    o_clk_div, o_gray_bin, o_gray_code</w:t>
      </w:r>
    </w:p>
    <w:p>
      <w:pPr>
        <w:pStyle w:val="FirstParagraph"/>
        <w:rPr/>
      </w:pPr>
      <w:r>
        <w:rPr>
          <w:sz w:val="20"/>
        </w:rPr>
        <w:t xml:space="preserve">Each FUB is controlled by an </w:t>
      </w:r>
      <w:r>
        <w:rPr>
          <w:rStyle w:val="VerbatimChar"/>
          <w:sz w:val="20"/>
        </w:rPr>
        <w:t>EN_*</w:t>
      </w:r>
      <w:r>
        <w:rPr>
          <w:sz w:val="20"/>
        </w:rPr>
        <w:t xml:space="preserve"> parameter. When disabled (</w:t>
      </w:r>
      <w:r>
        <w:rPr>
          <w:rStyle w:val="VerbatimChar"/>
          <w:sz w:val="20"/>
        </w:rPr>
        <w:t>EN_*=0</w:t>
      </w:r>
      <w:r>
        <w:rPr>
          <w:sz w:val="20"/>
        </w:rPr>
        <w:t>), the corresponding generate block emits only a tie-to-zero assignment and consumes zero logic. This allows targeted synthesis runs that isolate a single FUB or any combination.</w:t>
      </w:r>
    </w:p>
    <w:p>
      <w:pPr>
        <w:pStyle w:val="Normal"/>
        <w:rPr/>
      </w:pPr>
      <w:bookmarkStart w:id="8" w:name="architecture-overview"/>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3057_3737963300"/>
      <w:bookmarkStart w:id="10" w:name="X9505e980668b75d36d2751248fea19bf091173e"/>
      <w:bookmarkEnd w:id="9"/>
      <w:r>
        <w:rPr>
          <w:b/>
          <w:color w:val="228B22"/>
          <w:sz w:val="28"/>
        </w:rPr>
        <w:t>3. FUB Catalog – Characterization Purpose of Each Block</w:t>
      </w:r>
    </w:p>
    <w:p>
      <w:pPr>
        <w:pStyle w:val="Heading3"/>
        <w:spacing w:before="200" w:after="80"/>
        <w:rPr/>
      </w:pPr>
      <w:bookmarkStart w:id="11" w:name="__RefHeading___Toc3059_3737963300"/>
      <w:bookmarkStart w:id="12" w:name="nand_chain-nand-gate-binary-tree"/>
      <w:bookmarkEnd w:id="11"/>
      <w:r>
        <w:rPr>
          <w:b/>
          <w:color w:val="404040"/>
          <w:sz w:val="24"/>
        </w:rPr>
        <w:t>3.1 nand_chain (NAND Gate Binary Tree)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19"/>
        <w:gridCol w:w="3640"/>
      </w:tblGrid>
      <w:tr>
        <w:trPr>
          <w:tblHeader w:val="true"/>
        </w:trPr>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rtl/fub/nand_chain.sv</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EN_NAND_TREE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NAND_LEVELS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NUM_FLOPS</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NAND gate delays (root to leaf)</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 2-input NAND propagation through LUT fabric</w:t>
            </w:r>
          </w:p>
        </w:tc>
      </w:tr>
    </w:tbl>
    <w:p>
      <w:pPr>
        <w:pStyle w:val="BodyText"/>
        <w:rPr/>
      </w:pPr>
      <w:r>
        <w:rPr>
          <w:b/>
          <w:bCs/>
          <w:sz w:val="20"/>
        </w:rPr>
        <w:t>Structure:</w:t>
      </w:r>
      <w:r>
        <w:rPr>
          <w:sz w:val="20"/>
        </w:rPr>
        <w:t xml:space="preserve"> A complete binary tree of 2-input NAND gates. The leaf level reads from registered input flops; the root feeds a registered output flop. Heap-style indexing maps tree nodes to a flat array. When </w:t>
      </w:r>
      <w:r>
        <w:rPr>
          <w:rStyle w:val="VerbatimChar"/>
          <w:sz w:val="20"/>
        </w:rPr>
        <w:t>2^LEVELS &gt; NUM_FLOPS</w:t>
      </w:r>
      <w:r>
        <w:rPr>
          <w:sz w:val="20"/>
        </w:rPr>
        <w:t>, leaf inputs reuse flops via modulo wrapping – this preserves the full tree depth (and critical path) while bounding flop count.</w:t>
      </w:r>
    </w:p>
    <w:p>
      <w:pPr>
        <w:pStyle w:val="BodyText"/>
        <w:rPr/>
      </w:pPr>
      <w:r>
        <w:rPr>
          <w:b/>
          <w:bCs/>
          <w:sz w:val="20"/>
        </w:rPr>
        <w:t>Synthesis goal:</w:t>
      </w:r>
      <w:r>
        <w:rPr>
          <w:sz w:val="20"/>
        </w:rPr>
        <w:t xml:space="preserve"> Measure how NAND gate depth maps to LUT levels on FPGA or gate levels on ASIC. A LEVELS=8 tree creates 255 NAND gates with an 8-gate critical path. Compare slack at 500 MHz across devices to understand per-gate delay.</w:t>
      </w:r>
    </w:p>
    <w:p>
      <w:pPr>
        <w:pStyle w:val="Normal"/>
        <w:rPr/>
      </w:pPr>
      <w:bookmarkStart w:id="13" w:name="nand_chain-nand-gate-binary-tree"/>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p>
    <w:p>
      <w:pPr>
        <w:pStyle w:val="Heading3"/>
        <w:spacing w:before="200" w:after="80"/>
        <w:rPr/>
      </w:pPr>
      <w:bookmarkStart w:id="14" w:name="__RefHeading___Toc3061_3737963300"/>
      <w:bookmarkStart w:id="15" w:name="inverter_chain-inverter-chain"/>
      <w:bookmarkEnd w:id="14"/>
      <w:r>
        <w:rPr>
          <w:b/>
          <w:color w:val="404040"/>
          <w:sz w:val="24"/>
        </w:rPr>
        <w:t>3.2 inverter_chain (Inverter Chain)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rtl/fub/inverter_chain.sv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EN_INVERTER_CHAIN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INVERTER_COUNT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INVERTER_COUNT inverter delays (linear)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Pure gate delay without fan-in effects</w:t>
            </w:r>
          </w:p>
        </w:tc>
      </w:tr>
    </w:tbl>
    <w:p>
      <w:pPr>
        <w:pStyle w:val="BodyText"/>
        <w:rPr/>
      </w:pPr>
      <w:r>
        <w:rPr>
          <w:b/>
          <w:bCs/>
          <w:sz w:val="20"/>
        </w:rPr>
        <w:t>Structure:</w:t>
      </w:r>
      <w:r>
        <w:rPr>
          <w:sz w:val="20"/>
        </w:rPr>
        <w:t xml:space="preserve"> A simple linear chain of inverters: </w:t>
      </w:r>
      <w:r>
        <w:rPr>
          <w:rStyle w:val="VerbatimChar"/>
          <w:sz w:val="20"/>
        </w:rPr>
        <w:t>r_input_flop -&gt; ~() -&gt; ~() -&gt; ... -&gt; ~() -&gt; r_out_flop</w:t>
      </w:r>
      <w:r>
        <w:rPr>
          <w:sz w:val="20"/>
        </w:rPr>
        <w:t>. Even count = same polarity as input; odd count = inverted.</w:t>
      </w:r>
    </w:p>
    <w:p>
      <w:pPr>
        <w:pStyle w:val="BodyText"/>
        <w:rPr/>
      </w:pPr>
      <w:r>
        <w:rPr>
          <w:b/>
          <w:bCs/>
          <w:sz w:val="20"/>
        </w:rPr>
        <w:t>Synthesis goal:</w:t>
      </w:r>
      <w:r>
        <w:rPr>
          <w:sz w:val="20"/>
        </w:rPr>
        <w:t xml:space="preserve"> Baseline single-gate delay measurement. Inverters have zero fan-in overhead and minimal routing, so they represent the </w:t>
      </w:r>
      <w:r>
        <w:rPr>
          <w:b/>
          <w:bCs/>
          <w:sz w:val="20"/>
        </w:rPr>
        <w:t>best-case</w:t>
      </w:r>
      <w:r>
        <w:rPr>
          <w:sz w:val="20"/>
        </w:rPr>
        <w:t xml:space="preserve"> per-gate delay. Compare against NAND/XOR to isolate fan-in overhead. Sweep INVERTER_COUNT to find the linear region and the point where routing delay begins to dominate.</w:t>
      </w:r>
    </w:p>
    <w:p>
      <w:pPr>
        <w:pStyle w:val="Normal"/>
        <w:rPr/>
      </w:pPr>
      <w:bookmarkStart w:id="16" w:name="inverter_chain-inverter-chain"/>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p>
    <w:p>
      <w:pPr>
        <w:pStyle w:val="Heading3"/>
        <w:spacing w:before="200" w:after="80"/>
        <w:rPr/>
      </w:pPr>
      <w:bookmarkStart w:id="17" w:name="__RefHeading___Toc3063_3737963300"/>
      <w:bookmarkStart w:id="18" w:name="xor_tree-xor-gate-binary-tree"/>
      <w:bookmarkEnd w:id="17"/>
      <w:r>
        <w:rPr>
          <w:b/>
          <w:color w:val="404040"/>
          <w:sz w:val="24"/>
        </w:rPr>
        <w:t>3.3 xor_tree (XOR Gate Binary Tree)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rtl/fub/xor_tree.sv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EN_XOR_TREE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XOR_LEVELS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XOR gate delays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XOR-specific LUT packing efficiency</w:t>
            </w:r>
          </w:p>
        </w:tc>
      </w:tr>
    </w:tbl>
    <w:p>
      <w:pPr>
        <w:pStyle w:val="BodyText"/>
        <w:rPr/>
      </w:pPr>
      <w:r>
        <w:rPr>
          <w:b/>
          <w:bCs/>
          <w:sz w:val="20"/>
        </w:rPr>
        <w:t>Structure:</w:t>
      </w:r>
      <w:r>
        <w:rPr>
          <w:sz w:val="20"/>
        </w:rPr>
        <w:t xml:space="preserve"> Identical topology to nand_chain but with XOR gates instead of NAND. Same heap indexing and modulo flop reuse.</w:t>
      </w:r>
    </w:p>
    <w:p>
      <w:pPr>
        <w:pStyle w:val="BodyText"/>
        <w:rPr/>
      </w:pPr>
      <w:r>
        <w:rPr>
          <w:b/>
          <w:bCs/>
          <w:sz w:val="20"/>
        </w:rPr>
        <w:t>Synthesis goal:</w:t>
      </w:r>
      <w:r>
        <w:rPr>
          <w:sz w:val="20"/>
        </w:rPr>
        <w:t xml:space="preserve"> XOR gates stress FPGA LUTs differently than NAND. On Xilinx, a 6-input LUT can absorb multiple XOR levels, while NAND chains often pack fewer levels per LUT. Comparing XOR tree slack against NAND tree slack at the same depth reveals LUT packing efficiency for each gate type.</w:t>
      </w:r>
    </w:p>
    <w:p>
      <w:pPr>
        <w:pStyle w:val="Normal"/>
        <w:rPr/>
      </w:pPr>
      <w:bookmarkStart w:id="19" w:name="xor_tree-xor-gate-binary-tree"/>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p>
    <w:p>
      <w:pPr>
        <w:pStyle w:val="Heading3"/>
        <w:spacing w:before="200" w:after="80"/>
        <w:rPr/>
      </w:pPr>
      <w:bookmarkStart w:id="20" w:name="__RefHeading___Toc3065_3737963300"/>
      <w:bookmarkStart w:id="21" w:name="carry_chain-ripple-carry-adder"/>
      <w:bookmarkEnd w:id="20"/>
      <w:r>
        <w:rPr>
          <w:b/>
          <w:color w:val="404040"/>
          <w:sz w:val="24"/>
        </w:rPr>
        <w:t>3.4 carry_chain (Ripple-Carry Adder)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rtl/fub/carry_chain.sv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EN_CARRY_CHAIN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CARRY_WIDTH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carry-propagation delays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carry-chain resource speed</w:t>
            </w:r>
          </w:p>
        </w:tc>
      </w:tr>
    </w:tbl>
    <w:p>
      <w:pPr>
        <w:pStyle w:val="BodyText"/>
        <w:rPr/>
      </w:pPr>
      <w:r>
        <w:rPr>
          <w:b/>
          <w:bCs/>
          <w:sz w:val="20"/>
        </w:rPr>
        <w:t>Structure:</w:t>
      </w:r>
      <w:r>
        <w:rPr>
          <w:sz w:val="20"/>
        </w:rPr>
        <w:t xml:space="preserve"> Two registered input vectors feed a simple </w:t>
      </w:r>
      <w:r>
        <w:rPr>
          <w:rStyle w:val="VerbatimChar"/>
          <w:sz w:val="20"/>
        </w:rPr>
        <w:t>+</w:t>
      </w:r>
      <w:r>
        <w:rPr>
          <w:sz w:val="20"/>
        </w:rPr>
        <w:t xml:space="preserve"> operator. The synthesis tool infers a ripple-carry adder and maps it to dedicated fast-carry resources (CARRY4/CARRY8 on Xilinx, ALM carry on Quartus targets). The output is WIDTH+1 bits (including carry-out).</w:t>
      </w:r>
    </w:p>
    <w:p>
      <w:pPr>
        <w:pStyle w:val="BodyText"/>
        <w:rPr/>
      </w:pPr>
      <w:r>
        <w:rPr>
          <w:b/>
          <w:bCs/>
          <w:sz w:val="20"/>
        </w:rPr>
        <w:t>Synthesis goal:</w:t>
      </w:r>
      <w:r>
        <w:rPr>
          <w:sz w:val="20"/>
        </w:rPr>
        <w:t xml:space="preserve"> Measure the speed of the dedicated carry chain versus generic LUT routing. On modern FPGAs, carry chains run at sub-100ps per bit – far faster than LUT-routed equivalents. Sweep CARRY_WIDTH from 8 to 256+ to find the width at which carry propagation becomes the limiting factor at the target frequency. This directly informs max-width adder decisions for production datapaths.</w:t>
      </w:r>
    </w:p>
    <w:p>
      <w:pPr>
        <w:pStyle w:val="Normal"/>
        <w:rPr/>
      </w:pPr>
      <w:bookmarkStart w:id="22" w:name="carry_chain-ripple-carry-adde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
    </w:p>
    <w:p>
      <w:pPr>
        <w:pStyle w:val="Heading3"/>
        <w:spacing w:before="200" w:after="80"/>
        <w:rPr/>
      </w:pPr>
      <w:bookmarkStart w:id="23" w:name="__RefHeading___Toc3067_3737963300"/>
      <w:bookmarkStart w:id="24" w:name="multiplier_tree-multiplier-wrapper"/>
      <w:bookmarkEnd w:id="23"/>
      <w:r>
        <w:rPr>
          <w:b/>
          <w:color w:val="404040"/>
          <w:sz w:val="24"/>
        </w:rPr>
        <w:t>3.5 multiplier_tree (Multiplier Wrapper)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rtl/fub/multiplier_tree.sv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EN_MULTIPLIER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MULT_TYPE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 reduction tree depth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 vs. LUT-fabric multiplier timing</w:t>
            </w:r>
          </w:p>
        </w:tc>
      </w:tr>
    </w:tbl>
    <w:p>
      <w:pPr>
        <w:pStyle w:val="BodyText"/>
        <w:rPr/>
      </w:pPr>
      <w:r>
        <w:rPr>
          <w:b/>
          <w:bCs/>
          <w:sz w:val="20"/>
        </w:rPr>
        <w:t>Structure:</w:t>
      </w:r>
      <w:r>
        <w:rPr>
          <w:sz w:val="20"/>
        </w:rPr>
        <w:t xml:space="preserve"> Two registered input vectors feed a multiplier that produces a 2*WIDTH output. MULT_TYPE selects the implementation: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MULT_TYPE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Available widths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Inferred (</w:t>
            </w:r>
            <w:r>
              <w:rPr>
                <w:rStyle w:val="VerbatimChar"/>
                <w:rFonts w:eastAsia="Cambria" w:cs=""/>
                <w:kern w:val="0"/>
                <w:szCs w:val="24"/>
                <w:lang w:val="en-US" w:eastAsia="en-US" w:bidi="ar-SA"/>
              </w:rPr>
              <w:t>*</w:t>
            </w:r>
            <w:r>
              <w:rPr>
                <w:rFonts w:eastAsia="Cambria" w:cs=""/>
                <w:kern w:val="0"/>
                <w:sz w:val="24"/>
                <w:szCs w:val="24"/>
                <w:lang w:val="en-US" w:eastAsia="en-US" w:bidi="ar-SA"/>
              </w:rPr>
              <w:t xml:space="preserve"> operator)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Dadda tree (structural)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Wallace tree (structural)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Wallace tree CSA (structural)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Dadda 4:2 compressor (structural)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8, 11, 24</w:t>
            </w:r>
          </w:p>
        </w:tc>
      </w:tr>
    </w:tbl>
    <w:p>
      <w:pPr>
        <w:pStyle w:val="BodyText"/>
        <w:rPr/>
      </w:pPr>
      <w:r>
        <w:rPr>
          <w:sz w:val="20"/>
        </w:rPr>
        <w:t>Unsupported width/type combinations fall back to inferred.</w:t>
      </w:r>
    </w:p>
    <w:p>
      <w:pPr>
        <w:pStyle w:val="BodyText"/>
        <w:rPr/>
      </w:pPr>
      <w:r>
        <w:rPr>
          <w:b/>
          <w:bCs/>
          <w:sz w:val="20"/>
        </w:rPr>
        <w:t>Synthesis goal:</w:t>
      </w:r>
      <w:r>
        <w:rPr>
          <w:sz w:val="20"/>
        </w:rPr>
        <w:t xml:space="preserve"> Compare inferred multiplier timing (where the tool decides DSP vs. LUT) against explicit structural implementations. On Xilinx, inferred </w:t>
      </w:r>
      <w:r>
        <w:rPr>
          <w:rStyle w:val="VerbatimChar"/>
          <w:sz w:val="20"/>
        </w:rPr>
        <w:t>*</w:t>
      </w:r>
      <w:r>
        <w:rPr>
          <w:sz w:val="20"/>
        </w:rPr>
        <w:t xml:space="preserve"> at 16-bit width will map to a single DSP48E2 slice; structural types force LUT-only implementation. The slack difference directly quantifies the DSP advantage. Sweep MULT_WIDTH to find the crossover point where the tool stops using DSPs and switches to LUTs.</w:t>
      </w:r>
    </w:p>
    <w:p>
      <w:pPr>
        <w:pStyle w:val="Normal"/>
        <w:rPr/>
      </w:pPr>
      <w:bookmarkStart w:id="25" w:name="multiplier_tree-multiplier-wrapper"/>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
    </w:p>
    <w:p>
      <w:pPr>
        <w:pStyle w:val="Heading3"/>
        <w:spacing w:before="200" w:after="80"/>
        <w:rPr/>
      </w:pPr>
      <w:bookmarkStart w:id="26" w:name="__RefHeading___Toc3069_3737963300"/>
      <w:bookmarkStart w:id="27" w:name="mux_tree-binary-mux-tree"/>
      <w:bookmarkEnd w:id="26"/>
      <w:r>
        <w:rPr>
          <w:b/>
          <w:color w:val="404040"/>
          <w:sz w:val="24"/>
        </w:rPr>
        <w:t>3.6 mux_tree (Binary Mux Tree)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rtl/fub/mux_tree.sv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EN_MUX_TREE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MUX_LEVELS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2:1 mux delays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Mux-to-LUT mapping and routing fabric</w:t>
            </w:r>
          </w:p>
        </w:tc>
      </w:tr>
    </w:tbl>
    <w:p>
      <w:pPr>
        <w:pStyle w:val="BodyText"/>
        <w:rPr/>
      </w:pPr>
      <w:r>
        <w:rPr>
          <w:b/>
          <w:bCs/>
          <w:sz w:val="20"/>
        </w:rPr>
        <w:t>Structure:</w:t>
      </w:r>
      <w:r>
        <w:rPr>
          <w:sz w:val="20"/>
        </w:rPr>
        <w:t xml:space="preserve"> A binary tree of 2:1 multiplexers. Data inputs come from registered flops; select inputs come from a separate registered select vector. The tree reduces 2^LEVELS data inputs down to a single output bit through LEVELS mux stages.</w:t>
      </w:r>
    </w:p>
    <w:p>
      <w:pPr>
        <w:pStyle w:val="BodyText"/>
        <w:rPr/>
      </w:pPr>
      <w:r>
        <w:rPr>
          <w:b/>
          <w:bCs/>
          <w:sz w:val="20"/>
        </w:rPr>
        <w:t>Synthesis goal:</w:t>
      </w:r>
      <w:r>
        <w:rPr>
          <w:sz w:val="20"/>
        </w:rPr>
        <w:t xml:space="preserve"> Muxes map to LUTs differently than logic gates. A 6-input LUT can implement a 4:1 mux (2 levels) in a single cell. Compare mux tree slack against NAND/XOR tree slack at the same depth to understand mux-to-LUT packing. Also reveals routing congestion effects at large tree sizes since every mux level requires routing from two subtrees.</w:t>
      </w:r>
    </w:p>
    <w:p>
      <w:pPr>
        <w:pStyle w:val="Normal"/>
        <w:rPr/>
      </w:pPr>
      <w:bookmarkStart w:id="28" w:name="mux_tree-binary-mux-tree"/>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p>
    <w:p>
      <w:pPr>
        <w:pStyle w:val="Heading3"/>
        <w:spacing w:before="200" w:after="80"/>
        <w:rPr/>
      </w:pPr>
      <w:bookmarkStart w:id="29" w:name="__RefHeading___Toc3071_3737963300"/>
      <w:bookmarkStart w:id="30" w:name="queue_depth-fifo-queue"/>
      <w:bookmarkEnd w:id="29"/>
      <w:r>
        <w:rPr>
          <w:b/>
          <w:color w:val="404040"/>
          <w:sz w:val="24"/>
        </w:rPr>
        <w:t>3.7 queue_depth (FIFO Queue)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rtl/fub/queue_depth.sv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EN_QUEUE_DEPTH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FIFO_DEPTH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read path + output register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inference thresholds and FIFO timing</w:t>
            </w:r>
          </w:p>
        </w:tc>
      </w:tr>
    </w:tbl>
    <w:p>
      <w:pPr>
        <w:pStyle w:val="BodyText"/>
        <w:rPr/>
      </w:pPr>
      <w:r>
        <w:rPr>
          <w:b/>
          <w:bCs/>
          <w:sz w:val="20"/>
        </w:rPr>
        <w:t>Structure:</w:t>
      </w:r>
      <w:r>
        <w:rPr>
          <w:sz w:val="20"/>
        </w:rPr>
        <w:t xml:space="preserve"> Wraps </w:t>
      </w:r>
      <w:r>
        <w:rPr>
          <w:rStyle w:val="VerbatimChar"/>
          <w:sz w:val="20"/>
        </w:rPr>
        <w:t>gaxi_fifo_sync</w:t>
      </w:r>
      <w:r>
        <w:rPr>
          <w:sz w:val="20"/>
        </w:rPr>
        <w:t xml:space="preserve"> (from rtl/common). LFSR data is continuously written when the FIFO has space; reads are always enabled. An output flop captures the read data.</w:t>
      </w:r>
    </w:p>
    <w:p>
      <w:pPr>
        <w:pStyle w:val="BodyText"/>
        <w:rPr/>
      </w:pPr>
      <w:r>
        <w:rPr>
          <w:b/>
          <w:bCs/>
          <w:sz w:val="20"/>
        </w:rPr>
        <w:t>Synthesis goal:</w:t>
      </w:r>
      <w:r>
        <w:rPr>
          <w:sz w:val="20"/>
        </w:rPr>
        <w:t xml:space="preserve"> Sweep DATA_WIDTH and DEPTH to find the boundaries where the synthesis tool transitions between memory implementations: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FPGA transition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boundary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RAM (LUTRAM) -&gt; 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entries or ~2Kb total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 -&gt; URAM (UltraScale+)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 entries or ~36Kb total</w:t>
            </w:r>
          </w:p>
        </w:tc>
      </w:tr>
    </w:tbl>
    <w:p>
      <w:pPr>
        <w:pStyle w:val="BodyText"/>
        <w:rPr/>
      </w:pPr>
      <w:r>
        <w:rPr>
          <w:sz w:val="20"/>
        </w:rPr>
        <w:t>Each transition changes the read latency and routing characteristics. The timing report reveals the cost of each memory type at the target frequency.</w:t>
      </w:r>
    </w:p>
    <w:p>
      <w:pPr>
        <w:pStyle w:val="Normal"/>
        <w:rPr/>
      </w:pPr>
      <w:bookmarkStart w:id="31" w:name="queue_depth-fifo-queue"/>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
    </w:p>
    <w:p>
      <w:pPr>
        <w:pStyle w:val="Heading3"/>
        <w:spacing w:before="200" w:after="80"/>
        <w:rPr/>
      </w:pPr>
      <w:bookmarkStart w:id="32" w:name="__RefHeading___Toc3073_3737963300"/>
      <w:bookmarkStart w:id="33" w:name="X7ddc119973811cac97f64c070918fb0731f65cb"/>
      <w:bookmarkEnd w:id="32"/>
      <w:r>
        <w:rPr>
          <w:b/>
          <w:color w:val="404040"/>
          <w:sz w:val="24"/>
        </w:rPr>
        <w:t>3.8 clock_divider_chain (Clock Divider Cascade)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rtl/fub/clock_divider_chain.sv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EN_CLK_DIVIDER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CLK_DIV_STAGES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CLK_DIV_CW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CLK_DIV_PICKOFF</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increment + pickoff mux per stage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Counter-based clock generation timing</w:t>
            </w:r>
          </w:p>
        </w:tc>
      </w:tr>
    </w:tbl>
    <w:p>
      <w:pPr>
        <w:pStyle w:val="BodyText"/>
        <w:rPr/>
      </w:pPr>
      <w:r>
        <w:rPr>
          <w:b/>
          <w:bCs/>
          <w:sz w:val="20"/>
        </w:rPr>
        <w:t>Structure:</w:t>
      </w:r>
      <w:r>
        <w:rPr>
          <w:sz w:val="20"/>
        </w:rPr>
        <w:t xml:space="preserve"> NUM_STAGES cascaded </w:t>
      </w:r>
      <w:r>
        <w:rPr>
          <w:rStyle w:val="VerbatimChar"/>
          <w:sz w:val="20"/>
        </w:rPr>
        <w:t>clock_divider</w:t>
      </w:r>
      <w:r>
        <w:rPr>
          <w:sz w:val="20"/>
        </w:rPr>
        <w:t xml:space="preserve"> instances. Stage 0 divides the input clock; each subsequent stage divides the previous stage’s output. Each stage contains a COUNTER_WIDTH-bit counter and a pickoff mux that selects the divided output.</w:t>
      </w:r>
    </w:p>
    <w:p>
      <w:pPr>
        <w:pStyle w:val="BodyText"/>
        <w:rPr/>
      </w:pPr>
      <w:r>
        <w:rPr>
          <w:b/>
          <w:bCs/>
          <w:sz w:val="20"/>
        </w:rPr>
        <w:t>Synthesis goal:</w:t>
      </w:r>
      <w:r>
        <w:rPr>
          <w:sz w:val="20"/>
        </w:rPr>
        <w:t xml:space="preserve"> Characterize the timing of counter-based clock generation. The pickoff point determines which counter bit drives the divided clock – higher pickoff points mean longer counter chains before the toggle. Sweep CLK_DIV_STAGES to measure cascaded divider overhead and CLK_DIV_CW to test counter width scaling.</w:t>
      </w:r>
    </w:p>
    <w:p>
      <w:pPr>
        <w:pStyle w:val="Normal"/>
        <w:rPr/>
      </w:pPr>
      <w:bookmarkStart w:id="34" w:name="X7ddc119973811cac97f64c070918fb0731f65cb"/>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p>
    <w:p>
      <w:pPr>
        <w:pStyle w:val="Heading3"/>
        <w:spacing w:before="200" w:after="80"/>
        <w:rPr/>
      </w:pPr>
      <w:bookmarkStart w:id="35" w:name="__RefHeading___Toc3075_3737963300"/>
      <w:bookmarkStart w:id="36" w:name="gray_counter_chain-gray-counter"/>
      <w:bookmarkEnd w:id="35"/>
      <w:r>
        <w:rPr>
          <w:b/>
          <w:color w:val="404040"/>
          <w:sz w:val="24"/>
        </w:rPr>
        <w:t>3.9 gray_counter_chain (Gray Counter)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19"/>
        <w:gridCol w:w="3640"/>
      </w:tblGrid>
      <w:tr>
        <w:trPr>
          <w:tblHeader w:val="true"/>
        </w:trPr>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rtl/fub/gray_counter_chain.sv</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EN_GRAY_COUNTER</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GRAY_WIDTH</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counter carry + XOR tree for Gray conversion</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Binary-to-Gray conversion timing at width</w:t>
            </w:r>
          </w:p>
        </w:tc>
      </w:tr>
    </w:tbl>
    <w:p>
      <w:pPr>
        <w:pStyle w:val="BodyText"/>
        <w:rPr/>
      </w:pPr>
      <w:r>
        <w:rPr>
          <w:b/>
          <w:bCs/>
          <w:sz w:val="20"/>
        </w:rPr>
        <w:t>Structure:</w:t>
      </w:r>
      <w:r>
        <w:rPr>
          <w:sz w:val="20"/>
        </w:rPr>
        <w:t xml:space="preserve"> Wraps </w:t>
      </w:r>
      <w:r>
        <w:rPr>
          <w:rStyle w:val="VerbatimChar"/>
          <w:sz w:val="20"/>
        </w:rPr>
        <w:t>counter_bingray</w:t>
      </w:r>
      <w:r>
        <w:rPr>
          <w:sz w:val="20"/>
        </w:rPr>
        <w:t xml:space="preserve"> (from rtl/common). The internal binary counter uses dedicated carry logic; the Gray conversion is </w:t>
      </w:r>
      <w:r>
        <w:rPr>
          <w:rStyle w:val="VerbatimChar"/>
          <w:sz w:val="20"/>
        </w:rPr>
        <w:t>gray = bin ^ (bin &gt;&gt; 1)</w:t>
      </w:r>
      <w:r>
        <w:rPr>
          <w:sz w:val="20"/>
        </w:rPr>
        <w:t>, which creates a WIDTH-1 wide XOR tree. Output flops capture both binary and Gray values.</w:t>
      </w:r>
    </w:p>
    <w:p>
      <w:pPr>
        <w:pStyle w:val="BodyText"/>
        <w:rPr/>
      </w:pPr>
      <w:r>
        <w:rPr>
          <w:b/>
          <w:bCs/>
          <w:sz w:val="20"/>
        </w:rPr>
        <w:t>Synthesis goal:</w:t>
      </w:r>
      <w:r>
        <w:rPr>
          <w:sz w:val="20"/>
        </w:rPr>
        <w:t xml:space="preserve"> The interesting path is the XOR tree for Gray conversion. At narrow widths, the XOR tree fits in a few LUTs. At wide widths (64+), it becomes a significant combinational depth. Sweep GRAY_WIDTH to find the crossover where Gray conversion dominates the counter carry chain in the critical path.</w:t>
      </w:r>
    </w:p>
    <w:p>
      <w:pPr>
        <w:pStyle w:val="Normal"/>
        <w:rPr/>
      </w:pPr>
      <w:bookmarkStart w:id="37" w:name="X9505e980668b75d36d2751248fea19bf091173e"/>
      <w:bookmarkStart w:id="38" w:name="gray_counter_chain-gray-counter"/>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p>
    <w:p>
      <w:pPr>
        <w:pStyle w:val="Heading2"/>
        <w:pBdr>
          <w:bottom w:val="single" w:sz="12" w:space="0" w:color="228B22"/>
        </w:pBdr>
        <w:spacing w:before="280" w:after="80"/>
        <w:rPr/>
      </w:pPr>
      <w:bookmarkStart w:id="39" w:name="__RefHeading___Toc3077_3737963300"/>
      <w:bookmarkStart w:id="40" w:name="the-lfsr-anti-optimization-engine"/>
      <w:bookmarkEnd w:id="39"/>
      <w:r>
        <w:rPr>
          <w:b/>
          <w:color w:val="228B22"/>
          <w:sz w:val="28"/>
        </w:rPr>
        <w:t>4. The LFSR – Anti-Optimization Engine</w:t>
      </w:r>
    </w:p>
    <w:p>
      <w:pPr>
        <w:pStyle w:val="FirstParagraph"/>
        <w:rPr/>
      </w:pPr>
      <w:r>
        <w:rPr>
          <w:sz w:val="20"/>
        </w:rPr>
        <w:t xml:space="preserve">The shared 32-bit Galois LFSR (polynomial </w:t>
      </w:r>
      <w:r>
        <w:rPr>
          <w:rStyle w:val="VerbatimChar"/>
          <w:sz w:val="20"/>
        </w:rPr>
        <w:t>x^32 + x^22 + x^2 + x + 1</w:t>
      </w:r>
      <w:r>
        <w:rPr>
          <w:sz w:val="20"/>
        </w:rPr>
        <w:t>) serves three purposes:</w:t>
      </w:r>
    </w:p>
    <w:p>
      <w:pPr>
        <w:pStyle w:val="Normal"/>
        <w:numPr>
          <w:ilvl w:val="0"/>
          <w:numId w:val="5"/>
        </w:numPr>
        <w:rPr/>
      </w:pPr>
      <w:r>
        <w:rPr>
          <w:b/>
          <w:bCs/>
          <w:sz w:val="20"/>
        </w:rPr>
        <w:t>Prevents constant propagation</w:t>
      </w:r>
      <w:r>
        <w:rPr>
          <w:sz w:val="20"/>
        </w:rPr>
        <w:t xml:space="preserve"> – Every FUB input changes every cycle with a pseudo-random pattern, so the synthesis tool cannot simplify logic based on constant input values.</w:t>
      </w:r>
    </w:p>
    <w:p>
      <w:pPr>
        <w:pStyle w:val="Normal"/>
        <w:numPr>
          <w:ilvl w:val="0"/>
          <w:numId w:val="2"/>
        </w:numPr>
        <w:rPr/>
      </w:pPr>
      <w:r>
        <w:rPr>
          <w:b/>
          <w:bCs/>
          <w:sz w:val="20"/>
        </w:rPr>
        <w:t>Prevents output pruning</w:t>
      </w:r>
      <w:r>
        <w:rPr>
          <w:sz w:val="20"/>
        </w:rPr>
        <w:t xml:space="preserve"> – All LFSR-driven data eventually reaches a top-level output port, so no internal logic can be removed as unused.</w:t>
      </w:r>
    </w:p>
    <w:p>
      <w:pPr>
        <w:pStyle w:val="Normal"/>
        <w:numPr>
          <w:ilvl w:val="0"/>
          <w:numId w:val="2"/>
        </w:numPr>
        <w:rPr/>
      </w:pPr>
      <w:r>
        <w:rPr>
          <w:b/>
          <w:bCs/>
          <w:sz w:val="20"/>
        </w:rPr>
        <w:t>Provides deterministic seeding</w:t>
      </w:r>
      <w:r>
        <w:rPr>
          <w:sz w:val="20"/>
        </w:rPr>
        <w:t xml:space="preserve"> – The </w:t>
      </w:r>
      <w:r>
        <w:rPr>
          <w:rStyle w:val="VerbatimChar"/>
          <w:sz w:val="20"/>
        </w:rPr>
        <w:t>i_seed_valid</w:t>
      </w:r>
      <w:r>
        <w:rPr>
          <w:sz w:val="20"/>
        </w:rPr>
        <w:t xml:space="preserve"> / </w:t>
      </w:r>
      <w:r>
        <w:rPr>
          <w:rStyle w:val="VerbatimChar"/>
          <w:sz w:val="20"/>
        </w:rPr>
        <w:t>i_seed_data</w:t>
      </w:r>
      <w:r>
        <w:rPr>
          <w:sz w:val="20"/>
        </w:rPr>
        <w:t xml:space="preserve"> interface allows testbenches to load a known seed and predict the exact LFSR sequence, enabling cycle-accurate functional verification.</w:t>
      </w:r>
    </w:p>
    <w:p>
      <w:pPr>
        <w:pStyle w:val="FirstParagraph"/>
        <w:rPr/>
      </w:pPr>
      <w:r>
        <w:rPr>
          <w:sz w:val="20"/>
        </w:rPr>
        <w:t>The RTL implementation:</w:t>
      </w:r>
    </w:p>
    <w:p>
      <w:pPr>
        <w:pStyle w:val="SourceCode"/>
        <w:rPr/>
      </w:pPr>
      <w:r>
        <w:rPr>
          <w:rStyle w:val="NormalTok"/>
        </w:rPr>
        <w:t>r_lfsr &lt;= {r_lfsr[</w:t>
      </w:r>
      <w:r>
        <w:rPr>
          <w:rStyle w:val="DecValTok"/>
        </w:rPr>
        <w:t>30</w:t>
      </w:r>
      <w:r>
        <w:rPr>
          <w:rStyle w:val="NormalTok"/>
        </w:rPr>
        <w:t>:</w:t>
      </w:r>
      <w:r>
        <w:rPr>
          <w:rStyle w:val="DecValTok"/>
        </w:rPr>
        <w:t>0</w:t>
      </w:r>
      <w:r>
        <w:rPr>
          <w:rStyle w:val="NormalTok"/>
        </w:rPr>
        <w:t xml:space="preserve">], </w:t>
      </w:r>
      <w:r>
        <w:rPr>
          <w:rStyle w:val="BaseNTok"/>
        </w:rPr>
        <w:t>1'b0</w:t>
      </w:r>
      <w:r>
        <w:rPr>
          <w:rStyle w:val="NormalTok"/>
        </w:rPr>
        <w:t>} ^ (r_lfsr[</w:t>
      </w:r>
      <w:r>
        <w:rPr>
          <w:rStyle w:val="DecValTok"/>
        </w:rPr>
        <w:t>31</w:t>
      </w:r>
      <w:r>
        <w:rPr>
          <w:rStyle w:val="NormalTok"/>
        </w:rPr>
        <w:t xml:space="preserve">] ? </w:t>
      </w:r>
      <w:r>
        <w:rPr>
          <w:rStyle w:val="BaseNTok"/>
        </w:rPr>
        <w:t>32'h0040_0007</w:t>
      </w:r>
      <w:r>
        <w:rPr>
          <w:rStyle w:val="NormalTok"/>
        </w:rPr>
        <w:t xml:space="preserve"> : </w:t>
      </w:r>
      <w:r>
        <w:rPr>
          <w:rStyle w:val="BaseNTok"/>
        </w:rPr>
        <w:t>32'h0</w:t>
      </w:r>
      <w:r>
        <w:rPr>
          <w:rStyle w:val="NormalTok"/>
        </w:rPr>
        <w:t>);</w:t>
      </w:r>
    </w:p>
    <w:p>
      <w:pPr>
        <w:pStyle w:val="FirstParagraph"/>
        <w:rPr/>
      </w:pPr>
      <w:r>
        <w:rPr>
          <w:sz w:val="20"/>
        </w:rPr>
        <w:t xml:space="preserve">Each FUB’s inputs are wired as combinational taps from </w:t>
      </w:r>
      <w:r>
        <w:rPr>
          <w:rStyle w:val="VerbatimChar"/>
          <w:sz w:val="20"/>
        </w:rPr>
        <w:t>r_lfsr</w:t>
      </w:r>
      <w:r>
        <w:rPr>
          <w:sz w:val="20"/>
        </w:rPr>
        <w:t xml:space="preserve"> with bit-modulo wrapping to fill widths wider than 32 bits. For two-input FUBs (carry, multiplier), the second operand uses a 16-bit-shifted mapping (</w:t>
      </w:r>
      <w:r>
        <w:rPr>
          <w:rStyle w:val="VerbatimChar"/>
          <w:sz w:val="20"/>
        </w:rPr>
        <w:t>r_lfsr[(b+16) % 32]</w:t>
      </w:r>
      <w:r>
        <w:rPr>
          <w:sz w:val="20"/>
        </w:rPr>
        <w:t>) to ensure the two inputs are decorrelated.</w:t>
      </w:r>
    </w:p>
    <w:p>
      <w:pPr>
        <w:pStyle w:val="Normal"/>
        <w:rPr/>
      </w:pPr>
      <w:bookmarkStart w:id="41" w:name="the-lfsr-anti-optimization-engine"/>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p>
    <w:p>
      <w:pPr>
        <w:pStyle w:val="Heading2"/>
        <w:pBdr>
          <w:bottom w:val="single" w:sz="12" w:space="0" w:color="228B22"/>
        </w:pBdr>
        <w:spacing w:before="280" w:after="80"/>
        <w:rPr/>
      </w:pPr>
      <w:bookmarkStart w:id="42" w:name="__RefHeading___Toc3079_3737963300"/>
      <w:bookmarkStart w:id="43" w:name="sdc-constraints-strategy"/>
      <w:bookmarkEnd w:id="42"/>
      <w:r>
        <w:rPr>
          <w:b/>
          <w:color w:val="228B22"/>
          <w:sz w:val="28"/>
        </w:rPr>
        <w:t>5. SDC Constraints Strategy</w:t>
      </w:r>
    </w:p>
    <w:p>
      <w:pPr>
        <w:pStyle w:val="Heading3"/>
        <w:spacing w:before="200" w:after="80"/>
        <w:rPr/>
      </w:pPr>
      <w:bookmarkStart w:id="44" w:name="__RefHeading___Toc3081_3737963300"/>
      <w:bookmarkStart w:id="45" w:name="multi-flow-sdc"/>
      <w:bookmarkEnd w:id="44"/>
      <w:r>
        <w:rPr>
          <w:b/>
          <w:color w:val="404040"/>
          <w:sz w:val="24"/>
        </w:rPr>
        <w:t>5.1 Multi-Flow SDC</w:t>
      </w:r>
    </w:p>
    <w:p>
      <w:pPr>
        <w:pStyle w:val="FirstParagraph"/>
        <w:rPr/>
      </w:pPr>
      <w:r>
        <w:rPr>
          <w:rStyle w:val="VerbatimChar"/>
          <w:sz w:val="20"/>
        </w:rPr>
        <w:t>char_top.sdc</w:t>
      </w:r>
      <w:r>
        <w:rPr>
          <w:sz w:val="20"/>
        </w:rPr>
        <w:t xml:space="preserve"> supports three synthesis flows via the </w:t>
      </w:r>
      <w:r>
        <w:rPr>
          <w:rStyle w:val="VerbatimChar"/>
          <w:sz w:val="20"/>
        </w:rPr>
        <w:t>FLOW</w:t>
      </w:r>
      <w:r>
        <w:rPr>
          <w:sz w:val="20"/>
        </w:rPr>
        <w:t xml:space="preserve"> variable: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1811"/>
        <w:gridCol w:w="5738"/>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Flow</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Tool</w:t>
            </w:r>
          </w:p>
        </w:tc>
        <w:tc>
          <w:tcPr>
            <w:tcW w:w="57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 before sourcing</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"asic"</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Synopsys DC / Cadence Genus</w:t>
            </w:r>
          </w:p>
        </w:tc>
        <w:tc>
          <w:tcPr>
            <w:tcW w:w="57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library, operating conditions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"vivado"</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Vivado</w:t>
            </w:r>
          </w:p>
        </w:tc>
        <w:tc>
          <w:tcPr>
            <w:tcW w:w="57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Part number (e.g., </w:t>
            </w:r>
            <w:r>
              <w:rPr>
                <w:rStyle w:val="VerbatimChar"/>
                <w:rFonts w:eastAsia="Cambria" w:cs=""/>
                <w:kern w:val="0"/>
                <w:szCs w:val="24"/>
                <w:lang w:val="en-US" w:eastAsia="en-US" w:bidi="ar-SA"/>
              </w:rPr>
              <w:t>xc7a200t...</w:t>
            </w:r>
            <w:r>
              <w:rPr>
                <w:rFonts w:eastAsia="Cambria" w:cs=""/>
                <w:kern w:val="0"/>
                <w:sz w:val="24"/>
                <w:szCs w:val="24"/>
                <w:lang w:val="en-US" w:eastAsia="en-US" w:bidi="ar-SA"/>
              </w:rPr>
              <w: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"quartus"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Quartus Prime</w:t>
            </w:r>
          </w:p>
        </w:tc>
        <w:tc>
          <w:tcPr>
            <w:tcW w:w="57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FAMILY, DEVICE in .qsf (</w:t>
            </w:r>
            <w:r>
              <w:rPr>
                <w:rStyle w:val="VerbatimChar"/>
                <w:rFonts w:eastAsia="Cambria" w:cs=""/>
                <w:kern w:val="0"/>
                <w:szCs w:val="24"/>
                <w:lang w:val="en-US" w:eastAsia="en-US" w:bidi="ar-SA"/>
              </w:rPr>
              <w:t>fpga/quartus/sweep_config.example.tcl</w:t>
            </w:r>
            <w:r>
              <w:rPr>
                <w:rFonts w:eastAsia="Cambria" w:cs=""/>
                <w:kern w:val="0"/>
                <w:sz w:val="24"/>
                <w:szCs w:val="24"/>
                <w:lang w:val="en-US" w:eastAsia="en-US" w:bidi="ar-SA"/>
              </w:rPr>
              <w:t>)</w:t>
            </w:r>
          </w:p>
        </w:tc>
      </w:tr>
    </w:tbl>
    <w:p>
      <w:pPr>
        <w:pStyle w:val="BodyText"/>
        <w:rPr/>
      </w:pPr>
      <w:r>
        <w:rPr>
          <w:sz w:val="20"/>
        </w:rPr>
        <w:t xml:space="preserve">All overridable parameters use </w:t>
      </w:r>
      <w:r>
        <w:rPr>
          <w:rStyle w:val="VerbatimChar"/>
          <w:sz w:val="20"/>
        </w:rPr>
        <w:t>if {![info exists ...]}</w:t>
      </w:r>
      <w:r>
        <w:rPr>
          <w:sz w:val="20"/>
        </w:rPr>
        <w:t xml:space="preserve"> guards so you can set them in your synthesis script </w:t>
      </w:r>
      <w:r>
        <w:rPr>
          <w:b/>
          <w:bCs/>
          <w:sz w:val="20"/>
        </w:rPr>
        <w:t>before</w:t>
      </w:r>
      <w:r>
        <w:rPr>
          <w:sz w:val="20"/>
        </w:rPr>
        <w:t xml:space="preserve"> sourcing the SDC:</w:t>
      </w:r>
    </w:p>
    <w:p>
      <w:pPr>
        <w:pStyle w:val="SourceCode"/>
        <w:rPr/>
      </w:pPr>
      <w:r>
        <w:rPr>
          <w:rStyle w:val="CommentTok"/>
        </w:rPr>
        <w:t># Example: Vivado flow at 300 MHz</w:t>
      </w:r>
      <w:r>
        <w:rPr/>
        <w:br/>
      </w:r>
      <w:r>
        <w:rPr>
          <w:rStyle w:val="KeywordTok"/>
        </w:rPr>
        <w:t>set</w:t>
      </w:r>
      <w:r>
        <w:rPr>
          <w:rStyle w:val="NormalTok"/>
        </w:rPr>
        <w:t xml:space="preserve"> FLOW </w:t>
      </w:r>
      <w:r>
        <w:rPr>
          <w:rStyle w:val="StringTok"/>
        </w:rPr>
        <w:t>"vivado"</w:t>
      </w:r>
      <w:r>
        <w:rPr/>
        <w:br/>
      </w:r>
      <w:r>
        <w:rPr>
          <w:rStyle w:val="KeywordTok"/>
        </w:rPr>
        <w:t>set</w:t>
      </w:r>
      <w:r>
        <w:rPr>
          <w:rStyle w:val="NormalTok"/>
        </w:rPr>
        <w:t xml:space="preserve"> TARGET_FREQ_MHZ </w:t>
      </w:r>
      <w:r>
        <w:rPr>
          <w:rStyle w:val="FloatTok"/>
        </w:rPr>
        <w:t>300.0</w:t>
      </w:r>
      <w:r>
        <w:rPr/>
        <w:br/>
      </w:r>
      <w:r>
        <w:rPr>
          <w:rStyle w:val="KeywordTok"/>
        </w:rPr>
        <w:t>source</w:t>
      </w:r>
      <w:r>
        <w:rPr>
          <w:rStyle w:val="NormalTok"/>
        </w:rPr>
        <w:t xml:space="preserve"> char_top.sdc</w:t>
      </w:r>
      <w:bookmarkEnd w:id="45"/>
    </w:p>
    <w:p>
      <w:pPr>
        <w:pStyle w:val="Heading3"/>
        <w:spacing w:before="200" w:after="80"/>
        <w:rPr/>
      </w:pPr>
      <w:bookmarkStart w:id="46" w:name="__RefHeading___Toc3083_3737963300"/>
      <w:bookmarkEnd w:id="46"/>
      <w:r>
        <w:rPr>
          <w:b/>
          <w:color w:val="404040"/>
          <w:sz w:val="24"/>
        </w:rPr>
        <w:t>5.2 Overridable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719"/>
        <w:gridCol w:w="3321"/>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FLOW</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"asic"</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Selects tool-specific constraint blocks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TARGET_FREQ_MHZ</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Aggressive enough to expose path differences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INPUT_DELAY_FRACTION</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0.80</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Models heavy external source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OUTPUT_DELAY_FRACTION</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0.20</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Models light external sink</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CLK_UNCERTAINTY_NS</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Covers jitter + skew</w:t>
            </w:r>
            <w:bookmarkStart w:id="47" w:name="overridable-parameters"/>
            <w:bookmarkEnd w:id="47"/>
          </w:p>
        </w:tc>
      </w:tr>
    </w:tbl>
    <w:p>
      <w:pPr>
        <w:pStyle w:val="Heading3"/>
        <w:spacing w:before="200" w:after="80"/>
        <w:rPr/>
      </w:pPr>
      <w:bookmarkStart w:id="48" w:name="__RefHeading___Toc3085_3737963300"/>
      <w:bookmarkEnd w:id="48"/>
      <w:r>
        <w:rPr>
          <w:b/>
          <w:color w:val="404040"/>
          <w:sz w:val="24"/>
        </w:rPr>
        <w:t>5.3 What Each Flow Requires Externally</w:t>
      </w:r>
    </w:p>
    <w:p>
      <w:pPr>
        <w:pStyle w:val="FirstParagraph"/>
        <w:rPr/>
      </w:pPr>
      <w:r>
        <w:rPr>
          <w:b/>
          <w:bCs/>
          <w:sz w:val="20"/>
        </w:rPr>
        <w:t>ASIC (Synopsys DC):</w:t>
      </w:r>
    </w:p>
    <w:p>
      <w:pPr>
        <w:pStyle w:val="SourceCode"/>
        <w:rPr/>
      </w:pPr>
      <w:r>
        <w:rPr>
          <w:rStyle w:val="KeywordTok"/>
        </w:rPr>
        <w:t>set</w:t>
      </w:r>
      <w:r>
        <w:rPr>
          <w:rStyle w:val="NormalTok"/>
        </w:rPr>
        <w:t xml:space="preserve"> target_library </w:t>
      </w:r>
      <w:r>
        <w:rPr>
          <w:rStyle w:val="StringTok"/>
        </w:rPr>
        <w:t>"your_stdcell.db"</w:t>
      </w:r>
      <w:r>
        <w:rPr/>
        <w:br/>
      </w:r>
      <w:r>
        <w:rPr>
          <w:rStyle w:val="KeywordTok"/>
        </w:rPr>
        <w:t>set</w:t>
      </w:r>
      <w:r>
        <w:rPr>
          <w:rStyle w:val="NormalTok"/>
        </w:rPr>
        <w:t xml:space="preserve"> link_library   </w:t>
      </w:r>
      <w:r>
        <w:rPr>
          <w:rStyle w:val="StringTok"/>
        </w:rPr>
        <w:t>"* your_stdcell.db"</w:t>
      </w:r>
      <w:r>
        <w:rPr/>
        <w:br/>
      </w:r>
      <w:r>
        <w:rPr>
          <w:rStyle w:val="NormalTok"/>
        </w:rPr>
        <w:t>set_operating_conditions</w:t>
      </w:r>
      <w:r>
        <w:rPr>
          <w:rStyle w:val="OtherTok"/>
        </w:rPr>
        <w:t xml:space="preserve"> -max</w:t>
      </w:r>
      <w:r>
        <w:rPr>
          <w:rStyle w:val="NormalTok"/>
        </w:rPr>
        <w:t xml:space="preserve"> WC_COM</w:t>
      </w:r>
      <w:r>
        <w:rPr/>
        <w:br/>
      </w:r>
      <w:r>
        <w:rPr>
          <w:rStyle w:val="KeywordTok"/>
        </w:rPr>
        <w:t>set</w:t>
      </w:r>
      <w:r>
        <w:rPr>
          <w:rStyle w:val="NormalTok"/>
        </w:rPr>
        <w:t xml:space="preserve"> FLOW </w:t>
      </w:r>
      <w:r>
        <w:rPr>
          <w:rStyle w:val="StringTok"/>
        </w:rPr>
        <w:t>"asic"</w:t>
      </w:r>
      <w:r>
        <w:rPr/>
        <w:br/>
      </w:r>
      <w:r>
        <w:rPr>
          <w:rStyle w:val="KeywordTok"/>
        </w:rPr>
        <w:t>source</w:t>
      </w:r>
      <w:r>
        <w:rPr>
          <w:rStyle w:val="NormalTok"/>
        </w:rPr>
        <w:t xml:space="preserve"> char_top.sdc</w:t>
      </w:r>
    </w:p>
    <w:p>
      <w:pPr>
        <w:pStyle w:val="FirstParagraph"/>
        <w:rPr/>
      </w:pPr>
      <w:r>
        <w:rPr>
          <w:b/>
          <w:bCs/>
          <w:sz w:val="20"/>
        </w:rPr>
        <w:t>ASIC (Cadence Genus):</w:t>
      </w:r>
    </w:p>
    <w:p>
      <w:pPr>
        <w:pStyle w:val="SourceCode"/>
        <w:rPr/>
      </w:pPr>
      <w:r>
        <w:rPr>
          <w:rStyle w:val="NormalTok"/>
        </w:rPr>
        <w:t>set_db init_lib_search_path /path/to/libs</w:t>
      </w:r>
      <w:r>
        <w:rPr/>
        <w:br/>
      </w:r>
      <w:r>
        <w:rPr>
          <w:rStyle w:val="NormalTok"/>
        </w:rPr>
        <w:t>read_libs your_stdcell.lib</w:t>
      </w:r>
      <w:r>
        <w:rPr/>
        <w:br/>
      </w:r>
      <w:r>
        <w:rPr>
          <w:rStyle w:val="KeywordTok"/>
        </w:rPr>
        <w:t>set</w:t>
      </w:r>
      <w:r>
        <w:rPr>
          <w:rStyle w:val="NormalTok"/>
        </w:rPr>
        <w:t xml:space="preserve"> FLOW </w:t>
      </w:r>
      <w:r>
        <w:rPr>
          <w:rStyle w:val="StringTok"/>
        </w:rPr>
        <w:t>"asic"</w:t>
      </w:r>
      <w:r>
        <w:rPr/>
        <w:br/>
      </w:r>
      <w:r>
        <w:rPr>
          <w:rStyle w:val="NormalTok"/>
        </w:rPr>
        <w:t>read_sdc char_top.sdc</w:t>
      </w:r>
    </w:p>
    <w:p>
      <w:pPr>
        <w:pStyle w:val="FirstParagraph"/>
        <w:rPr/>
      </w:pPr>
      <w:r>
        <w:rPr>
          <w:b/>
          <w:bCs/>
          <w:sz w:val="20"/>
        </w:rPr>
        <w:t>Vivado:</w:t>
      </w:r>
    </w:p>
    <w:p>
      <w:pPr>
        <w:pStyle w:val="SourceCode"/>
        <w:rPr/>
      </w:pPr>
      <w:r>
        <w:rPr>
          <w:rStyle w:val="NormalTok"/>
        </w:rPr>
        <w:t>set_property part xc7a200tffg1156</w:t>
      </w:r>
      <w:r>
        <w:rPr>
          <w:rStyle w:val="DecValTok"/>
        </w:rPr>
        <w:t>-2</w:t>
      </w:r>
      <w:r>
        <w:rPr>
          <w:rStyle w:val="NormalTok"/>
        </w:rPr>
        <w:t xml:space="preserve"> </w:t>
      </w:r>
      <w:r>
        <w:rPr>
          <w:rStyle w:val="KeywordTok"/>
        </w:rPr>
        <w:t>[</w:t>
      </w:r>
      <w:r>
        <w:rPr>
          <w:rStyle w:val="NormalTok"/>
        </w:rPr>
        <w:t>current_project</w:t>
      </w:r>
      <w:r>
        <w:rPr>
          <w:rStyle w:val="KeywordTok"/>
        </w:rPr>
        <w:t>]</w:t>
      </w:r>
      <w:r>
        <w:rPr/>
        <w:br/>
      </w:r>
      <w:r>
        <w:rPr>
          <w:rStyle w:val="KeywordTok"/>
        </w:rPr>
        <w:t>set</w:t>
      </w:r>
      <w:r>
        <w:rPr>
          <w:rStyle w:val="NormalTok"/>
        </w:rPr>
        <w:t xml:space="preserve"> FLOW </w:t>
      </w:r>
      <w:r>
        <w:rPr>
          <w:rStyle w:val="StringTok"/>
        </w:rPr>
        <w:t>"vivado"</w:t>
      </w:r>
      <w:r>
        <w:rPr/>
        <w:br/>
      </w:r>
      <w:r>
        <w:rPr>
          <w:rStyle w:val="NormalTok"/>
        </w:rPr>
        <w:t>read_xdc char_top.sdc</w:t>
      </w:r>
      <w:r>
        <w:rPr/>
        <w:br/>
      </w:r>
      <w:r>
        <w:rPr>
          <w:rStyle w:val="NormalTok"/>
        </w:rPr>
        <w:t>synth_design</w:t>
      </w:r>
      <w:r>
        <w:rPr>
          <w:rStyle w:val="OtherTok"/>
        </w:rPr>
        <w:t xml:space="preserve"> -top</w:t>
      </w:r>
      <w:r>
        <w:rPr>
          <w:rStyle w:val="NormalTok"/>
        </w:rPr>
        <w:t xml:space="preserve"> char_top</w:t>
      </w:r>
      <w:r>
        <w:rPr>
          <w:rStyle w:val="OtherTok"/>
        </w:rPr>
        <w:t xml:space="preserve"> -generic</w:t>
      </w:r>
      <w:r>
        <w:rPr>
          <w:rStyle w:val="NormalTok"/>
        </w:rPr>
        <w:t xml:space="preserve"> EN_CARRY_CHAIN=</w:t>
      </w:r>
      <w:r>
        <w:rPr>
          <w:rStyle w:val="DecValTok"/>
        </w:rPr>
        <w:t>1</w:t>
      </w:r>
      <w:r>
        <w:rPr>
          <w:rStyle w:val="NormalTok"/>
        </w:rPr>
        <w:t xml:space="preserve"> ...</w:t>
      </w:r>
    </w:p>
    <w:p>
      <w:pPr>
        <w:pStyle w:val="FirstParagraph"/>
        <w:rPr/>
      </w:pPr>
      <w:r>
        <w:rPr>
          <w:b/>
          <w:bCs/>
          <w:sz w:val="20"/>
        </w:rPr>
        <w:t>Quartus:</w:t>
      </w:r>
    </w:p>
    <w:p>
      <w:pPr>
        <w:pStyle w:val="SourceCode"/>
        <w:rPr/>
      </w:pPr>
      <w:r>
        <w:rPr>
          <w:rStyle w:val="VerbatimChar"/>
        </w:rPr>
        <w:t># In .qsf:</w:t>
      </w:r>
      <w:r>
        <w:rPr/>
        <w:br/>
      </w:r>
      <w:r>
        <w:rPr>
          <w:rStyle w:val="VerbatimChar"/>
        </w:rPr>
        <w:t>set_global_assignment -name FAMILY "Cyclone V"</w:t>
      </w:r>
      <w:r>
        <w:rPr/>
        <w:br/>
      </w:r>
      <w:r>
        <w:rPr>
          <w:rStyle w:val="VerbatimChar"/>
        </w:rPr>
        <w:t>set_global_assignment -name DEVICE 5CGXFC5C6F27C7</w:t>
      </w:r>
      <w:r>
        <w:rPr/>
        <w:br/>
      </w:r>
      <w:r>
        <w:rPr>
          <w:rStyle w:val="VerbatimChar"/>
        </w:rPr>
        <w:t>set_global_assignment -name SDC_FILE timing_target.sdc   ;# a 6-line wrapper, see below</w:t>
      </w:r>
      <w:r>
        <w:rPr/>
        <w:br/>
      </w:r>
      <w:r>
        <w:rPr>
          <w:rStyle w:val="VerbatimChar"/>
        </w:rPr>
        <w:t>set_global_assignment -name OPTIMIZATION_MODE "HIGH PERFORMANCE EFFORT"</w:t>
      </w:r>
    </w:p>
    <w:p>
      <w:pPr>
        <w:pStyle w:val="FirstParagraph"/>
        <w:rPr/>
      </w:pPr>
      <w:r>
        <w:rPr>
          <w:sz w:val="20"/>
        </w:rPr>
        <w:t>The Timing Analyzer reads SDC as Tcl, so the wrapper it is pointed at sets the flow and sources the master file (there is no “pre-SDC hook”):</w:t>
      </w:r>
    </w:p>
    <w:p>
      <w:pPr>
        <w:pStyle w:val="SourceCode"/>
        <w:rPr/>
      </w:pPr>
      <w:r>
        <w:rPr>
          <w:rStyle w:val="CommentTok"/>
        </w:rPr>
        <w:t># timing_target.sdc</w:t>
      </w:r>
      <w:r>
        <w:rPr/>
        <w:br/>
      </w:r>
      <w:r>
        <w:rPr>
          <w:rStyle w:val="KeywordTok"/>
        </w:rPr>
        <w:t>set</w:t>
      </w:r>
      <w:r>
        <w:rPr>
          <w:rStyle w:val="NormalTok"/>
        </w:rPr>
        <w:t xml:space="preserve"> FLOW            quartus</w:t>
      </w:r>
      <w:r>
        <w:rPr/>
        <w:br/>
      </w:r>
      <w:r>
        <w:rPr>
          <w:rStyle w:val="KeywordTok"/>
        </w:rPr>
        <w:t>set</w:t>
      </w:r>
      <w:r>
        <w:rPr>
          <w:rStyle w:val="NormalTok"/>
        </w:rPr>
        <w:t xml:space="preserve"> TARGET_FREQ_MHZ </w:t>
      </w:r>
      <w:r>
        <w:rPr>
          <w:rStyle w:val="DecValTok"/>
        </w:rPr>
        <w:t>200</w:t>
      </w:r>
      <w:r>
        <w:rPr/>
        <w:br/>
      </w:r>
      <w:r>
        <w:rPr>
          <w:rStyle w:val="KeywordTok"/>
        </w:rPr>
        <w:t>source</w:t>
      </w:r>
      <w:r>
        <w:rPr>
          <w:rStyle w:val="NormalTok"/>
        </w:rPr>
        <w:t xml:space="preserve"> </w:t>
      </w:r>
      <w:r>
        <w:rPr>
          <w:rStyle w:val="StringTok"/>
        </w:rPr>
        <w:t>"/abs/path/to/rtl/syn/char_top.sdc"</w:t>
      </w:r>
    </w:p>
    <w:p>
      <w:pPr>
        <w:pStyle w:val="FirstParagraph"/>
        <w:rPr/>
      </w:pPr>
      <w:r>
        <w:rPr>
          <w:sz w:val="20"/>
        </w:rPr>
        <w:t xml:space="preserve">This is exactly what </w:t>
      </w:r>
      <w:r>
        <w:rPr>
          <w:rStyle w:val="VerbatimChar"/>
          <w:sz w:val="20"/>
        </w:rPr>
        <w:t>fpga/quartus/syn_sweep_quartus.tcl</w:t>
      </w:r>
      <w:r>
        <w:rPr>
          <w:sz w:val="20"/>
        </w:rPr>
        <w:t xml:space="preserve"> generates per sweep point; </w:t>
      </w:r>
      <w:r>
        <w:rPr>
          <w:rStyle w:val="VerbatimChar"/>
          <w:sz w:val="20"/>
        </w:rPr>
        <w:t>cd fpga &amp;&amp; make quartus-sweep</w:t>
      </w:r>
      <w:r>
        <w:rPr>
          <w:sz w:val="20"/>
        </w:rPr>
        <w:t xml:space="preserve"> runs the whole loop and </w:t>
      </w:r>
      <w:r>
        <w:rPr>
          <w:rStyle w:val="VerbatimChar"/>
          <w:sz w:val="20"/>
        </w:rPr>
        <w:t>fpga/quartus/sta_reports.tcl</w:t>
      </w:r>
      <w:r>
        <w:rPr>
          <w:sz w:val="20"/>
        </w:rPr>
        <w:t xml:space="preserve"> adds per-FUB slack / data delay / logic levels. Two Timing Analyzer differences are folded into the master SDC: </w:t>
      </w:r>
      <w:r>
        <w:rPr>
          <w:rStyle w:val="VerbatimChar"/>
          <w:sz w:val="20"/>
        </w:rPr>
        <w:t>set_clock_uncertainty</w:t>
      </w:r>
      <w:r>
        <w:rPr>
          <w:sz w:val="20"/>
        </w:rPr>
        <w:t xml:space="preserve"> takes </w:t>
      </w:r>
      <w:r>
        <w:rPr>
          <w:rStyle w:val="VerbatimChar"/>
          <w:sz w:val="20"/>
        </w:rPr>
        <w:t>-to &lt;clock&gt;</w:t>
      </w:r>
      <w:r>
        <w:rPr>
          <w:sz w:val="20"/>
        </w:rPr>
        <w:t xml:space="preserve"> with the value LAST, and </w:t>
      </w:r>
      <w:r>
        <w:rPr>
          <w:rStyle w:val="VerbatimChar"/>
          <w:sz w:val="20"/>
        </w:rPr>
        <w:t>set_load</w:t>
      </w:r>
      <w:r>
        <w:rPr>
          <w:sz w:val="20"/>
        </w:rPr>
        <w:t xml:space="preserve"> is not implemented (</w:t>
      </w:r>
      <w:r>
        <w:rPr>
          <w:rStyle w:val="VerbatimChar"/>
          <w:sz w:val="20"/>
        </w:rPr>
        <w:t>read_sdc</w:t>
      </w:r>
      <w:r>
        <w:rPr>
          <w:sz w:val="20"/>
        </w:rPr>
        <w:t xml:space="preserve"> aborts on it).</w:t>
      </w:r>
    </w:p>
    <w:p>
      <w:pPr>
        <w:pStyle w:val="Heading3"/>
        <w:spacing w:before="200" w:after="80"/>
        <w:rPr/>
      </w:pPr>
      <w:bookmarkStart w:id="49" w:name="__RefHeading___Toc3087_3737963300"/>
      <w:bookmarkStart w:id="50" w:name="the-8020-io-split"/>
      <w:bookmarkEnd w:id="49"/>
      <w:r>
        <w:rPr>
          <w:b/>
          <w:color w:val="404040"/>
          <w:sz w:val="24"/>
        </w:rPr>
        <w:t>5.4 The 80/20 I/O Split</w:t>
      </w:r>
    </w:p>
    <w:p>
      <w:pPr>
        <w:pStyle w:val="FirstParagraph"/>
        <w:rPr/>
      </w:pPr>
      <w:r>
        <w:rPr>
          <w:sz w:val="20"/>
        </w:rPr>
        <w:t>The 80% input delay / 20% output delay split is intentional:</w:t>
      </w:r>
    </w:p>
    <w:p>
      <w:pPr>
        <w:pStyle w:val="Normal"/>
        <w:numPr>
          <w:ilvl w:val="0"/>
          <w:numId w:val="6"/>
        </w:numPr>
        <w:rPr/>
      </w:pPr>
      <w:r>
        <w:rPr>
          <w:b/>
          <w:bCs/>
          <w:sz w:val="20"/>
        </w:rPr>
        <w:t>Input delay (80%):</w:t>
      </w:r>
      <w:r>
        <w:rPr>
          <w:sz w:val="20"/>
        </w:rPr>
        <w:t xml:space="preserve"> The LFSR register is the first stage. By consuming 80% of the period on the input side, we force the LFSR update to close with only 20% margin. Since the LFSR is a simple shift-XOR, it easily meets this constraint, and the “real” critical paths are the register-to-register paths within each FUB.</w:t>
      </w:r>
    </w:p>
    <w:p>
      <w:pPr>
        <w:pStyle w:val="Normal"/>
        <w:numPr>
          <w:ilvl w:val="0"/>
          <w:numId w:val="7"/>
        </w:numPr>
        <w:rPr/>
      </w:pPr>
      <w:r>
        <w:rPr>
          <w:b/>
          <w:bCs/>
          <w:sz w:val="20"/>
        </w:rPr>
        <w:t>Output delay (20%):</w:t>
      </w:r>
      <w:r>
        <w:rPr>
          <w:sz w:val="20"/>
        </w:rPr>
        <w:t xml:space="preserve"> FUB outputs go directly from registered output flops to top-level ports. The 20% output budget is trivially met for registered outputs.</w:t>
      </w:r>
    </w:p>
    <w:p>
      <w:pPr>
        <w:pStyle w:val="FirstParagraph"/>
        <w:rPr/>
      </w:pPr>
      <w:r>
        <w:rPr>
          <w:sz w:val="20"/>
        </w:rPr>
        <w:t xml:space="preserve">The net effect is that </w:t>
      </w:r>
      <w:r>
        <w:rPr>
          <w:b/>
          <w:bCs/>
          <w:sz w:val="20"/>
        </w:rPr>
        <w:t>all interesting timing is in the register-to-register paths within each FUB</w:t>
      </w:r>
      <w:r>
        <w:rPr>
          <w:sz w:val="20"/>
        </w:rPr>
        <w:t>, which is exactly what we want to characterize.</w:t>
      </w:r>
      <w:bookmarkEnd w:id="50"/>
    </w:p>
    <w:p>
      <w:pPr>
        <w:pStyle w:val="Heading3"/>
        <w:spacing w:before="200" w:after="80"/>
        <w:rPr/>
      </w:pPr>
      <w:bookmarkStart w:id="51" w:name="__RefHeading___Toc3089_3737963300"/>
      <w:bookmarkStart w:id="52" w:name="sweeping-frequency"/>
      <w:bookmarkEnd w:id="51"/>
      <w:r>
        <w:rPr>
          <w:b/>
          <w:color w:val="404040"/>
          <w:sz w:val="24"/>
        </w:rPr>
        <w:t>5.5 Sweeping Frequency</w:t>
      </w:r>
    </w:p>
    <w:p>
      <w:pPr>
        <w:pStyle w:val="FirstParagraph"/>
        <w:rPr/>
      </w:pPr>
      <w:r>
        <w:rPr>
          <w:sz w:val="20"/>
        </w:rPr>
        <w:t xml:space="preserve">To sweep the target frequency, override the </w:t>
      </w:r>
      <w:r>
        <w:rPr>
          <w:rStyle w:val="VerbatimChar"/>
          <w:sz w:val="20"/>
        </w:rPr>
        <w:t>TARGET_FREQ_MHZ</w:t>
      </w:r>
      <w:r>
        <w:rPr>
          <w:sz w:val="20"/>
        </w:rPr>
        <w:t xml:space="preserve"> variable before sourcing the SDC:</w:t>
      </w:r>
    </w:p>
    <w:p>
      <w:pPr>
        <w:pStyle w:val="SourceCode"/>
        <w:rPr/>
      </w:pPr>
      <w:r>
        <w:rPr>
          <w:rStyle w:val="KeywordTok"/>
        </w:rPr>
        <w:t>set</w:t>
      </w:r>
      <w:r>
        <w:rPr>
          <w:rStyle w:val="NormalTok"/>
        </w:rPr>
        <w:t xml:space="preserve"> TARGET_FREQ_MHZ </w:t>
      </w:r>
      <w:r>
        <w:rPr>
          <w:rStyle w:val="FloatTok"/>
        </w:rPr>
        <w:t>250.0</w:t>
      </w:r>
      <w:r>
        <w:rPr/>
        <w:br/>
      </w:r>
      <w:r>
        <w:rPr>
          <w:rStyle w:val="KeywordTok"/>
        </w:rPr>
        <w:t>set</w:t>
      </w:r>
      <w:r>
        <w:rPr>
          <w:rStyle w:val="NormalTok"/>
        </w:rPr>
        <w:t xml:space="preserve"> FLOW </w:t>
      </w:r>
      <w:r>
        <w:rPr>
          <w:rStyle w:val="StringTok"/>
        </w:rPr>
        <w:t>"vivado"</w:t>
      </w:r>
      <w:r>
        <w:rPr/>
        <w:br/>
      </w:r>
      <w:r>
        <w:rPr>
          <w:rStyle w:val="KeywordTok"/>
        </w:rPr>
        <w:t>source</w:t>
      </w:r>
      <w:r>
        <w:rPr>
          <w:rStyle w:val="NormalTok"/>
        </w:rPr>
        <w:t xml:space="preserve"> char_top.sdc</w:t>
      </w:r>
    </w:p>
    <w:p>
      <w:pPr>
        <w:pStyle w:val="FirstParagraph"/>
        <w:rPr/>
      </w:pPr>
      <w:bookmarkStart w:id="53" w:name="sweeping-frequency"/>
      <w:r>
        <w:rPr>
          <w:sz w:val="20"/>
        </w:rPr>
        <w:t>Typical sweep points: 100, 200, 300, 400, 500, 600, 750, 1000 MHz.</w:t>
      </w:r>
      <w:bookmarkEnd w:id="53"/>
    </w:p>
    <w:p>
      <w:pPr>
        <w:pStyle w:val="Heading3"/>
        <w:spacing w:before="200" w:after="80"/>
        <w:rPr/>
      </w:pPr>
      <w:bookmarkStart w:id="54" w:name="__RefHeading___Toc3091_3737963300"/>
      <w:bookmarkStart w:id="55" w:name="tool-specific-features"/>
      <w:bookmarkEnd w:id="54"/>
      <w:r>
        <w:rPr>
          <w:b/>
          <w:color w:val="404040"/>
          <w:sz w:val="24"/>
        </w:rPr>
        <w:t>5.6 Tool-Specific Features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ASIC</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Vivado</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Quartus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Per-FUB path groups</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group_path</w:t>
            </w:r>
            <w:r>
              <w:rPr>
                <w:rFonts w:eastAsia="Cambria" w:cs=""/>
                <w:kern w:val="0"/>
                <w:sz w:val="24"/>
                <w:szCs w:val="24"/>
                <w:lang w:val="en-US" w:eastAsia="en-US" w:bidi="ar-SA"/>
              </w:rPr>
              <w:t xml:space="preserve"> (active)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report_timing -from</w:t>
            </w:r>
            <w:r>
              <w:rPr>
                <w:rFonts w:eastAsia="Cambria" w:cs=""/>
                <w:kern w:val="0"/>
                <w:sz w:val="24"/>
                <w:szCs w:val="24"/>
                <w:lang w:val="en-US" w:eastAsia="en-US" w:bidi="ar-SA"/>
              </w:rPr>
              <w:t xml:space="preserve"> (manual)</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report_timing -from</w:t>
            </w:r>
            <w:r>
              <w:rPr>
                <w:rFonts w:eastAsia="Cambria" w:cs=""/>
                <w:kern w:val="0"/>
                <w:sz w:val="24"/>
                <w:szCs w:val="24"/>
                <w:lang w:val="en-US" w:eastAsia="en-US" w:bidi="ar-SA"/>
              </w:rPr>
              <w:t xml:space="preserve"> (manual)</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Dont-touch enforcement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set_dont_touch</w:t>
            </w:r>
            <w:r>
              <w:rPr>
                <w:rFonts w:eastAsia="Cambria" w:cs=""/>
                <w:kern w:val="0"/>
                <w:sz w:val="24"/>
                <w:szCs w:val="24"/>
                <w:lang w:val="en-US" w:eastAsia="en-US" w:bidi="ar-SA"/>
              </w:rPr>
              <w:t xml:space="preserve"> (active)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DONT_TOUCH</w:t>
            </w:r>
            <w:r>
              <w:rPr>
                <w:rFonts w:eastAsia="Cambria" w:cs=""/>
                <w:kern w:val="0"/>
                <w:sz w:val="24"/>
                <w:szCs w:val="24"/>
                <w:lang w:val="en-US" w:eastAsia="en-US" w:bidi="ar-SA"/>
              </w:rPr>
              <w:t xml:space="preserve"> property (commented)</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PRESERVE_REGISTER</w:t>
            </w:r>
            <w:r>
              <w:rPr>
                <w:rFonts w:eastAsia="Cambria" w:cs=""/>
                <w:kern w:val="0"/>
                <w:sz w:val="24"/>
                <w:szCs w:val="24"/>
                <w:lang w:val="en-US" w:eastAsia="en-US" w:bidi="ar-SA"/>
              </w:rPr>
              <w:t xml:space="preserve"> (commented)</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driving model</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set_driving_cell</w:t>
            </w:r>
            <w:r>
              <w:rPr>
                <w:rFonts w:eastAsia="Cambria" w:cs=""/>
                <w:kern w:val="0"/>
                <w:sz w:val="24"/>
                <w:szCs w:val="24"/>
                <w:lang w:val="en-US" w:eastAsia="en-US" w:bidi="ar-SA"/>
              </w:rPr>
              <w:t xml:space="preserve"> (commented, needs lib cell)</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IOSTANDARD</w:t>
            </w:r>
            <w:r>
              <w:rPr>
                <w:rFonts w:eastAsia="Cambria" w:cs=""/>
                <w:kern w:val="0"/>
                <w:sz w:val="24"/>
                <w:szCs w:val="24"/>
                <w:lang w:val="en-US" w:eastAsia="en-US" w:bidi="ar-SA"/>
              </w:rPr>
              <w:t xml:space="preserve"> (commented)</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Via .qsf </w:t>
            </w:r>
            <w:r>
              <w:rPr>
                <w:rStyle w:val="VerbatimChar"/>
                <w:rFonts w:eastAsia="Cambria" w:cs=""/>
                <w:kern w:val="0"/>
                <w:szCs w:val="24"/>
                <w:lang w:val="en-US" w:eastAsia="en-US" w:bidi="ar-SA"/>
              </w:rPr>
              <w:t>IO_STANDARD</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load</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library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set_load 5.0</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supported by the Timing Analyzer; via .qsf </w:t>
            </w:r>
            <w:r>
              <w:rPr>
                <w:rStyle w:val="VerbatimChar"/>
                <w:rFonts w:eastAsia="Cambria" w:cs=""/>
                <w:kern w:val="0"/>
                <w:szCs w:val="24"/>
                <w:lang w:val="en-US" w:eastAsia="en-US" w:bidi="ar-SA"/>
              </w:rPr>
              <w:t>IO_STANDARD</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Per-FUB slack/delay/levels</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report_timing -group</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manual</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fpga/quartus/sta_reports.tcl</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fub_slack.csv</w:t>
            </w:r>
            <w:r>
              <w:rPr>
                <w:rFonts w:eastAsia="Cambria" w:cs=""/>
                <w:kern w:val="0"/>
                <w:sz w:val="24"/>
                <w:szCs w:val="24"/>
                <w:lang w:val="en-US" w:eastAsia="en-US" w:bidi="ar-SA"/>
              </w:rPr>
              <w:t xml:space="preserve"> (automated)</w:t>
            </w:r>
          </w:p>
        </w:tc>
      </w:tr>
    </w:tbl>
    <w:p>
      <w:pPr>
        <w:pStyle w:val="BodyText"/>
        <w:rPr/>
      </w:pPr>
      <w:r>
        <w:rPr>
          <w:sz w:val="20"/>
        </w:rPr>
        <w:t>The ASIC flow enables path groups and dont-touch by default since these are standard DC/Genus commands. Vivado and Quartus equivalents are commented out because they use property-based syntax that depends on the specific target; uncomment as needed.</w:t>
      </w:r>
    </w:p>
    <w:p>
      <w:pPr>
        <w:pStyle w:val="Normal"/>
        <w:rPr/>
      </w:pPr>
      <w:bookmarkStart w:id="56" w:name="sdc-constraints-strategy"/>
      <w:bookmarkStart w:id="57" w:name="tool-specific-feature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
      <w:bookmarkEnd w:id="57"/>
    </w:p>
    <w:p>
      <w:pPr>
        <w:pStyle w:val="Heading2"/>
        <w:pBdr>
          <w:bottom w:val="single" w:sz="12" w:space="0" w:color="228B22"/>
        </w:pBdr>
        <w:spacing w:before="280" w:after="80"/>
        <w:rPr/>
      </w:pPr>
      <w:bookmarkStart w:id="58" w:name="__RefHeading___Toc3093_3737963300"/>
      <w:bookmarkStart w:id="59" w:name="synthesis-workflow"/>
      <w:bookmarkEnd w:id="58"/>
      <w:r>
        <w:rPr>
          <w:b/>
          <w:color w:val="228B22"/>
          <w:sz w:val="28"/>
        </w:rPr>
        <w:t>6. Synthesis Workflow</w:t>
      </w:r>
    </w:p>
    <w:p>
      <w:pPr>
        <w:pStyle w:val="Heading3"/>
        <w:spacing w:before="200" w:after="80"/>
        <w:rPr/>
      </w:pPr>
      <w:bookmarkStart w:id="60" w:name="__RefHeading___Toc3095_3737963300"/>
      <w:bookmarkStart w:id="61" w:name="single-fub-characterization"/>
      <w:bookmarkEnd w:id="60"/>
      <w:r>
        <w:rPr>
          <w:b/>
          <w:color w:val="404040"/>
          <w:sz w:val="24"/>
        </w:rPr>
        <w:t>6.1 Single-FUB Characterization</w:t>
      </w:r>
    </w:p>
    <w:p>
      <w:pPr>
        <w:pStyle w:val="FirstParagraph"/>
        <w:rPr/>
      </w:pPr>
      <w:r>
        <w:rPr>
          <w:sz w:val="20"/>
        </w:rPr>
        <w:t>Enable only the FUB of interest to minimize compile time:</w:t>
      </w:r>
    </w:p>
    <w:p>
      <w:pPr>
        <w:pStyle w:val="SourceCode"/>
        <w:rPr/>
      </w:pPr>
      <w:r>
        <w:rPr>
          <w:rStyle w:val="CommentTok"/>
        </w:rPr>
        <w:t># Vivado example: synthesize only carry_chain</w:t>
      </w:r>
      <w:r>
        <w:rPr/>
        <w:br/>
      </w:r>
      <w:r>
        <w:rPr>
          <w:rStyle w:val="NormalTok"/>
        </w:rPr>
        <w:t>synth_design</w:t>
      </w:r>
      <w:r>
        <w:rPr>
          <w:rStyle w:val="OtherTok"/>
        </w:rPr>
        <w:t xml:space="preserve"> -top</w:t>
      </w:r>
      <w:r>
        <w:rPr>
          <w:rStyle w:val="NormalTok"/>
        </w:rPr>
        <w:t xml:space="preserve"> char_top \</w:t>
      </w:r>
      <w:r>
        <w:rPr/>
        <w:br/>
      </w:r>
      <w:r>
        <w:rPr>
          <w:rStyle w:val="NormalTok"/>
        </w:rPr>
        <w:t xml:space="preserve">    -generic EN_NAND_TREE=</w:t>
      </w:r>
      <w:r>
        <w:rPr>
          <w:rStyle w:val="DecValTok"/>
        </w:rPr>
        <w:t>0</w:t>
      </w:r>
      <w:r>
        <w:rPr>
          <w:rStyle w:val="NormalTok"/>
        </w:rPr>
        <w:t xml:space="preserve"> \</w:t>
      </w:r>
      <w:r>
        <w:rPr/>
        <w:br/>
      </w:r>
      <w:r>
        <w:rPr>
          <w:rStyle w:val="NormalTok"/>
        </w:rPr>
        <w:t xml:space="preserve">    -generic EN_INVERTER_CHAIN=</w:t>
      </w:r>
      <w:r>
        <w:rPr>
          <w:rStyle w:val="DecValTok"/>
        </w:rPr>
        <w:t>0</w:t>
      </w:r>
      <w:r>
        <w:rPr>
          <w:rStyle w:val="NormalTok"/>
        </w:rPr>
        <w:t xml:space="preserve"> \</w:t>
      </w:r>
      <w:r>
        <w:rPr/>
        <w:br/>
      </w:r>
      <w:r>
        <w:rPr>
          <w:rStyle w:val="NormalTok"/>
        </w:rPr>
        <w:t xml:space="preserve">    -generic EN_XOR_TREE=</w:t>
      </w:r>
      <w:r>
        <w:rPr>
          <w:rStyle w:val="DecValTok"/>
        </w:rPr>
        <w:t>0</w:t>
      </w:r>
      <w:r>
        <w:rPr>
          <w:rStyle w:val="NormalTok"/>
        </w:rPr>
        <w:t xml:space="preserve"> \</w:t>
      </w:r>
      <w:r>
        <w:rPr/>
        <w:br/>
      </w:r>
      <w:r>
        <w:rPr>
          <w:rStyle w:val="NormalTok"/>
        </w:rPr>
        <w:t xml:space="preserve">    -generic EN_CARRY_CHAIN=</w:t>
      </w:r>
      <w:r>
        <w:rPr>
          <w:rStyle w:val="DecValTok"/>
        </w:rPr>
        <w:t>1</w:t>
      </w:r>
      <w:r>
        <w:rPr>
          <w:rStyle w:val="NormalTok"/>
        </w:rPr>
        <w:t xml:space="preserve"> \</w:t>
      </w:r>
      <w:r>
        <w:rPr/>
        <w:br/>
      </w:r>
      <w:r>
        <w:rPr>
          <w:rStyle w:val="NormalTok"/>
        </w:rPr>
        <w:t xml:space="preserve">    -generic EN_MULTIPLIER=</w:t>
      </w:r>
      <w:r>
        <w:rPr>
          <w:rStyle w:val="DecValTok"/>
        </w:rPr>
        <w:t>0</w:t>
      </w:r>
      <w:r>
        <w:rPr>
          <w:rStyle w:val="NormalTok"/>
        </w:rPr>
        <w:t xml:space="preserve"> \</w:t>
      </w:r>
      <w:r>
        <w:rPr/>
        <w:br/>
      </w:r>
      <w:r>
        <w:rPr>
          <w:rStyle w:val="NormalTok"/>
        </w:rPr>
        <w:t xml:space="preserve">    -generic EN_MUX_TREE=</w:t>
      </w:r>
      <w:r>
        <w:rPr>
          <w:rStyle w:val="DecValTok"/>
        </w:rPr>
        <w:t>0</w:t>
      </w:r>
      <w:r>
        <w:rPr>
          <w:rStyle w:val="NormalTok"/>
        </w:rPr>
        <w:t xml:space="preserve"> \</w:t>
      </w:r>
      <w:r>
        <w:rPr/>
        <w:br/>
      </w:r>
      <w:r>
        <w:rPr>
          <w:rStyle w:val="NormalTok"/>
        </w:rPr>
        <w:t xml:space="preserve">    -generic EN_QUEUE_DEPTH=</w:t>
      </w:r>
      <w:r>
        <w:rPr>
          <w:rStyle w:val="DecValTok"/>
        </w:rPr>
        <w:t>0</w:t>
      </w:r>
      <w:r>
        <w:rPr>
          <w:rStyle w:val="NormalTok"/>
        </w:rPr>
        <w:t xml:space="preserve"> \</w:t>
      </w:r>
      <w:r>
        <w:rPr/>
        <w:br/>
      </w:r>
      <w:r>
        <w:rPr>
          <w:rStyle w:val="NormalTok"/>
        </w:rPr>
        <w:t xml:space="preserve">    -generic EN_CLK_DIVIDER=</w:t>
      </w:r>
      <w:r>
        <w:rPr>
          <w:rStyle w:val="DecValTok"/>
        </w:rPr>
        <w:t>0</w:t>
      </w:r>
      <w:r>
        <w:rPr>
          <w:rStyle w:val="NormalTok"/>
        </w:rPr>
        <w:t xml:space="preserve"> \</w:t>
      </w:r>
      <w:r>
        <w:rPr/>
        <w:br/>
      </w:r>
      <w:r>
        <w:rPr>
          <w:rStyle w:val="NormalTok"/>
        </w:rPr>
        <w:t xml:space="preserve">    -generic EN_GRAY_COUNTER=</w:t>
      </w:r>
      <w:r>
        <w:rPr>
          <w:rStyle w:val="DecValTok"/>
        </w:rPr>
        <w:t>0</w:t>
      </w:r>
      <w:r>
        <w:rPr>
          <w:rStyle w:val="NormalTok"/>
        </w:rPr>
        <w:t xml:space="preserve"> \</w:t>
      </w:r>
      <w:r>
        <w:rPr/>
        <w:br/>
      </w:r>
      <w:r>
        <w:rPr>
          <w:rStyle w:val="NormalTok"/>
        </w:rPr>
        <w:t xml:space="preserve">    -generic CARRY_WIDTH=</w:t>
      </w:r>
      <w:r>
        <w:rPr>
          <w:rStyle w:val="DecValTok"/>
        </w:rPr>
        <w:t>64</w:t>
      </w:r>
      <w:bookmarkEnd w:id="61"/>
    </w:p>
    <w:p>
      <w:pPr>
        <w:pStyle w:val="Heading3"/>
        <w:spacing w:before="200" w:after="80"/>
        <w:rPr/>
      </w:pPr>
      <w:bookmarkStart w:id="62" w:name="__RefHeading___Toc3097_3737963300"/>
      <w:bookmarkStart w:id="63" w:name="parameter-sweep"/>
      <w:bookmarkEnd w:id="62"/>
      <w:r>
        <w:rPr>
          <w:b/>
          <w:color w:val="404040"/>
          <w:sz w:val="24"/>
        </w:rPr>
        <w:t>6.2 Parameter Sweep</w:t>
      </w:r>
    </w:p>
    <w:p>
      <w:pPr>
        <w:pStyle w:val="FirstParagraph"/>
        <w:rPr/>
      </w:pPr>
      <w:r>
        <w:rPr>
          <w:sz w:val="20"/>
        </w:rPr>
        <w:t>For a carry-chain width sweep, iterate over CARRY_WIDTH values:</w:t>
      </w:r>
    </w:p>
    <w:p>
      <w:pPr>
        <w:pStyle w:val="SourceCode"/>
        <w:rPr/>
      </w:pPr>
      <w:r>
        <w:rPr>
          <w:rStyle w:val="ControlFlowTok"/>
        </w:rPr>
        <w:t>for</w:t>
      </w:r>
      <w:r>
        <w:rPr>
          <w:rStyle w:val="NormalTok"/>
        </w:rPr>
        <w:t xml:space="preserve"> W </w:t>
      </w:r>
      <w:r>
        <w:rPr>
          <w:rStyle w:val="KeywordTok"/>
        </w:rPr>
        <w:t>in</w:t>
      </w:r>
      <w:r>
        <w:rPr>
          <w:rStyle w:val="NormalTok"/>
        </w:rPr>
        <w:t xml:space="preserve"> 8 16 32 64 128 256 512</w:t>
      </w:r>
      <w:r>
        <w:rPr>
          <w:rStyle w:val="KeywordTok"/>
        </w:rPr>
        <w:t>;</w:t>
      </w:r>
      <w:r>
        <w:rPr>
          <w:rStyle w:val="NormalTok"/>
        </w:rPr>
        <w:t xml:space="preserve"> </w:t>
      </w:r>
      <w:r>
        <w:rPr>
          <w:rStyle w:val="ControlFlowTok"/>
        </w:rPr>
        <w:t>do</w:t>
      </w:r>
      <w:r>
        <w:rPr/>
        <w:br/>
      </w:r>
      <w:r>
        <w:rPr>
          <w:rStyle w:val="NormalTok"/>
        </w:rPr>
        <w:t xml:space="preserve">    </w:t>
      </w:r>
      <w:r>
        <w:rPr>
          <w:rStyle w:val="ExtensionTok"/>
        </w:rPr>
        <w:t>vivado</w:t>
      </w:r>
      <w:r>
        <w:rPr>
          <w:rStyle w:val="NormalTok"/>
        </w:rPr>
        <w:t xml:space="preserve"> </w:t>
      </w:r>
      <w:r>
        <w:rPr>
          <w:rStyle w:val="AttributeTok"/>
        </w:rPr>
        <w:t>-mode</w:t>
      </w:r>
      <w:r>
        <w:rPr>
          <w:rStyle w:val="NormalTok"/>
        </w:rPr>
        <w:t xml:space="preserve"> batch </w:t>
      </w:r>
      <w:r>
        <w:rPr>
          <w:rStyle w:val="AttributeTok"/>
        </w:rPr>
        <w:t>-source</w:t>
      </w:r>
      <w:r>
        <w:rPr>
          <w:rStyle w:val="NormalTok"/>
        </w:rPr>
        <w:t xml:space="preserve"> syn_sweep.tcl </w:t>
      </w:r>
      <w:r>
        <w:rPr>
          <w:rStyle w:val="AttributeTok"/>
        </w:rPr>
        <w:t>-tclargs</w:t>
      </w:r>
      <w:r>
        <w:rPr>
          <w:rStyle w:val="NormalTok"/>
        </w:rPr>
        <w:t xml:space="preserve"> CARRY_WIDTH=</w:t>
      </w:r>
      <w:r>
        <w:rPr>
          <w:rStyle w:val="VariableTok"/>
        </w:rPr>
        <w:t>$W</w:t>
      </w:r>
      <w:r>
        <w:rPr/>
        <w:br/>
      </w:r>
      <w:r>
        <w:rPr>
          <w:rStyle w:val="ControlFlowTok"/>
        </w:rPr>
        <w:t>done</w:t>
      </w:r>
      <w:bookmarkEnd w:id="63"/>
    </w:p>
    <w:p>
      <w:pPr>
        <w:pStyle w:val="Heading3"/>
        <w:spacing w:before="200" w:after="80"/>
        <w:rPr/>
      </w:pPr>
      <w:bookmarkStart w:id="64" w:name="__RefHeading___Toc3099_3737963300"/>
      <w:bookmarkStart w:id="65" w:name="cross-fub-comparison"/>
      <w:bookmarkEnd w:id="64"/>
      <w:r>
        <w:rPr>
          <w:b/>
          <w:color w:val="404040"/>
          <w:sz w:val="24"/>
        </w:rPr>
        <w:t>6.3 Cross-FUB Comparison</w:t>
      </w:r>
    </w:p>
    <w:p>
      <w:pPr>
        <w:pStyle w:val="FirstParagraph"/>
        <w:rPr/>
      </w:pPr>
      <w:r>
        <w:rPr>
          <w:sz w:val="20"/>
        </w:rPr>
        <w:t>Enable all FUBs and use path groups to compare in a single run:</w:t>
      </w:r>
    </w:p>
    <w:p>
      <w:pPr>
        <w:pStyle w:val="SourceCode"/>
        <w:rPr/>
      </w:pPr>
      <w:r>
        <w:rPr>
          <w:rStyle w:val="NormalTok"/>
        </w:rPr>
        <w:t>synth_design</w:t>
      </w:r>
      <w:r>
        <w:rPr>
          <w:rStyle w:val="OtherTok"/>
        </w:rPr>
        <w:t xml:space="preserve"> -top</w:t>
      </w:r>
      <w:r>
        <w:rPr>
          <w:rStyle w:val="NormalTok"/>
        </w:rPr>
        <w:t xml:space="preserve"> char_top   ;</w:t>
      </w:r>
      <w:r>
        <w:rPr>
          <w:rStyle w:val="CommentTok"/>
        </w:rPr>
        <w:t># All EN_* default to 1</w:t>
      </w:r>
      <w:r>
        <w:rPr/>
        <w:br/>
      </w:r>
      <w:r>
        <w:rPr>
          <w:rStyle w:val="NormalTok"/>
        </w:rPr>
        <w:t>report_timing</w:t>
      </w:r>
      <w:r>
        <w:rPr>
          <w:rStyle w:val="OtherTok"/>
        </w:rPr>
        <w:t xml:space="preserve"> -group</w:t>
      </w:r>
      <w:r>
        <w:rPr>
          <w:rStyle w:val="NormalTok"/>
        </w:rPr>
        <w:t xml:space="preserve"> GRP_NAND</w:t>
      </w:r>
      <w:r>
        <w:rPr>
          <w:rStyle w:val="OtherTok"/>
        </w:rPr>
        <w:t xml:space="preserve"> -max_paths</w:t>
      </w:r>
      <w:r>
        <w:rPr>
          <w:rStyle w:val="NormalTok"/>
        </w:rPr>
        <w:t xml:space="preserve"> </w:t>
      </w:r>
      <w:r>
        <w:rPr>
          <w:rStyle w:val="DecValTok"/>
        </w:rPr>
        <w:t>1</w:t>
      </w:r>
      <w:r>
        <w:rPr/>
        <w:br/>
      </w:r>
      <w:r>
        <w:rPr>
          <w:rStyle w:val="NormalTok"/>
        </w:rPr>
        <w:t>report_timing</w:t>
      </w:r>
      <w:r>
        <w:rPr>
          <w:rStyle w:val="OtherTok"/>
        </w:rPr>
        <w:t xml:space="preserve"> -group</w:t>
      </w:r>
      <w:r>
        <w:rPr>
          <w:rStyle w:val="NormalTok"/>
        </w:rPr>
        <w:t xml:space="preserve"> GRP_CARRY</w:t>
      </w:r>
      <w:r>
        <w:rPr>
          <w:rStyle w:val="OtherTok"/>
        </w:rPr>
        <w:t xml:space="preserve"> -max_paths</w:t>
      </w:r>
      <w:r>
        <w:rPr>
          <w:rStyle w:val="NormalTok"/>
        </w:rPr>
        <w:t xml:space="preserve"> </w:t>
      </w:r>
      <w:r>
        <w:rPr>
          <w:rStyle w:val="DecValTok"/>
        </w:rPr>
        <w:t>1</w:t>
      </w:r>
      <w:r>
        <w:rPr/>
        <w:br/>
      </w:r>
      <w:r>
        <w:rPr>
          <w:rStyle w:val="NormalTok"/>
        </w:rPr>
        <w:t>report_timing</w:t>
      </w:r>
      <w:r>
        <w:rPr>
          <w:rStyle w:val="OtherTok"/>
        </w:rPr>
        <w:t xml:space="preserve"> -group</w:t>
      </w:r>
      <w:r>
        <w:rPr>
          <w:rStyle w:val="NormalTok"/>
        </w:rPr>
        <w:t xml:space="preserve"> GRP_MULT</w:t>
      </w:r>
      <w:r>
        <w:rPr>
          <w:rStyle w:val="OtherTok"/>
        </w:rPr>
        <w:t xml:space="preserve"> -max_paths</w:t>
      </w:r>
      <w:r>
        <w:rPr>
          <w:rStyle w:val="NormalTok"/>
        </w:rPr>
        <w:t xml:space="preserve"> </w:t>
      </w:r>
      <w:r>
        <w:rPr>
          <w:rStyle w:val="DecValTok"/>
        </w:rPr>
        <w:t>1</w:t>
      </w:r>
      <w:r>
        <w:rPr/>
        <w:br/>
      </w:r>
      <w:r>
        <w:rPr>
          <w:rStyle w:val="CommentTok"/>
        </w:rPr>
        <w:t># ... etc.</w:t>
      </w:r>
      <w:bookmarkEnd w:id="65"/>
    </w:p>
    <w:p>
      <w:pPr>
        <w:pStyle w:val="Heading3"/>
        <w:spacing w:before="200" w:after="80"/>
        <w:rPr/>
      </w:pPr>
      <w:bookmarkStart w:id="66" w:name="__RefHeading___Toc3101_3737963300"/>
      <w:bookmarkStart w:id="67" w:name="cross-technology-comparison"/>
      <w:bookmarkEnd w:id="66"/>
      <w:r>
        <w:rPr>
          <w:b/>
          <w:color w:val="404040"/>
          <w:sz w:val="24"/>
        </w:rPr>
        <w:t>6.4 Cross-Technology Comparison</w:t>
      </w:r>
    </w:p>
    <w:p>
      <w:pPr>
        <w:pStyle w:val="FirstParagraph"/>
        <w:rPr/>
      </w:pPr>
      <w:r>
        <w:rPr>
          <w:sz w:val="20"/>
        </w:rPr>
        <w:t>Synthesize the same RTL + SDC against different targets: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2442"/>
        <w:gridCol w:w="3663"/>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Tool</w:t>
            </w:r>
          </w:p>
        </w:tc>
        <w:tc>
          <w:tcPr>
            <w:tcW w:w="36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Artix-7</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Vivado</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set_property part xc7a200t...</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UltraScale+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Vivado</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set_property part xcvu9p...</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Cyclone 10</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Quartus</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set_global_assignment FAMILY "Cyclone 10 LP"</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Stratix 10</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Quartus</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set_global_assignment FAMILY "Stratix 10"</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ASIC (TSMC 28nm)</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DC/Genus</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Point to </w:t>
            </w:r>
            <w:r>
              <w:rPr>
                <w:rStyle w:val="VerbatimChar"/>
                <w:rFonts w:eastAsia="Cambria" w:cs=""/>
                <w:kern w:val="0"/>
                <w:szCs w:val="24"/>
                <w:lang w:val="en-US" w:eastAsia="en-US" w:bidi="ar-SA"/>
              </w:rPr>
              <w:t>.db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.lib</w:t>
            </w:r>
            <w:r>
              <w:rPr>
                <w:rFonts w:eastAsia="Cambria" w:cs=""/>
                <w:kern w:val="0"/>
                <w:sz w:val="24"/>
                <w:szCs w:val="24"/>
                <w:lang w:val="en-US" w:eastAsia="en-US" w:bidi="ar-SA"/>
              </w:rPr>
              <w:t xml:space="preserve"> library</w:t>
            </w:r>
          </w:p>
        </w:tc>
      </w:tr>
    </w:tbl>
    <w:p>
      <w:pPr>
        <w:pStyle w:val="BodyText"/>
        <w:rPr/>
      </w:pPr>
      <w:r>
        <w:rPr>
          <w:sz w:val="20"/>
        </w:rPr>
        <w:t>The SDC is tool-agnostic (standard Tcl/SDC syntax) and works unchanged across all these flows.</w:t>
      </w:r>
    </w:p>
    <w:p>
      <w:pPr>
        <w:pStyle w:val="Normal"/>
        <w:rPr/>
      </w:pPr>
      <w:bookmarkStart w:id="68" w:name="synthesis-workflow"/>
      <w:bookmarkStart w:id="69" w:name="cross-technology-comparison"/>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p>
    <w:p>
      <w:pPr>
        <w:pStyle w:val="Heading2"/>
        <w:pBdr>
          <w:bottom w:val="single" w:sz="12" w:space="0" w:color="228B22"/>
        </w:pBdr>
        <w:spacing w:before="280" w:after="80"/>
        <w:rPr/>
      </w:pPr>
      <w:bookmarkStart w:id="70" w:name="__RefHeading___Toc3103_3737963300"/>
      <w:bookmarkStart w:id="71" w:name="interpreting-results"/>
      <w:bookmarkEnd w:id="70"/>
      <w:r>
        <w:rPr>
          <w:b/>
          <w:color w:val="228B22"/>
          <w:sz w:val="28"/>
        </w:rPr>
        <w:t>7. Interpreting Results</w:t>
      </w:r>
    </w:p>
    <w:p>
      <w:pPr>
        <w:pStyle w:val="Heading3"/>
        <w:spacing w:before="200" w:after="80"/>
        <w:rPr/>
      </w:pPr>
      <w:bookmarkStart w:id="72" w:name="__RefHeading___Toc3105_3737963300"/>
      <w:bookmarkEnd w:id="72"/>
      <w:r>
        <w:rPr>
          <w:b/>
          <w:color w:val="404040"/>
          <w:sz w:val="24"/>
        </w:rPr>
        <w:t>7.1 Key Metrics</w:t>
      </w:r>
    </w:p>
    <w:p>
      <w:pPr>
        <w:pStyle w:val="FirstParagraph"/>
        <w:rPr/>
      </w:pPr>
      <w:r>
        <w:rPr>
          <w:sz w:val="20"/>
        </w:rPr>
        <w:t>For each FUB at each parameter point, extract: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995"/>
        <w:gridCol w:w="3370"/>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 slack</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report</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much margin remains (negative = fails)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path delay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report</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Actual combinational delay</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Logic levels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report</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LUT/gate levels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Utilization report</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FFs, DSPs, BRAMs consumed</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(period - slack)</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achievable frequency</w:t>
            </w:r>
            <w:bookmarkStart w:id="73" w:name="key-metrics"/>
            <w:bookmarkEnd w:id="73"/>
          </w:p>
        </w:tc>
      </w:tr>
    </w:tbl>
    <w:p>
      <w:pPr>
        <w:pStyle w:val="Heading3"/>
        <w:spacing w:before="200" w:after="80"/>
        <w:rPr/>
      </w:pPr>
      <w:bookmarkStart w:id="74" w:name="__RefHeading___Toc3107_3737963300"/>
      <w:bookmarkEnd w:id="74"/>
      <w:r>
        <w:rPr>
          <w:b/>
          <w:color w:val="404040"/>
          <w:sz w:val="24"/>
        </w:rPr>
        <w:t>7.2 Expected Trends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9"/>
        <w:gridCol w:w="4160"/>
        <w:gridCol w:w="3901"/>
      </w:tblGrid>
      <w:tr>
        <w:trPr>
          <w:tblHeader w:val="true"/>
        </w:trPr>
        <w:tc>
          <w:tcPr>
            <w:tcW w:w="12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4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 sweep</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trend</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nand_chain</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1-12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delay increase per level</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inverter_chain</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1-256</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delay, flattens when routing dominates</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xor_tree</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1-12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Similar to NAND but potentially fewer logic levels (better LUT packing)</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carry_chain</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8-512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Sub-linear delay (dedicated carry is fast)</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multiplier_tree</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8-32, TYPE 0-4</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TYPE=0 uses DSP (fast), structural types use LUTs (slower)</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mux_tree</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1-12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per LUT on 6-input LUT architectures</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queue_depth</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4-4096</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 changes at LUTRAM/BRAM/URAM boundaries</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clock_divider_chain</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STAGES 1-8</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per stage</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gray_counter_chain</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4-128</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Dominated by XOR tree above ~32 bits</w:t>
            </w:r>
          </w:p>
        </w:tc>
      </w:tr>
    </w:tbl>
    <w:p>
      <w:pPr>
        <w:pStyle w:val="Heading3"/>
        <w:spacing w:before="200" w:after="80"/>
        <w:rPr/>
      </w:pPr>
      <w:bookmarkStart w:id="75" w:name="__RefHeading___Toc3109_3737963300"/>
      <w:bookmarkEnd w:id="75"/>
      <w:r>
        <w:rPr>
          <w:b/>
          <w:color w:val="404040"/>
          <w:sz w:val="24"/>
        </w:rPr>
        <w:t>7.3 Normalizing Across Technologies</w:t>
      </w:r>
    </w:p>
    <w:p>
      <w:pPr>
        <w:pStyle w:val="FirstParagraph"/>
        <w:rPr/>
      </w:pPr>
      <w:r>
        <w:rPr>
          <w:sz w:val="20"/>
        </w:rPr>
        <w:t xml:space="preserve">To compare across technologies, normalize to </w:t>
      </w:r>
      <w:r>
        <w:rPr>
          <w:b/>
          <w:bCs/>
          <w:sz w:val="20"/>
        </w:rPr>
        <w:t>delay per logic level</w:t>
      </w:r>
      <w:r>
        <w:rPr>
          <w:sz w:val="20"/>
        </w:rPr>
        <w:t>:</w:t>
      </w:r>
    </w:p>
    <w:p>
      <w:pPr>
        <w:pStyle w:val="SourceCode"/>
        <w:rPr/>
      </w:pPr>
      <w:r>
        <w:rPr>
          <w:rStyle w:val="VerbatimChar"/>
        </w:rPr>
        <w:t>delay_per_level = data_path_delay / logic_levels</w:t>
      </w:r>
    </w:p>
    <w:p>
      <w:pPr>
        <w:pStyle w:val="FirstParagraph"/>
        <w:rPr/>
      </w:pPr>
      <w:r>
        <w:rPr>
          <w:sz w:val="20"/>
        </w:rPr>
        <w:t>This removes the depth variable and isolates the per-gate (or per-LUT) delay, which is the true technology-dependent metric.</w:t>
      </w:r>
    </w:p>
    <w:p>
      <w:pPr>
        <w:pStyle w:val="Normal"/>
        <w:rPr/>
      </w:pPr>
      <w:bookmarkStart w:id="76" w:name="interpreting-results"/>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
    </w:p>
    <w:p>
      <w:pPr>
        <w:pStyle w:val="Heading2"/>
        <w:pBdr>
          <w:bottom w:val="single" w:sz="12" w:space="0" w:color="228B22"/>
        </w:pBdr>
        <w:spacing w:before="280" w:after="80"/>
        <w:rPr/>
      </w:pPr>
      <w:bookmarkStart w:id="77" w:name="__RefHeading___Toc3111_3737963300"/>
      <w:bookmarkStart w:id="78" w:name="file-organization"/>
      <w:bookmarkEnd w:id="77"/>
      <w:r>
        <w:rPr>
          <w:b/>
          <w:color w:val="228B22"/>
          <w:sz w:val="28"/>
        </w:rPr>
        <w:t>8. File Organization</w:t>
      </w:r>
    </w:p>
    <w:p>
      <w:pPr>
        <w:pStyle w:val="SourceCode"/>
        <w:rPr/>
      </w:pPr>
      <w:r>
        <w:rPr>
          <w:rStyle w:val="VerbatimChar"/>
        </w:rPr>
        <w:t>rtl/syn/</w:t>
      </w:r>
      <w:r>
        <w:rPr/>
        <w:br/>
      </w:r>
      <w:r>
        <w:rPr>
          <w:rStyle w:val="VerbatimChar"/>
        </w:rPr>
        <w:t xml:space="preserve">  char_top.sdc           &lt;-- This SDC file (constraints)</w:t>
      </w:r>
      <w:r>
        <w:rPr/>
        <w:br/>
      </w:r>
      <w:r>
        <w:rPr>
          <w:rStyle w:val="VerbatimChar"/>
        </w:rPr>
        <w:t xml:space="preserve">  SYNTHESIS_GUIDE.md      &lt;-- This document</w:t>
      </w:r>
      <w:r>
        <w:rPr/>
        <w:br/>
        <w:br/>
      </w:r>
      <w:r>
        <w:rPr>
          <w:rStyle w:val="VerbatimChar"/>
        </w:rPr>
        <w:t>rtl/fub/                  &lt;-- FUB RTL (one per characterization block)</w:t>
      </w:r>
      <w:r>
        <w:rPr/>
        <w:br/>
      </w:r>
      <w:r>
        <w:rPr>
          <w:rStyle w:val="VerbatimChar"/>
        </w:rPr>
        <w:t xml:space="preserve">  nand_chain.sv</w:t>
      </w:r>
      <w:r>
        <w:rPr/>
        <w:br/>
      </w:r>
      <w:r>
        <w:rPr>
          <w:rStyle w:val="VerbatimChar"/>
        </w:rPr>
        <w:t xml:space="preserve">  inverter_chain.sv</w:t>
      </w:r>
      <w:r>
        <w:rPr/>
        <w:br/>
      </w:r>
      <w:r>
        <w:rPr>
          <w:rStyle w:val="VerbatimChar"/>
        </w:rPr>
        <w:t xml:space="preserve">  xor_tree.sv</w:t>
      </w:r>
      <w:r>
        <w:rPr/>
        <w:br/>
      </w:r>
      <w:r>
        <w:rPr>
          <w:rStyle w:val="VerbatimChar"/>
        </w:rPr>
        <w:t xml:space="preserve">  carry_chain.sv</w:t>
      </w:r>
      <w:r>
        <w:rPr/>
        <w:br/>
      </w:r>
      <w:r>
        <w:rPr>
          <w:rStyle w:val="VerbatimChar"/>
        </w:rPr>
        <w:t xml:space="preserve">  multiplier_tree.sv</w:t>
      </w:r>
      <w:r>
        <w:rPr/>
        <w:br/>
      </w:r>
      <w:r>
        <w:rPr>
          <w:rStyle w:val="VerbatimChar"/>
        </w:rPr>
        <w:t xml:space="preserve">  mux_tree.sv</w:t>
      </w:r>
      <w:r>
        <w:rPr/>
        <w:br/>
      </w:r>
      <w:r>
        <w:rPr>
          <w:rStyle w:val="VerbatimChar"/>
        </w:rPr>
        <w:t xml:space="preserve">  queue_depth.sv</w:t>
      </w:r>
      <w:r>
        <w:rPr/>
        <w:br/>
      </w:r>
      <w:r>
        <w:rPr>
          <w:rStyle w:val="VerbatimChar"/>
        </w:rPr>
        <w:t xml:space="preserve">  clock_divider_chain.sv</w:t>
      </w:r>
      <w:r>
        <w:rPr/>
        <w:br/>
      </w:r>
      <w:r>
        <w:rPr>
          <w:rStyle w:val="VerbatimChar"/>
        </w:rPr>
        <w:t xml:space="preserve">  gray_counter_chain.sv</w:t>
      </w:r>
      <w:r>
        <w:rPr/>
        <w:br/>
        <w:br/>
      </w:r>
      <w:r>
        <w:rPr>
          <w:rStyle w:val="VerbatimChar"/>
        </w:rPr>
        <w:t>rtl/top/                  &lt;-- Top-level wrappers</w:t>
      </w:r>
      <w:r>
        <w:rPr/>
        <w:br/>
      </w:r>
      <w:r>
        <w:rPr>
          <w:rStyle w:val="VerbatimChar"/>
        </w:rPr>
        <w:t xml:space="preserve">  char_top.sv             &lt;-- Main synthesis target</w:t>
      </w:r>
      <w:r>
        <w:rPr/>
        <w:br/>
      </w:r>
      <w:r>
        <w:rPr>
          <w:rStyle w:val="VerbatimChar"/>
        </w:rPr>
        <w:t xml:space="preserve">  nand_chain_top.sv       &lt;-- Standalone NAND chain wrapper</w:t>
      </w:r>
      <w:r>
        <w:rPr/>
        <w:br/>
        <w:br/>
      </w:r>
      <w:r>
        <w:rPr>
          <w:rStyle w:val="VerbatimChar"/>
        </w:rPr>
        <w:t>rtl/common/               &lt;-- Shared dependencies (copied from rtl/common/)</w:t>
      </w:r>
      <w:r>
        <w:rPr/>
        <w:br/>
      </w:r>
      <w:r>
        <w:rPr>
          <w:rStyle w:val="VerbatimChar"/>
        </w:rPr>
        <w:t xml:space="preserve">  counter_bin.sv</w:t>
      </w:r>
      <w:r>
        <w:rPr/>
        <w:br/>
      </w:r>
      <w:r>
        <w:rPr>
          <w:rStyle w:val="VerbatimChar"/>
        </w:rPr>
        <w:t xml:space="preserve">  counter_bingray.sv</w:t>
      </w:r>
      <w:r>
        <w:rPr/>
        <w:br/>
      </w:r>
      <w:r>
        <w:rPr>
          <w:rStyle w:val="VerbatimChar"/>
        </w:rPr>
        <w:t xml:space="preserve">  clock_divider.sv</w:t>
      </w:r>
      <w:r>
        <w:rPr/>
        <w:br/>
      </w:r>
      <w:r>
        <w:rPr>
          <w:rStyle w:val="VerbatimChar"/>
        </w:rPr>
        <w:t xml:space="preserve">  fifo_control.sv</w:t>
      </w:r>
      <w:r>
        <w:rPr/>
        <w:br/>
      </w:r>
      <w:r>
        <w:rPr>
          <w:rStyle w:val="VerbatimChar"/>
        </w:rPr>
        <w:t xml:space="preserve">  gaxi_fifo_sync.sv</w:t>
      </w:r>
      <w:r>
        <w:rPr/>
        <w:br/>
      </w:r>
      <w:r>
        <w:rPr>
          <w:rStyle w:val="VerbatimChar"/>
        </w:rPr>
        <w:t xml:space="preserve">  math_adder_half.sv</w:t>
      </w:r>
      <w:r>
        <w:rPr/>
        <w:br/>
      </w:r>
      <w:r>
        <w:rPr>
          <w:rStyle w:val="VerbatimChar"/>
        </w:rPr>
        <w:t xml:space="preserve">  math_adder_full.sv</w:t>
      </w:r>
      <w:r>
        <w:rPr/>
        <w:br/>
      </w:r>
      <w:r>
        <w:rPr>
          <w:rStyle w:val="VerbatimChar"/>
        </w:rPr>
        <w:t xml:space="preserve">  math_adder_carry_save.sv</w:t>
      </w:r>
      <w:r>
        <w:rPr/>
        <w:br/>
      </w:r>
      <w:r>
        <w:rPr>
          <w:rStyle w:val="VerbatimChar"/>
        </w:rPr>
        <w:t xml:space="preserve">  math_compressor_4to2.sv</w:t>
      </w:r>
      <w:r>
        <w:rPr/>
        <w:br/>
      </w:r>
      <w:r>
        <w:rPr>
          <w:rStyle w:val="VerbatimChar"/>
        </w:rPr>
        <w:t xml:space="preserve">  math_multiplier_dadda_tree_*.sv</w:t>
      </w:r>
      <w:r>
        <w:rPr/>
        <w:br/>
      </w:r>
      <w:r>
        <w:rPr>
          <w:rStyle w:val="VerbatimChar"/>
        </w:rPr>
        <w:t xml:space="preserve">  math_multiplier_wallace_tree_*.sv</w:t>
      </w:r>
      <w:r>
        <w:rPr/>
        <w:br/>
      </w:r>
      <w:r>
        <w:rPr>
          <w:rStyle w:val="VerbatimChar"/>
        </w:rPr>
        <w:t xml:space="preserve">  math_multiplier_wallace_tree_csa_*.sv</w:t>
      </w:r>
      <w:r>
        <w:rPr/>
        <w:br/>
      </w:r>
      <w:r>
        <w:rPr>
          <w:rStyle w:val="VerbatimChar"/>
        </w:rPr>
        <w:t xml:space="preserve">  math_multiplier_dadda_4to2_*.sv</w:t>
      </w:r>
      <w:r>
        <w:rPr/>
        <w:br/>
      </w:r>
      <w:r>
        <w:rPr>
          <w:rStyle w:val="VerbatimChar"/>
        </w:rPr>
        <w:t xml:space="preserve">  math_adder_han_carlson_*.sv</w:t>
      </w:r>
      <w:r>
        <w:rPr/>
        <w:br/>
      </w:r>
      <w:r>
        <w:rPr>
          <w:rStyle w:val="VerbatimChar"/>
        </w:rPr>
        <w:t xml:space="preserve">  math_prefix_cell.sv</w:t>
      </w:r>
      <w:r>
        <w:rPr/>
        <w:br/>
      </w:r>
      <w:r>
        <w:rPr>
          <w:rStyle w:val="VerbatimChar"/>
        </w:rPr>
        <w:t xml:space="preserve">  math_prefix_cell_gray.sv</w:t>
      </w:r>
      <w:r>
        <w:rPr/>
        <w:br/>
        <w:br/>
      </w:r>
      <w:r>
        <w:rPr>
          <w:rStyle w:val="VerbatimChar"/>
        </w:rPr>
        <w:t>rtl/filelists/            &lt;-- Filelist for synthesis and simulation</w:t>
      </w:r>
      <w:r>
        <w:rPr/>
        <w:br/>
      </w:r>
      <w:r>
        <w:rPr>
          <w:rStyle w:val="VerbatimChar"/>
        </w:rPr>
        <w:t xml:space="preserve">  char_top.f</w:t>
      </w:r>
    </w:p>
    <w:p>
      <w:pPr>
        <w:pStyle w:val="Normal"/>
        <w:rPr/>
      </w:pPr>
      <w:bookmarkStart w:id="79" w:name="file-organization"/>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
    </w:p>
    <w:p>
      <w:pPr>
        <w:pStyle w:val="Heading2"/>
        <w:pBdr>
          <w:bottom w:val="single" w:sz="12" w:space="0" w:color="228B22"/>
        </w:pBdr>
        <w:spacing w:before="280" w:after="80"/>
        <w:rPr/>
      </w:pPr>
      <w:bookmarkStart w:id="80" w:name="__RefHeading___Toc3113_3737963300"/>
      <w:bookmarkStart w:id="81" w:name="quick-reference-recommended-first-runs"/>
      <w:bookmarkEnd w:id="80"/>
      <w:r>
        <w:rPr>
          <w:b/>
          <w:color w:val="228B22"/>
          <w:sz w:val="28"/>
        </w:rPr>
        <w:t>9. Quick Reference – Recommended First Runs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31"/>
        <w:gridCol w:w="3202"/>
        <w:gridCol w:w="3449"/>
        <w:gridCol w:w="1477"/>
      </w:tblGrid>
      <w:tr>
        <w:trPr>
          <w:tblHeader w:val="true"/>
        </w:trPr>
        <w:tc>
          <w:tcPr>
            <w:tcW w:w="12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Run</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Enable flags</w:t>
            </w:r>
          </w:p>
        </w:tc>
        <w:tc>
          <w:tcPr>
            <w:tcW w:w="34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parameter</w:t>
            </w:r>
          </w:p>
        </w:tc>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Goal</w:t>
            </w:r>
          </w:p>
        </w:tc>
      </w:tr>
      <w:tr>
        <w:trPr/>
        <w:tc>
          <w:tcPr>
            <w:tcW w:w="1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 sweep</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EN_CARRY_CHAIN=1</w:t>
            </w:r>
            <w:r>
              <w:rPr>
                <w:rFonts w:eastAsia="Cambria" w:cs=""/>
                <w:kern w:val="0"/>
                <w:sz w:val="24"/>
                <w:szCs w:val="24"/>
                <w:lang w:val="en-US" w:eastAsia="en-US" w:bidi="ar-SA"/>
              </w:rPr>
              <w:t>, all others 0</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CARRY_WIDTH=8,16,32,64,128,256</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Map carry-chain speed vs. width</w:t>
            </w:r>
          </w:p>
        </w:tc>
      </w:tr>
      <w:tr>
        <w:trPr/>
        <w:tc>
          <w:tcPr>
            <w:tcW w:w="1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depth</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EN_NAND_TREE=1</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NAND_LEVELS=4,6,8,10,12</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Per-gate delay baseline</w:t>
            </w:r>
          </w:p>
        </w:tc>
      </w:tr>
      <w:tr>
        <w:trPr/>
        <w:tc>
          <w:tcPr>
            <w:tcW w:w="1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 vs. LUT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EN_MULTIPLIER=1</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MULT_TYPE=0</w:t>
            </w:r>
            <w:r>
              <w:rPr>
                <w:rFonts w:eastAsia="Cambria" w:cs=""/>
                <w:kern w:val="0"/>
                <w:sz w:val="24"/>
                <w:szCs w:val="24"/>
                <w:lang w:val="en-US" w:eastAsia="en-US" w:bidi="ar-SA"/>
              </w:rPr>
              <w:t xml:space="preserve"> then </w:t>
            </w:r>
            <w:r>
              <w:rPr>
                <w:rStyle w:val="VerbatimChar"/>
                <w:rFonts w:eastAsia="Cambria" w:cs=""/>
                <w:kern w:val="0"/>
                <w:szCs w:val="24"/>
                <w:lang w:val="en-US" w:eastAsia="en-US" w:bidi="ar-SA"/>
              </w:rPr>
              <w:t>MULT_TYPE=1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WIDTH=16</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Quantify DSP advantage</w:t>
            </w:r>
          </w:p>
        </w:tc>
      </w:tr>
      <w:tr>
        <w:trPr/>
        <w:tc>
          <w:tcPr>
            <w:tcW w:w="1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inference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EN_QUEUE_DEPTH=1</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FIFO_DEPTH=4,16,64,256,1024,4096</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Find LUTRAM/BRAM boundary</w:t>
            </w:r>
          </w:p>
        </w:tc>
      </w:tr>
      <w:tr>
        <w:trPr/>
        <w:tc>
          <w:tcPr>
            <w:tcW w:w="1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comparison</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enabled</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Cross-FUB comparison at one point</w:t>
            </w:r>
          </w:p>
        </w:tc>
      </w:tr>
    </w:tbl>
    <w:p>
      <w:pPr>
        <w:pStyle w:val="Normal"/>
        <w:rPr/>
      </w:pPr>
      <w:r>
        <w:rPr/>
        <mc:AlternateContent>
          <mc:Choice Requires="wps">
            <w:drawing>
              <wp:inline distT="0" distB="0" distL="0" distR="0">
                <wp:extent cx="635"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2026-03-18 </w:t>
      </w:r>
      <w:r>
        <w:rPr>
          <w:b/>
          <w:bCs/>
          <w:sz w:val="20"/>
        </w:rPr>
        <w:t>Maintained By:</w:t>
      </w:r>
      <w:r>
        <w:rPr>
          <w:sz w:val="20"/>
        </w:rPr>
        <w:t xml:space="preserve"> RTL Design Sherpa Project</w:t>
      </w:r>
      <w:bookmarkEnd w:id="1"/>
      <w:bookmarkEnd w:id="81"/>
    </w:p>
    <w:sectPr>
      <w:footerReference w:type="even" r:id="rId2"/>
      <w:footerReference w:type="default" r:id="rId3"/>
      <w:footerReference w:type="first" r:id="rId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Timing Characterization -- Synthesis Guide Per-FUB recipes, the multi-flow SDC, and how to read the results</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Timing Characterization -- Synthesis Guide Per-FUB recipes, the multi-flow SDC, and how to read the results</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1"/>
  </w:num>
  <w:num w:numId="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2026-09-30T01:28:47Z</dcterms:created>
  <dc:creator/>
  <dc:description/>
  <dc:language>en-US</dc:language>
  <cp:lastModifiedBy/>
  <dcterms:modified xsi:type="dcterms:W3CDTF">2026-09-29T18:28:51Z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