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29D6" w14:textId="77777777" w:rsidR="00852A2A" w:rsidRDefault="00852A2A" w:rsidP="00852A2A">
      <w:pPr>
        <w:pStyle w:val="Heading1"/>
      </w:pPr>
      <w:r>
        <w:t>1. Description of Studies Estimating the Cost-effectiveness of Interventions</w:t>
      </w:r>
    </w:p>
    <w:p w14:paraId="7BECB7A0" w14:textId="77777777" w:rsidR="00852A2A" w:rsidRPr="005765FE" w:rsidRDefault="00852A2A" w:rsidP="00852A2A">
      <w:pPr>
        <w:pStyle w:val="Heading3"/>
      </w:pPr>
      <w:r>
        <w:t>Randomised Controlled Trials</w:t>
      </w:r>
    </w:p>
    <w:p w14:paraId="434D80DE" w14:textId="77777777" w:rsidR="00852A2A" w:rsidRDefault="00852A2A" w:rsidP="00852A2A">
      <w:r>
        <w:t xml:space="preserve">In randomised controlled trials (RCTs) of BMI interventions, participants are randomised to either receive the intervention or some comparator, and followed-up to determine both the healthcare costs and QALYs over time, </w:t>
      </w:r>
      <w:r>
        <w:rPr>
          <w:b/>
          <w:bCs/>
        </w:rPr>
        <w:t>Fig 1, panel a</w:t>
      </w:r>
      <w:r>
        <w:t xml:space="preserve">. This ensures exchangeability of the intervention and control groups (in well-conducted trials), and complete data can in principle be measured. The main strength of RCTs is that, when well conducted, the results give causal estimates of the effect of the intervention on the studied outcomes. However, RCTs are expensive, follow-up times are often limited in duration, randomisation of large numbers of individuals may be difficult, expensive, and may not be generalisable to the population of interest, and there may be bias if adherence is low or there is missing follow-up. </w:t>
      </w:r>
    </w:p>
    <w:p w14:paraId="0F559559" w14:textId="56306965" w:rsidR="00852A2A" w:rsidRDefault="00852A2A" w:rsidP="00852A2A">
      <w:r>
        <w:t xml:space="preserve">A 2009 systematic review combined data from 23 RCTs for bariatric surgery, although an economic evaluation was not necessarily performed in each RCT </w:t>
      </w:r>
      <w:r>
        <w:fldChar w:fldCharType="begin" w:fldLock="1"/>
      </w:r>
      <w:r w:rsidR="00DE110C">
        <w:instrText>ADDIN CSL_CITATION { "citationItems" : [ { "id" : "ITEM-1", "itemData" : { "DOI" : "10.3310/hta13410", "ISSN" : "13665278", "PMID" : "19726018", "abstract" : "Objectives: To assess the clinical effectiveness and cost-effectiveness of bariatric surgery for obesity. Data sources: Seventeen electronic databases were searched [MEDLINE; EMBASE; PreMedline In-Process &amp; Other Non-Indexed Citations; The Cochrane Library including the Cochrane Systematic Reviews Database, Cochrane Controlled Trials Register, DARE, NHS EED and HTA databases; Web of Knowledge Science Citation Index (SCI); Web of Knowledge ISI Proceedings; PsycInfo; CRD databases; BIOSIS; and databases listing ongoing clinical trials] from inception to August 2008. Bibliographies of related papers were assessed and experts were contacted to identify additional published and unpublished references Review methods: Two reviewers independently screened titles and abstracts for eligibility. Inclusion criteria were applied to the full text using a standard form. Interventions investigated were open and laparoscopic bariatric surgical procedures in widespread current use compared with one another and with non-surgical interventions. Population comprised adult patients with body mass index (BMI) \u2265 30 and young obese people. Main outcomes were at least one of the following after at least 12 months follow-up: measures of weight change; quality of life (QoL); perioperative and postoperative mortality and morbidity; change in obesity-related comorbidities; cost-effectiveness. Studies eligible for inclusion in the systematic review for comparisons of Surgery versus Surgery were RCTs. For comparisons of Surgery versus Non-surgical procedures eligible studies were RCTs, controlled clinical trials and prospective cohort studies (with a control cohort). Studies eligible for inclusion in the systematic review of cost-effectiveness were full cost-effectiveness analyses, cost-utility analyses, cost-benefit analyses and cost-consequence analyses. One reviewer performed data extraction, which was checked by two reviewers independently. Two reviewers independently applied quality assessment criteria and differences in opinion were resolved at each stage. Studies were synthesised through a narrative review with full tabulation of the results of all included studies. In the economic model the analysis was developed for three patient populations, those with BMI \u2265 40; BMI \u2265 30 and &lt; 40 with Type 2 diabetes at baseline; and BMI \u2265 30 and &lt;35. Models were applied with assumptions on costs and comorbidity. Results: A total of 5386 references were identified of which 26 were included i\u2026", "author" : [ { "dropping-particle" : "", "family" : "Picot", "given" : "J.", "non-dropping-particle" : "", "parse-names" : false, "suffix" : "" }, { "dropping-particle" : "", "family" : "Jones", "given" : "J.", "non-dropping-particle" : "", "parse-names" : false, "suffix" : "" }, { "dropping-particle" : "", "family" : "Colquitt", "given" : "J. L.", "non-dropping-particle" : "", "parse-names" : false, "suffix" : "" }, { "dropping-particle" : "", "family" : "Gospodarevskaya", "given" : "E.", "non-dropping-particle" : "", "parse-names" : false, "suffix" : "" }, { "dropping-particle" : "", "family" : "Loveman", "given" : "E.", "non-dropping-particle" : "", "parse-names" : false, "suffix" : "" }, { "dropping-particle" : "", "family" : "Baxter", "given" : "L.", "non-dropping-particle" : "", "parse-names" : false, "suffix" : "" }, { "dropping-particle" : "", "family" : "Clegg", "given" : "A. J.", "non-dropping-particle" : "", "parse-names" : false, "suffix" : "" } ], "container-title" : "Health Technology Assessment", "id" : "ITEM-1", "issue" : "41", "issued" : { "date-parts" : [ [ "2009" ] ] }, "title" : "The clinical effectiveness and cost-effectiveness of bariatric (weight loss) surgery for obesity: A systematic review and economic evaluation", "type" : "article", "volume" : "13" }, "uris" : [ "http://www.mendeley.com/documents/?uuid=fef0ca62-6892-433f-bc9e-4be31b36fa25" ] } ], "mendeley" : { "formattedCitation" : "[1]", "plainTextFormattedCitation" : "[1]", "previouslyFormattedCitation" : "[1]" }, "properties" : { "noteIndex" : 0 }, "schema" : "https://github.com/citation-style-language/schema/raw/master/csl-citation.json" }</w:instrText>
      </w:r>
      <w:r>
        <w:fldChar w:fldCharType="separate"/>
      </w:r>
      <w:r w:rsidRPr="008C76DF">
        <w:rPr>
          <w:noProof/>
        </w:rPr>
        <w:t>[1]</w:t>
      </w:r>
      <w:r>
        <w:fldChar w:fldCharType="end"/>
      </w:r>
      <w:r>
        <w:t xml:space="preserve">. Of these RCTs, the median number of participants was 60 (interquartile range [IQR] 50 to 90, range 30 to 155), and the median follow-up time was 24 months (IQR 12 to 36 months, range 12 to 84 months). Only 3 RCTs had a follow-up time of at least 5 years, with 257 participants in total </w:t>
      </w:r>
      <w:r>
        <w:fldChar w:fldCharType="begin" w:fldLock="1"/>
      </w:r>
      <w:r w:rsidR="00DE110C">
        <w:instrText>ADDIN CSL_CITATION { "citationItems" : [ { "id" : "ITEM-1", "itemData" : { "DOI" : "10.1381/096089295765557917", "ISSN" : "17080428", "abstract" : "Background: A prospective, randomized trial comparing vertical banded gastroplasty (VBG) and gastric bypass (GB) was performed on 106 patients between 1987 and 1990. Methods and Results: Failures of these two operations (manifested by failure to lose weight, late weight gain or intolerance of adequate oral intake) were treated by means of a third operation, isolated gastric bypass (IGB), in which the small gastric pouch was isolated from the gastric fundus. The latter operation was significantly better than VBG or GB and achieved a 63% success rate, i.e. body mass index (BMI) &lt; 35 kg m\u22122 and less than 50% excess weight. During the year following this trial an additional 54 patients underwent IGB. When this operation was performed for morbid obesity and was the initial procedure, 96% of the patients achieved a successful result. If IGB was performed as a revision procedure or for super obesity (BMI &gt; 50 kg m\u22122), the success rate was 63% with 100% follow-up at 40 months. Major morbidity occurred in six of the 160 patients who underwent 195 operations (the trial period and subsequent year). There were no deaths and follow-up was 98%. Conclusions: The ideal gastric operation based on this study emphasizes the following requirements: a small pouch (&lt; 15ml) totally separated from the stomach, a pouch not dependent on staples, placed in the dependent position to prevent stasis, constructed without foreign material and with an anastomosis which permits ingestion of solid food. \u00a9 1995, Springer. All rights reserved.", "author" : [ { "dropping-particle" : "", "family" : "MacLean", "given" : "L. D.", "non-dropping-particle" : "", "parse-names" : false, "suffix" : "" }, { "dropping-particle" : "", "family" : "Rhode", "given" : "B. M.", "non-dropping-particle" : "", "parse-names" : false, "suffix" : "" }, { "dropping-particle" : "", "family" : "Forse", "given" : "R. A.", "non-dropping-particle" : "", "parse-names" : false, "suffix" : "" }, { "dropping-particle" : "", "family" : "Nohr", "given" : "C.", "non-dropping-particle" : "", "parse-names" : false, "suffix" : "" } ], "container-title" : "Obesity Surgery: Including Laparoscopy and Allied Care", "id" : "ITEM-1", "issue" : "2", "issued" : { "date-parts" : [ [ "1995" ] ] }, "page" : "145-150", "title" : "Surgery for Obesity - An Update of a Randomized Trial", "type" : "article-journal", "volume" : "5" }, "uris" : [ "http://www.mendeley.com/documents/?uuid=9c016959-c1c9-4084-96ba-264ab283fc4e" ] }, { "id" : "ITEM-2", "itemData" : { "DOI" : "10.1016/j.soard.2006.12.005", "ISSN" : "15507289", "abstract" : "Background: To perform a prospective, randomized comparison of laparoscopic adjustable gastric banding (LAGB) and laparoscopic Roux-en-Y gastric bypass (LRYGB). Methods: LAGB, using the pars flaccida technique, and standard LRYGB were performed. From January 2000 to November 2000, 51 patients (mean age 34.0 \u00b1 8.9 years, range 20-49) were randomly allocated to undergo either LAGB (n = 27, 5 men and 22 women, mean age 33.3 years, mean weight 120 kg, mean body mass index [BMI] 43.4 kg/m2; percentage of excess weight loss 83.8%) or LRYGB (n = 24, 4 men and 20 women, mean age 34.7, mean weight 120 kg, mean BMI 43.8 kg/m2, percentage of excess weight loss 83.3). Data on the operative time, complications, reoperations with hospital stay, weight, BMI, percentage of excess weight loss, and co-morbidities were collected yearly. Failure was considered a BMI of &gt;35 at 5 years postoperatively. The data were analyzed using Student's t test and Fisher's exact test, with P &lt;.05 considered significant. Results: The mean operative time was 60 \u00b1 20 minutes for the LAGB group and 220 \u00b1 100 minutes for the LRYGB group (P &lt;.001). One patient in the LAGB group was lost to follow-up. No patient died. Conversion to laparotomy was performed in 1 (4.2%) of 24 LRYGB patients because of a posterior leak of the gastrojejunal anastomosis. Reoperations were required in 4 (15.2%) of 26 LAGB patients, 2 because of gastric pouch dilation and 2 because of unsatisfactory weight loss. One of these patients required conversion to biliopancreatic diversion; the remaining 3 patients were on the waiting list for LRYGB. Reoperations were required in 3 (12.5%) of the 24 LRYGB patients, and each was because of a potentially lethal complication. No LAGB patient required reoperation because of an early complication. Of the 27 LAGB patients, 3 had hypertension and 1 had sleep apnea. Of the 24 LRYGB patients, 2 had hyperlipemia, 1 had hypertension, and 1 had type 2 diabetes. Five years after surgery, the diabetes, sleep apnea, and hyperlipemia had resolved. At the 5-year (range 60-66 months) follow-up visit, the LRYGB patients had significantly lower weight and BMI and a greater percentage of excess weight loss than did the LAGB patients. Weight loss failure (BMI &gt;35 kg/m2 at 5 yr) was observed in 9 (34.6%) of 26 LAGB patients and in 1 (4.2%) of 24 LRYGB patients (P &lt;.001). Of the 26 patients in the LAGB group and 24 in the LRYGB group, 3 (11.5%) and 15 (62.5%) had a BMI of &lt;30 kg/m2, respectively (P \u2026", "author" : [ { "dropping-particle" : "", "family" : "Angrisani", "given" : "Luigi", "non-dropping-particle" : "", "parse-names" : false, "suffix" : "" }, { "dropping-particle" : "", "family" : "Lorenzo", "given" : "Michele", "non-dropping-particle" : "", "parse-names" : false, "suffix" : "" }, { "dropping-particle" : "", "family" : "Borrelli", "given" : "Vincenzo", "non-dropping-particle" : "", "parse-names" : false, "suffix" : "" } ], "container-title" : "Surgery for Obesity and Related Diseases", "id" : "ITEM-2", "issue" : "2", "issued" : { "date-parts" : [ [ "2007" ] ] }, "page" : "127-132", "title" : "Laparoscopic adjustable gastric banding versus Roux-en-Y gastric bypass: 5-year results of a prospective randomized trial", "type" : "article-journal", "volume" : "3" }, "uris" : [ "http://www.mendeley.com/documents/?uuid=5f04d151-b5db-4271-8372-0b545f30c8a0" ] }, { "id" : "ITEM-3", "itemData" : { "DOI" : "10.1007/s11695-010-0211-2", "ISSN" : "09608923", "abstract" : "Laparoscopic adjustable gastric banding (LAGB) and vertical-banded gastroplasty (VBG) are surgical treatment modalities for morbid obesity. This prospective study describes the long-term results of LAGB and VBG. One hundred patients were included in the study. Fifty patients underwent LAGB and 50 patients, open VBG. Study parameters were weight loss, changes in obesity-related comorbidities, long-term complications, re-operations including conversions to other bariatric procedures and laboratory parameters including vitamin status. From 91 patients (91%), data were obtained with a mean follow-up duration of 84 months (7 years). Weight loss [percent excess weight loss (EWL)] was significantly more after VBG compared with LAGB, 66% versus 54%, respectively. All comorbidities significantly decreased in both groups. Long-term complications after VBG were mainly staple line disruption (54%) and incisional hernia (27%). After LAGB, the most frequent complications were pouch dilatation (21%) and anterior slippage (17%). Major re-operations after VBG were performed in 60% of patients. All re-operations following were conversions to Roux-en-Y gastric bypass (RYGB). In the LAGB group, 33% of patients had a refixation or replacement of the band, and 11% underwent conversion to another bariatric procedure. There were no significant differences in weight loss between patients with or without re-interventions. No vitamin deficiencies were present after 7 years, although supplement usage was inconsistent. This long-term follow-up study confirms the high occurrence of late complications after restrictive bariatric surgery. The failure rate of 65% after VBG is too high, and this procedure is not performed anymore in our institution. The re-operation rate after LAGB is decreasing as a result of new techniques and materials. Results of the re-operations are good with sustained weight loss and reduction in comorbidities. However, in order to achieve these results, a durable and complete follow-up after restrictive procedures is imperative. \u00a9 2010 The Author(s).", "author" : [ { "dropping-particle" : "", "family" : "Schouten", "given" : "Ruben", "non-dropping-particle" : "", "parse-names" : false, "suffix" : "" }, { "dropping-particle" : "", "family" : "Wiryasaputra", "given" : "Dorothee C.", "non-dropping-particle" : "", "parse-names" : false, "suffix" : "" }, { "dropping-particle" : "", "family" : "Dielen", "given" : "Francois M.H.", "non-dropping-particle" : "Van", "parse-names" : false, "suffix" : "" }, { "dropping-particle" : "", "family" : "Gemert", "given" : "Wim G.", "non-dropping-particle" : "Van", "parse-names" : false, "suffix" : "" }, { "dropping-particle" : "", "family" : "Greve", "given" : "Jan Willem M.", "non-dropping-particle" : "", "parse-names" : false, "suffix" : "" } ], "container-title" : "Obesity Surgery", "id" : "ITEM-3", "issue" : "12", "issued" : { "date-parts" : [ [ "2010" ] ] }, "page" : "1617-1626", "title" : "Long-term results of bariatric restrictive procedures: A prospective study", "type" : "article-journal", "volume" : "20" }, "uris" : [ "http://www.mendeley.com/documents/?uuid=d21d8383-4663-4d46-8a53-505dcf2d48a3" ] } ], "mendeley" : { "formattedCitation" : "[2\u20134]", "plainTextFormattedCitation" : "[2\u20134]", "previouslyFormattedCitation" : "[2\u20134]" }, "properties" : { "noteIndex" : 0 }, "schema" : "https://github.com/citation-style-language/schema/raw/master/csl-citation.json" }</w:instrText>
      </w:r>
      <w:r>
        <w:fldChar w:fldCharType="separate"/>
      </w:r>
      <w:r w:rsidRPr="008C76DF">
        <w:rPr>
          <w:noProof/>
        </w:rPr>
        <w:t>[2–4]</w:t>
      </w:r>
      <w:r>
        <w:fldChar w:fldCharType="end"/>
      </w:r>
      <w:r>
        <w:t xml:space="preserve">. One of these RCTs completed 10 years of follow-up, with 43 remaining participants </w:t>
      </w:r>
      <w:r>
        <w:fldChar w:fldCharType="begin" w:fldLock="1"/>
      </w:r>
      <w:r w:rsidR="00DE110C">
        <w:instrText>ADDIN CSL_CITATION { "citationItems" : [ { "id" : "ITEM-1", "itemData" : { "DOI" : "10.1016/j.soard.2012.11.011", "ISSN" : "15507289", "abstract" : "Background: There are few studies of long-term outcomes for either laparoscopic adjustable gastric banding (LAGB) or laparoscopic Roux-en-Y gastric bypass (LRYGB). The objective of this study was to compare outcomes of patients randomly assigned to undergo LAGB or LRYGB at 10 years. Methods: LAGB, using the pars flaccida technique, and standard LRYGB were performed. From January 2000 to November 2000, 51 patients (mean age 34.0 \u00b1 8.9 years; range 20-49) were randomly allocated to undergo either LAGB (n = 27, 5 men and 22 women; mean age 33.3 years; mean weight 120 kg; mean body mass index [BMI] 43.4 kg/m2) or LRYGB (n = 24, 4 men and 20 women; mean age 34.7; mean weight 120 kg; mean BMI 43.8 kg/m2). Data on complications, reoperations, weight, BMI, percentage of excess weight loss, and co-morbidities were collected yearly. The data were analyzed using Student's t test and Fisher's exact test, with P&lt;.05 considered significant. Results: Five patients in the LAGB group and 3 patients in the LRYGB group were lost to follow-up. No patient died. Conversion to laparotomy was performed in 1 (4.2%) of 24 LRYGB patients. Reoperations were required in 9 (40.9%) of 22 LAGB patients and in 6 (28.6%) of the 21 LRYGB patients. At 10-year follow-up, the LRYGB patients had a greater percentage of mean excess weight loss than did the LAGB patients (69\u00b129% versus 46\u00b127%; P =.03). Conclusion: LRYGB was superior to LAGB in term of excess weight loss results (76.2% versus 46.2%) at 10 years. However, LRYGB exposes patients to higher early complication rates than LAGB (8.3% versus 0%) and potentially lethal long-term surgical complications (internal hernia and bowel obstruction rate: 4.7%). \u00a9 2013 American Society for Metabolic and Bariatric Surgery. All rights reserved.", "author" : [ { "dropping-particle" : "", "family" : "Angrisani", "given" : "Luigi", "non-dropping-particle" : "", "parse-names" : false, "suffix" : "" }, { "dropping-particle" : "", "family" : "Cutolo", "given" : "Pier Paolo", "non-dropping-particle" : "", "parse-names" : false, "suffix" : "" }, { "dropping-particle" : "", "family" : "Formisano", "given" : "Giampaolo", "non-dropping-particle" : "", "parse-names" : false, "suffix" : "" }, { "dropping-particle" : "", "family" : "Nosso", "given" : "Gabriella", "non-dropping-particle" : "", "parse-names" : false, "suffix" : "" }, { "dropping-particle" : "", "family" : "Vitolo", "given" : "Giuliana", "non-dropping-particle" : "", "parse-names" : false, "suffix" : "" } ], "container-title" : "Surgery for Obesity and Related Diseases", "id" : "ITEM-1", "issue" : "3", "issued" : { "date-parts" : [ [ "2013" ] ] }, "page" : "405-413", "title" : "Laparoscopic adjustable gastric banding versus Roux-en-Y gastric bypass: 10-year results of a prospective, randomized trial", "type" : "article-journal", "volume" : "9" }, "uris" : [ "http://www.mendeley.com/documents/?uuid=1a6c8db8-93c3-4ce6-b108-09962ddcc31b" ] } ], "mendeley" : { "formattedCitation" : "[5]", "plainTextFormattedCitation" : "[5]", "previouslyFormattedCitation" : "[5]" }, "properties" : { "noteIndex" : 0 }, "schema" : "https://github.com/citation-style-language/schema/raw/master/csl-citation.json" }</w:instrText>
      </w:r>
      <w:r>
        <w:fldChar w:fldCharType="separate"/>
      </w:r>
      <w:r w:rsidRPr="008C76DF">
        <w:rPr>
          <w:noProof/>
        </w:rPr>
        <w:t>[5]</w:t>
      </w:r>
      <w:r>
        <w:fldChar w:fldCharType="end"/>
      </w:r>
      <w:r>
        <w:t>.</w:t>
      </w:r>
    </w:p>
    <w:p w14:paraId="614F42DC" w14:textId="77777777" w:rsidR="00852A2A" w:rsidRDefault="00852A2A" w:rsidP="00852A2A">
      <w:pPr>
        <w:pStyle w:val="Heading3"/>
      </w:pPr>
      <w:r>
        <w:t>Cohort Studies</w:t>
      </w:r>
    </w:p>
    <w:p w14:paraId="38C4CF5C" w14:textId="77777777" w:rsidR="00852A2A" w:rsidRDefault="00852A2A" w:rsidP="00852A2A">
      <w:r>
        <w:t xml:space="preserve">In cohort studies of BMI interventions, a group of people who underwent an intervention to reduce body mass index (BMI) are compared against a group of people who did not receive the intervention, in terms of both QALYs and healthcare costs, </w:t>
      </w:r>
      <w:r>
        <w:rPr>
          <w:b/>
          <w:bCs/>
        </w:rPr>
        <w:t>Fig 1, panel b</w:t>
      </w:r>
      <w:r>
        <w:t xml:space="preserve">. The non-intervention group is typically selected to be as </w:t>
      </w:r>
      <w:proofErr w:type="gramStart"/>
      <w:r>
        <w:t>similar to</w:t>
      </w:r>
      <w:proofErr w:type="gramEnd"/>
      <w:r>
        <w:t xml:space="preserve"> the intervention group as possible, with the intended sole difference being in whether they received the intervention. The follow-up time is determined by the data. </w:t>
      </w:r>
    </w:p>
    <w:p w14:paraId="7153C34D" w14:textId="77777777" w:rsidR="00852A2A" w:rsidRDefault="00852A2A" w:rsidP="00852A2A">
      <w:r>
        <w:t>The main strength of cohort studies is that many healthcare costs can potentially be captured, for example using large routinely collected datasets. The main limitation is that the group that did not receive the intervention is unlikely to be exchangeable with the group that did, meaning there is a risk of bias from confounding and reverse causation. The follow-up time could also be limited depending on the data available and the novelty of the intervention.</w:t>
      </w:r>
    </w:p>
    <w:p w14:paraId="35785ABB" w14:textId="77777777" w:rsidR="00852A2A" w:rsidRDefault="00852A2A" w:rsidP="00852A2A">
      <w:pPr>
        <w:pStyle w:val="Heading3"/>
      </w:pPr>
      <w:r>
        <w:t>Decision Analytic and Simulation Models</w:t>
      </w:r>
    </w:p>
    <w:p w14:paraId="653D9837" w14:textId="77777777" w:rsidR="00852A2A" w:rsidRPr="00375940" w:rsidRDefault="00852A2A" w:rsidP="00852A2A">
      <w:r w:rsidRPr="00375940">
        <w:t>Decision analytic models are used to inform systematic decision-making under uncertainty. This generally involves modelling quantitative relationships between variables to define possible consequences associated with an intervention that would flow from the alternative options under evaluation to compare costs and outcomes take a variety of forms. Here, we assume that this modelling will generally involving some degree of simulation to model the uncertainty associated with the evaluation of different options or interventions, although this assumption does not necessarily alter the arguments we make below.</w:t>
      </w:r>
    </w:p>
    <w:p w14:paraId="07055F7C" w14:textId="77777777" w:rsidR="00852A2A" w:rsidRDefault="00852A2A" w:rsidP="00852A2A">
      <w:r>
        <w:t xml:space="preserve">In decision analytic simulation models, a hypothetical target population is simulated over time. As time progresses, each simulated individual can move between several states, typically including different categories of BMI, several health conditions (usually type 2 diabetes, stroke, </w:t>
      </w:r>
      <w:proofErr w:type="gramStart"/>
      <w:r>
        <w:t>cancer</w:t>
      </w:r>
      <w:proofErr w:type="gramEnd"/>
      <w:r>
        <w:t xml:space="preserve"> and cardiovascular diseases), as well as death, </w:t>
      </w:r>
      <w:r>
        <w:rPr>
          <w:b/>
          <w:bCs/>
        </w:rPr>
        <w:t>Fig 1, panel c</w:t>
      </w:r>
      <w:r>
        <w:t xml:space="preserve">. </w:t>
      </w:r>
    </w:p>
    <w:p w14:paraId="742CC1EE" w14:textId="77777777" w:rsidR="00852A2A" w:rsidRDefault="00852A2A" w:rsidP="00852A2A">
      <w:r>
        <w:t xml:space="preserve">Some simulated individuals receive an intervention for obesity, which alters their risk of moving between the states accordingly, and generally adds risks for post-intervention complications. The risk for any individual moving between states is set at plausible values, usually taken from previous observational studies or datasets. Each state has an associated quality of life and cost, from which the total QALYs and cost per simulated individual can be estimated. The total QALYs and healthcare costs </w:t>
      </w:r>
      <w:r>
        <w:lastRenderedPageBreak/>
        <w:t>are then compared between the simulated individuals who did and did not receive the treatment to estimate the cost-effectiveness of the intervention. Simulated participants can be followed-up until death. The simulation is often repeated many times to estimate confidence intervals around the estimates.</w:t>
      </w:r>
    </w:p>
    <w:p w14:paraId="7418B5E7" w14:textId="003057F5" w:rsidR="00852A2A" w:rsidRDefault="00852A2A" w:rsidP="00852A2A">
      <w:r>
        <w:t xml:space="preserve">The main strength of these types of decision analytic simulation studies is in the flexibility of the model to adapt to different populations over a timeframe that is not limited. The key limitations are that the simulations can only account for specified health conditions and therefore are affected by structural uncertainty, and so potentially underestimate the effect of obesity on both QALYs and healthcare costs. These models often rely on observational data to estimate the risk of moving between states </w:t>
      </w:r>
      <w:r w:rsidRPr="00CD73BB">
        <w:t>and the costs and QALYs associated with each state, and both sets of biases may be biased through confounding, measurement error and reverse causation</w:t>
      </w:r>
      <w:r>
        <w:t>. The simulations also assume that any benefit of the intervention would act entirely through BMI.</w:t>
      </w:r>
    </w:p>
    <w:p w14:paraId="59AAEFE6" w14:textId="0DC2369B" w:rsidR="00DE110C" w:rsidRDefault="00DE110C" w:rsidP="00852A2A"/>
    <w:p w14:paraId="6EB59752" w14:textId="709DD660" w:rsidR="00DE110C" w:rsidRDefault="00DE110C" w:rsidP="00DE110C">
      <w:pPr>
        <w:pStyle w:val="Heading2"/>
      </w:pPr>
      <w:r>
        <w:t>References</w:t>
      </w:r>
    </w:p>
    <w:p w14:paraId="1C71D963" w14:textId="4253EA09" w:rsidR="00DE110C" w:rsidRPr="00DE110C" w:rsidRDefault="00DE110C" w:rsidP="00DE110C">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E110C">
        <w:rPr>
          <w:rFonts w:ascii="Calibri" w:hAnsi="Calibri" w:cs="Calibri"/>
          <w:noProof/>
          <w:szCs w:val="24"/>
        </w:rPr>
        <w:t xml:space="preserve">1. </w:t>
      </w:r>
      <w:r w:rsidRPr="00DE110C">
        <w:rPr>
          <w:rFonts w:ascii="Calibri" w:hAnsi="Calibri" w:cs="Calibri"/>
          <w:noProof/>
          <w:szCs w:val="24"/>
        </w:rPr>
        <w:tab/>
        <w:t xml:space="preserve">Picot J, Jones J, Colquitt JL, Gospodarevskaya E, Loveman E, Baxter L, et al. The clinical effectiveness and cost-effectiveness of bariatric (weight loss) surgery for obesity: A systematic review and economic evaluation. Vol. 13, Health Technology Assessment. 2009. </w:t>
      </w:r>
    </w:p>
    <w:p w14:paraId="56AD6AF4" w14:textId="77777777" w:rsidR="00DE110C" w:rsidRPr="00DE110C" w:rsidRDefault="00DE110C" w:rsidP="00DE110C">
      <w:pPr>
        <w:widowControl w:val="0"/>
        <w:autoSpaceDE w:val="0"/>
        <w:autoSpaceDN w:val="0"/>
        <w:adjustRightInd w:val="0"/>
        <w:ind w:left="640" w:hanging="640"/>
        <w:rPr>
          <w:rFonts w:ascii="Calibri" w:hAnsi="Calibri" w:cs="Calibri"/>
          <w:noProof/>
          <w:szCs w:val="24"/>
        </w:rPr>
      </w:pPr>
      <w:r w:rsidRPr="00DE110C">
        <w:rPr>
          <w:rFonts w:ascii="Calibri" w:hAnsi="Calibri" w:cs="Calibri"/>
          <w:noProof/>
          <w:szCs w:val="24"/>
        </w:rPr>
        <w:t xml:space="preserve">2. </w:t>
      </w:r>
      <w:r w:rsidRPr="00DE110C">
        <w:rPr>
          <w:rFonts w:ascii="Calibri" w:hAnsi="Calibri" w:cs="Calibri"/>
          <w:noProof/>
          <w:szCs w:val="24"/>
        </w:rPr>
        <w:tab/>
        <w:t xml:space="preserve">MacLean LD, Rhode BM, Forse RA, Nohr C. Surgery for Obesity - An Update of a Randomized Trial. Obes Surg Incl Laparosc Allied Care. 1995;5(2):145–50. </w:t>
      </w:r>
    </w:p>
    <w:p w14:paraId="55ECF120" w14:textId="77777777" w:rsidR="00DE110C" w:rsidRPr="00DE110C" w:rsidRDefault="00DE110C" w:rsidP="00DE110C">
      <w:pPr>
        <w:widowControl w:val="0"/>
        <w:autoSpaceDE w:val="0"/>
        <w:autoSpaceDN w:val="0"/>
        <w:adjustRightInd w:val="0"/>
        <w:ind w:left="640" w:hanging="640"/>
        <w:rPr>
          <w:rFonts w:ascii="Calibri" w:hAnsi="Calibri" w:cs="Calibri"/>
          <w:noProof/>
          <w:szCs w:val="24"/>
        </w:rPr>
      </w:pPr>
      <w:r w:rsidRPr="00DE110C">
        <w:rPr>
          <w:rFonts w:ascii="Calibri" w:hAnsi="Calibri" w:cs="Calibri"/>
          <w:noProof/>
          <w:szCs w:val="24"/>
        </w:rPr>
        <w:t xml:space="preserve">3. </w:t>
      </w:r>
      <w:r w:rsidRPr="00DE110C">
        <w:rPr>
          <w:rFonts w:ascii="Calibri" w:hAnsi="Calibri" w:cs="Calibri"/>
          <w:noProof/>
          <w:szCs w:val="24"/>
        </w:rPr>
        <w:tab/>
        <w:t xml:space="preserve">Angrisani L, Lorenzo M, Borrelli V. Laparoscopic adjustable gastric banding versus Roux-en-Y gastric bypass: 5-year results of a prospective randomized trial. Surg Obes Relat Dis. 2007;3(2):127–32. </w:t>
      </w:r>
    </w:p>
    <w:p w14:paraId="7DEB3455" w14:textId="77777777" w:rsidR="00DE110C" w:rsidRPr="00DE110C" w:rsidRDefault="00DE110C" w:rsidP="00DE110C">
      <w:pPr>
        <w:widowControl w:val="0"/>
        <w:autoSpaceDE w:val="0"/>
        <w:autoSpaceDN w:val="0"/>
        <w:adjustRightInd w:val="0"/>
        <w:ind w:left="640" w:hanging="640"/>
        <w:rPr>
          <w:rFonts w:ascii="Calibri" w:hAnsi="Calibri" w:cs="Calibri"/>
          <w:noProof/>
          <w:szCs w:val="24"/>
        </w:rPr>
      </w:pPr>
      <w:r w:rsidRPr="00DE110C">
        <w:rPr>
          <w:rFonts w:ascii="Calibri" w:hAnsi="Calibri" w:cs="Calibri"/>
          <w:noProof/>
          <w:szCs w:val="24"/>
        </w:rPr>
        <w:t xml:space="preserve">4. </w:t>
      </w:r>
      <w:r w:rsidRPr="00DE110C">
        <w:rPr>
          <w:rFonts w:ascii="Calibri" w:hAnsi="Calibri" w:cs="Calibri"/>
          <w:noProof/>
          <w:szCs w:val="24"/>
        </w:rPr>
        <w:tab/>
        <w:t xml:space="preserve">Schouten R, Wiryasaputra DC, Van Dielen FMH, Van Gemert WG, Greve JWM. Long-term results of bariatric restrictive procedures: A prospective study. Obes Surg. 2010;20(12):1617–26. </w:t>
      </w:r>
    </w:p>
    <w:p w14:paraId="4343ADAB" w14:textId="77777777" w:rsidR="00DE110C" w:rsidRPr="00DE110C" w:rsidRDefault="00DE110C" w:rsidP="00DE110C">
      <w:pPr>
        <w:widowControl w:val="0"/>
        <w:autoSpaceDE w:val="0"/>
        <w:autoSpaceDN w:val="0"/>
        <w:adjustRightInd w:val="0"/>
        <w:ind w:left="640" w:hanging="640"/>
        <w:rPr>
          <w:rFonts w:ascii="Calibri" w:hAnsi="Calibri" w:cs="Calibri"/>
          <w:noProof/>
        </w:rPr>
      </w:pPr>
      <w:r w:rsidRPr="00DE110C">
        <w:rPr>
          <w:rFonts w:ascii="Calibri" w:hAnsi="Calibri" w:cs="Calibri"/>
          <w:noProof/>
          <w:szCs w:val="24"/>
        </w:rPr>
        <w:t xml:space="preserve">5. </w:t>
      </w:r>
      <w:r w:rsidRPr="00DE110C">
        <w:rPr>
          <w:rFonts w:ascii="Calibri" w:hAnsi="Calibri" w:cs="Calibri"/>
          <w:noProof/>
          <w:szCs w:val="24"/>
        </w:rPr>
        <w:tab/>
        <w:t xml:space="preserve">Angrisani L, Cutolo PP, Formisano G, Nosso G, Vitolo G. Laparoscopic adjustable gastric banding versus Roux-en-Y gastric bypass: 10-year results of a prospective, randomized trial. Surg Obes Relat Dis. 2013;9(3):405–13. </w:t>
      </w:r>
    </w:p>
    <w:p w14:paraId="72361B88" w14:textId="5501D4F7" w:rsidR="00DE110C" w:rsidRPr="00DE110C" w:rsidRDefault="00DE110C" w:rsidP="00DE110C">
      <w:r>
        <w:fldChar w:fldCharType="end"/>
      </w:r>
    </w:p>
    <w:p w14:paraId="3EB9CAFA" w14:textId="77777777" w:rsidR="00852A2A" w:rsidRDefault="00852A2A"/>
    <w:sectPr w:rsidR="00852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16B69" w14:textId="77777777" w:rsidR="00852A2A" w:rsidRDefault="00852A2A" w:rsidP="00852A2A">
      <w:pPr>
        <w:spacing w:after="0"/>
      </w:pPr>
      <w:r>
        <w:separator/>
      </w:r>
    </w:p>
  </w:endnote>
  <w:endnote w:type="continuationSeparator" w:id="0">
    <w:p w14:paraId="49370E96" w14:textId="77777777" w:rsidR="00852A2A" w:rsidRDefault="00852A2A" w:rsidP="00852A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0F28" w14:textId="77777777" w:rsidR="00852A2A" w:rsidRDefault="00852A2A" w:rsidP="00852A2A">
      <w:pPr>
        <w:spacing w:after="0"/>
      </w:pPr>
      <w:r>
        <w:separator/>
      </w:r>
    </w:p>
  </w:footnote>
  <w:footnote w:type="continuationSeparator" w:id="0">
    <w:p w14:paraId="6E8CAAF6" w14:textId="77777777" w:rsidR="00852A2A" w:rsidRDefault="00852A2A" w:rsidP="00852A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2A"/>
    <w:rsid w:val="00852A2A"/>
    <w:rsid w:val="00DE11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F36A5"/>
  <w15:chartTrackingRefBased/>
  <w15:docId w15:val="{0C6E9D6D-4378-404B-8693-9DD282C8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2A"/>
    <w:pPr>
      <w:spacing w:line="240" w:lineRule="auto"/>
      <w:jc w:val="both"/>
    </w:pPr>
    <w:rPr>
      <w:rFonts w:eastAsiaTheme="minorHAnsi"/>
      <w:lang w:eastAsia="en-US"/>
    </w:rPr>
  </w:style>
  <w:style w:type="paragraph" w:styleId="Heading1">
    <w:name w:val="heading 1"/>
    <w:basedOn w:val="Normal"/>
    <w:next w:val="Normal"/>
    <w:link w:val="Heading1Char"/>
    <w:uiPriority w:val="9"/>
    <w:qFormat/>
    <w:rsid w:val="00852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2A"/>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852A2A"/>
    <w:rPr>
      <w:rFonts w:asciiTheme="majorHAnsi" w:eastAsiaTheme="majorEastAsia" w:hAnsiTheme="majorHAnsi" w:cstheme="majorBidi"/>
      <w:color w:val="1F3763" w:themeColor="accent1" w:themeShade="7F"/>
      <w:sz w:val="24"/>
      <w:szCs w:val="24"/>
      <w:lang w:eastAsia="en-US"/>
    </w:rPr>
  </w:style>
  <w:style w:type="character" w:customStyle="1" w:styleId="Heading2Char">
    <w:name w:val="Heading 2 Char"/>
    <w:basedOn w:val="DefaultParagraphFont"/>
    <w:link w:val="Heading2"/>
    <w:uiPriority w:val="9"/>
    <w:rsid w:val="00DE110C"/>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2E10-FEEC-4716-AE6F-7159C632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cp:revision>
  <dcterms:created xsi:type="dcterms:W3CDTF">2021-07-29T20:35:00Z</dcterms:created>
  <dcterms:modified xsi:type="dcterms:W3CDTF">2021-08-16T18:52:00Z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00320761-1b12-3bff-8b0f-d4c691ed52e2</vt:lpwstr>
  </property>
  <property fmtid="{D5CDD505-2E9C-101B-9397-08002B2CF9AE}" pid="4" name="Mendeley Citation Style_1">
    <vt:lpwstr>http://www.zotero.org/styles/vancouver_square</vt:lpwstr>
  </property>
</Properties>
</file>