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A0B0" w14:textId="77777777" w:rsidR="00A27547" w:rsidRDefault="00A27547" w:rsidP="00A27547">
      <w:pPr>
        <w:pStyle w:val="Heading1"/>
      </w:pPr>
      <w:r>
        <w:t>3. Supplementary Methods</w:t>
      </w:r>
    </w:p>
    <w:p w14:paraId="4A8D38F5" w14:textId="77777777" w:rsidR="00A27547" w:rsidRDefault="00A27547" w:rsidP="00A27547">
      <w:pPr>
        <w:pStyle w:val="Heading2"/>
      </w:pPr>
      <w:r>
        <w:t>3.1 Estimation of Health-Related Quality of Life</w:t>
      </w:r>
    </w:p>
    <w:p w14:paraId="26CEF19D" w14:textId="794FF421" w:rsidR="00A27547" w:rsidRPr="00E95A84" w:rsidRDefault="00A27547" w:rsidP="00A27547">
      <w:r>
        <w:t xml:space="preserve">We predicted health-related quality of life for all participants using the results from a study by Sullivan et al., which catalogued health-related quality of life across 240 health conditions </w:t>
      </w:r>
      <w:bookmarkStart w:id="0" w:name="_Hlk30578282"/>
      <w:r>
        <w:fldChar w:fldCharType="begin" w:fldLock="1"/>
      </w:r>
      <w:r w:rsidR="004452E9">
        <w:instrText>ADDIN CSL_CITATION { "citationItems" : [ { "id" : "ITEM-1", "itemData" : { "DOI" : "10.1177/0272989X11401031", "ISSN" : "0272989X", "abstract" : "Background. The National Institute for Health and Clinical Excellence (NICE) has issued guidance on cost-effectiveness analyses, suggesting that preference-based health-related quality of life (HRQL) weights or utilities be based on UK community preferences, preferably using the EQ-5D; ideally all analyses would use the same system for deriving HRQL weights, to encourage consistency and comparability across analyses. Development of a catalogue of EQ-5D scores for a range of health conditions based on UK preferences would help achieve many of these goals. Objective. To provide a UK-based catalogue of EQ-5D index scores. Methods. Methods were consistent with the previously published catalogue of EQ-5D scores for the US. Community-based UK preferences were applied to EQ-5D descriptive questionnaire responses in the US-based Medical Expenditure Panel Survey (MEPS). Ordinary least squares (OLS), Tobit, and censored least absolute deviations (CLAD) regression methods were used to estimate the 'marginal disutility' of each condition controlling for covariates. Results. Pooled MEPS files (2000-2003) resulted in 79,522 individuals with complete EQ-5D scores. Marginal disutilities for 135 chronic ICD-9 and 100 CCC codes are provided. Unadjusted descriptive statistics including mean, median, 25th and 75th percentiles are also reported. Conclusion. This research provides community-based EQ-5D index scores for a wide variety of chronic conditions that can be used to estimate QALYs in cost-effectiveness analyses in the UK. Although using EQ-5D questionnaire responses from the US-based MEPS is less than ideal, the estimates approximate HRQL guidelines by NICE and provide an easily accessible\"off-the-shelf\" resource for cost-effectiveness and publichealth applications.", "author" : [ { "dropping-particle" : "", "family" : "Sullivan", "given" : "Patrick W.", "non-dropping-particle" : "", "parse-names" : false, "suffix" : "" }, { "dropping-particle" : "", "family" : "Slejko", "given" : "Julia F.", "non-dropping-particle" : "", "parse-names" : false, "suffix" : "" }, { "dropping-particle" : "", "family" : "Sculpher", "given" : "Mark J.", "non-dropping-particle" : "", "parse-names" : false, "suffix" : "" }, { "dropping-particle" : "", "family" : "Ghushchyan", "given" : "Vahram", "non-dropping-particle" : "", "parse-names" : false, "suffix" : "" } ], "container-title" : "Medical Decision Making", "id" : "ITEM-1", "issue" : "6", "issued" : { "date-parts" : [ [ "2011" ] ] }, "page" : "800-804", "title" : "Catalogue of EQ-5D scores for the United Kingdom", "type" : "article-journal", "volume" : "31" }, "uris" : [ "http://www.mendeley.com/documents/?uuid=b0ea98ee-f87a-4ff4-9a84-e3b16b4908cb" ] } ], "mendeley" : { "formattedCitation" : "[1]", "plainTextFormattedCitation" : "[1]", "previouslyFormattedCitation" : "[12]" }, "properties" : { "noteIndex" : 0 }, "schema" : "https://github.com/citation-style-language/schema/raw/master/csl-citation.json" }</w:instrText>
      </w:r>
      <w:r>
        <w:fldChar w:fldCharType="separate"/>
      </w:r>
      <w:r w:rsidR="004452E9" w:rsidRPr="004452E9">
        <w:rPr>
          <w:noProof/>
        </w:rPr>
        <w:t>[1]</w:t>
      </w:r>
      <w:r>
        <w:fldChar w:fldCharType="end"/>
      </w:r>
      <w:bookmarkEnd w:id="0"/>
      <w:r>
        <w:t xml:space="preserve">. Briefly, in the Sullivan study, community-based UK preferences were applied to EQ-5D-3L descriptive questionnaire responses in the US-based Medical Expenditure Panel Survey. The marginal disutility of each of 240 ICD-9 coded health conditions were estimated with multiple regression, with age, sex, ethnicity, education level, income and number of comorbid health conditions as covariates. We mapped each of the ICD-9 health condition codes to ICD-10 codes, as the majority of HES data in UK Biobank used ICD-10 codes. We also mapped ICD-9 codes to read v2 and v3 codes used in primary care, see </w:t>
      </w:r>
      <w:r>
        <w:rPr>
          <w:b/>
          <w:bCs/>
        </w:rPr>
        <w:t>S2 Table</w:t>
      </w:r>
      <w:r>
        <w:t xml:space="preserve"> for a list of all ICD and read codes used. Finally, we mapped education level from the US to the UK education system, where “high school” = A levels and below, “Bachelor’s degree” = university or college degree, and “other degree” = National Vocational Qualification or equivalent, or other professional qualification.</w:t>
      </w:r>
    </w:p>
    <w:p w14:paraId="6C17C902" w14:textId="77777777" w:rsidR="00A27547" w:rsidRDefault="00A27547" w:rsidP="00A27547">
      <w:r>
        <w:t>We used the Sullivan regression results to predict health-related quality of life for each participant in UK Biobank daily from recruitment to 31 March 2017. To do this, we coded each of the 240 health conditions in the catalogue as dummy variables for every day after recruitment, coded as 1 if the participant had the corresponding ICD-9, ICD-10, read v2 or read v3 code in a hospital episode or primary care event at or before that day, and 0 otherwise. We used age, sex, education level and the number of comorbid health conditions (from among the 240 health conditions) as covariates; we did not include ethnicity as we only included white British participants, and we assumed all participants had the middle income level. The constant in the model represented the health-related quality of life of a white male participant with no qualifications and no health conditions at age 0. We assumed that once a participant had a chronic health condition, they always had the condition.</w:t>
      </w:r>
    </w:p>
    <w:p w14:paraId="67873BAC" w14:textId="77777777" w:rsidR="00A27547" w:rsidRDefault="00A27547" w:rsidP="00A27547">
      <w:r>
        <w:t xml:space="preserve">Health-related quality of life was predicted by multiplying the value of each covariate against the coefficient of disutility for that variable and summing across all covariables and the constant. Any participants who died had a health-related quality of life of 0 on all days from the date of death. We averaged predicted health-related quality of life between recruitment and the end of follow up (regardless of whether the participant died) to estimate each participant’s quality-adjusted life years (QALYs) per year of follow-up. </w:t>
      </w:r>
    </w:p>
    <w:p w14:paraId="4A092FB1" w14:textId="77777777" w:rsidR="00A27547" w:rsidRDefault="00A27547" w:rsidP="00A27547">
      <w:pPr>
        <w:pStyle w:val="Heading2"/>
      </w:pPr>
      <w:r>
        <w:t>3.2 Dealing with Missing Data</w:t>
      </w:r>
    </w:p>
    <w:p w14:paraId="5D777CF4" w14:textId="24F64BE5" w:rsidR="00A27547" w:rsidRDefault="00A27547" w:rsidP="00A27547">
      <w:r>
        <w:t xml:space="preserve">We used multiple imputation by chained equations to predict both primary care healthcare costs and QALYs (N missing = 214,582, 69%), creating 100 imputed datasets </w:t>
      </w:r>
      <w:r>
        <w:fldChar w:fldCharType="begin" w:fldLock="1"/>
      </w:r>
      <w:r w:rsidR="004452E9">
        <w:instrText>ADDIN CSL_CITATION { "citationItems" : [ { "id" : "ITEM-1", "itemData" : { "DOI" : "10.1002/mpr.329", "ISBN" : "0022-006X (Print)\\n0022-006X (Linking)", "ISSN" : "10498931", "PMID" : "21499542", "abstract" : "Multivariate imputation by chained equations (MICE) has emerged as a principled method of dealing with missing data. Despite properties that make MICE particularly useful for large imputation procedures and advances in software development that now make it accessible to many researchers, many psychiatric researchers have not been trained in these methods and few practical resources exist to guide researchers in the implementation of this technique. This paper provides an introduction to the MICE method with a focus on practical aspects and challenges in using this method. A brief review of software programs available to implement MICE and then analyze multiply imputed data is also provided. \u00a9 2011 John Wiley &amp; Sons, Ltd.", "author" : [ { "dropping-particle" : "", "family" : "Azur", "given" : "Melissa J.", "non-dropping-particle" : "", "parse-names" : false, "suffix" : "" }, { "dropping-particle" : "", "family" : "Stuart", "given" : "Elizabeth A.", "non-dropping-particle" : "", "parse-names" : false, "suffix" : "" }, { "dropping-particle" : "", "family" : "Frangakis", "given" : "Constantine", "non-dropping-particle" : "", "parse-names" : false, "suffix" : "" }, { "dropping-particle" : "", "family" : "Leaf", "given" : "Philip J.", "non-dropping-particle" : "", "parse-names" : false, "suffix" : "" } ], "container-title" : "International Journal of Methods in Psychiatric Research", "id" : "ITEM-1", "issue" : "1", "issued" : { "date-parts" : [ [ "2011" ] ] }, "page" : "40-49", "title" : "Multiple imputation by chained equations: What is it and how does it work?", "type" : "article-journal", "volume" : "20" }, "uris" : [ "http://www.mendeley.com/documents/?uuid=280b04cd-6422-405a-8154-1d96c02cdead" ] } ], "mendeley" : { "formattedCitation" : "[2]", "plainTextFormattedCitation" : "[2]", "previouslyFormattedCitation" : "[13]" }, "properties" : { "noteIndex" : 0 }, "schema" : "https://github.com/citation-style-language/schema/raw/master/csl-citation.json" }</w:instrText>
      </w:r>
      <w:r>
        <w:fldChar w:fldCharType="separate"/>
      </w:r>
      <w:r w:rsidR="004452E9" w:rsidRPr="004452E9">
        <w:rPr>
          <w:noProof/>
        </w:rPr>
        <w:t>[2]</w:t>
      </w:r>
      <w:r>
        <w:fldChar w:fldCharType="end"/>
      </w:r>
      <w:r>
        <w:t xml:space="preserve">. We also imputed Townsend deprivation index (N missing = 342, 0.1%) and whether the participant had ever smoked (N missing =1,063, 0.3%), as these variables were informative but had some missingness. </w:t>
      </w:r>
    </w:p>
    <w:p w14:paraId="4C018CCF" w14:textId="77777777" w:rsidR="00A27547" w:rsidRDefault="00A27547" w:rsidP="00A27547">
      <w:r>
        <w:t>For the main analysis, we included the following informative covariables as factor variables (</w:t>
      </w:r>
      <w:r w:rsidRPr="00394FAF">
        <w:rPr>
          <w:b/>
          <w:bCs/>
        </w:rPr>
        <w:t>main imputation model</w:t>
      </w:r>
      <w:r>
        <w:t xml:space="preserve">): </w:t>
      </w:r>
    </w:p>
    <w:p w14:paraId="7283B7D0" w14:textId="77777777" w:rsidR="00A27547" w:rsidRDefault="00A27547" w:rsidP="00A27547">
      <w:pPr>
        <w:pStyle w:val="ListParagraph"/>
        <w:numPr>
          <w:ilvl w:val="0"/>
          <w:numId w:val="1"/>
        </w:numPr>
      </w:pPr>
      <w:r>
        <w:t>Centre of recruitment</w:t>
      </w:r>
    </w:p>
    <w:p w14:paraId="422FA5DE" w14:textId="77777777" w:rsidR="00A27547" w:rsidRDefault="00A27547" w:rsidP="00A27547">
      <w:pPr>
        <w:pStyle w:val="ListParagraph"/>
        <w:numPr>
          <w:ilvl w:val="0"/>
          <w:numId w:val="1"/>
        </w:numPr>
      </w:pPr>
      <w:r>
        <w:t>Highest qualification:</w:t>
      </w:r>
    </w:p>
    <w:p w14:paraId="38FB0081" w14:textId="77777777" w:rsidR="00A27547" w:rsidRDefault="00A27547" w:rsidP="00A27547">
      <w:pPr>
        <w:pStyle w:val="ListParagraph"/>
        <w:numPr>
          <w:ilvl w:val="1"/>
          <w:numId w:val="1"/>
        </w:numPr>
      </w:pPr>
      <w:r>
        <w:t>A-levels and below</w:t>
      </w:r>
    </w:p>
    <w:p w14:paraId="104F19F3" w14:textId="77777777" w:rsidR="00A27547" w:rsidRDefault="00A27547" w:rsidP="00A27547">
      <w:pPr>
        <w:pStyle w:val="ListParagraph"/>
        <w:numPr>
          <w:ilvl w:val="1"/>
          <w:numId w:val="1"/>
        </w:numPr>
      </w:pPr>
      <w:r>
        <w:t xml:space="preserve">University or college degree </w:t>
      </w:r>
    </w:p>
    <w:p w14:paraId="45A344E3" w14:textId="77777777" w:rsidR="00A27547" w:rsidRDefault="00A27547" w:rsidP="00A27547">
      <w:pPr>
        <w:pStyle w:val="ListParagraph"/>
        <w:numPr>
          <w:ilvl w:val="1"/>
          <w:numId w:val="1"/>
        </w:numPr>
      </w:pPr>
      <w:r>
        <w:t xml:space="preserve">Other degree </w:t>
      </w:r>
    </w:p>
    <w:p w14:paraId="2396887E" w14:textId="77777777" w:rsidR="00A27547" w:rsidRDefault="00A27547" w:rsidP="00A27547">
      <w:pPr>
        <w:pStyle w:val="ListParagraph"/>
        <w:numPr>
          <w:ilvl w:val="1"/>
          <w:numId w:val="1"/>
        </w:numPr>
      </w:pPr>
      <w:r>
        <w:t>None</w:t>
      </w:r>
    </w:p>
    <w:p w14:paraId="60FEFCF3" w14:textId="77777777" w:rsidR="00A27547" w:rsidRDefault="00A27547" w:rsidP="00A27547">
      <w:pPr>
        <w:pStyle w:val="ListParagraph"/>
        <w:numPr>
          <w:ilvl w:val="0"/>
          <w:numId w:val="1"/>
        </w:numPr>
      </w:pPr>
      <w:r>
        <w:t xml:space="preserve">Total household income </w:t>
      </w:r>
    </w:p>
    <w:p w14:paraId="313AD271" w14:textId="77777777" w:rsidR="00A27547" w:rsidRDefault="00A27547" w:rsidP="00A27547">
      <w:pPr>
        <w:pStyle w:val="ListParagraph"/>
        <w:numPr>
          <w:ilvl w:val="1"/>
          <w:numId w:val="1"/>
        </w:numPr>
      </w:pPr>
      <w:r>
        <w:t>&lt;£18,000</w:t>
      </w:r>
    </w:p>
    <w:p w14:paraId="38A7FC90" w14:textId="77777777" w:rsidR="00A27547" w:rsidRDefault="00A27547" w:rsidP="00A27547">
      <w:pPr>
        <w:pStyle w:val="ListParagraph"/>
        <w:numPr>
          <w:ilvl w:val="1"/>
          <w:numId w:val="1"/>
        </w:numPr>
      </w:pPr>
      <w:r>
        <w:t>£18,000 to £30,999</w:t>
      </w:r>
    </w:p>
    <w:p w14:paraId="1F90ED0B" w14:textId="77777777" w:rsidR="00A27547" w:rsidRDefault="00A27547" w:rsidP="00A27547">
      <w:pPr>
        <w:pStyle w:val="ListParagraph"/>
        <w:numPr>
          <w:ilvl w:val="1"/>
          <w:numId w:val="1"/>
        </w:numPr>
      </w:pPr>
      <w:r>
        <w:t>£31,000 to £51,999</w:t>
      </w:r>
    </w:p>
    <w:p w14:paraId="15E2727A" w14:textId="77777777" w:rsidR="00A27547" w:rsidRDefault="00A27547" w:rsidP="00A27547">
      <w:pPr>
        <w:pStyle w:val="ListParagraph"/>
        <w:numPr>
          <w:ilvl w:val="1"/>
          <w:numId w:val="1"/>
        </w:numPr>
      </w:pPr>
      <w:r>
        <w:lastRenderedPageBreak/>
        <w:t>£52,000 to £100,000</w:t>
      </w:r>
    </w:p>
    <w:p w14:paraId="2B4E5DA1" w14:textId="77777777" w:rsidR="00A27547" w:rsidRDefault="00A27547" w:rsidP="00A27547">
      <w:pPr>
        <w:pStyle w:val="ListParagraph"/>
        <w:numPr>
          <w:ilvl w:val="1"/>
          <w:numId w:val="1"/>
        </w:numPr>
      </w:pPr>
      <w:r>
        <w:t>&gt;£100,000</w:t>
      </w:r>
    </w:p>
    <w:p w14:paraId="786AC2E0" w14:textId="77777777" w:rsidR="00A27547" w:rsidRDefault="00A27547" w:rsidP="00A27547">
      <w:r>
        <w:t xml:space="preserve">We included the following informative covariables as continuous variables: </w:t>
      </w:r>
    </w:p>
    <w:p w14:paraId="32C2FFF7" w14:textId="77777777" w:rsidR="00A27547" w:rsidRDefault="00A27547" w:rsidP="00A27547">
      <w:pPr>
        <w:pStyle w:val="ListParagraph"/>
        <w:numPr>
          <w:ilvl w:val="0"/>
          <w:numId w:val="2"/>
        </w:numPr>
      </w:pPr>
      <w:r>
        <w:t>Measured BMI</w:t>
      </w:r>
    </w:p>
    <w:p w14:paraId="7DE2727B" w14:textId="77777777" w:rsidR="00A27547" w:rsidRDefault="00A27547" w:rsidP="00A27547">
      <w:pPr>
        <w:pStyle w:val="ListParagraph"/>
        <w:numPr>
          <w:ilvl w:val="0"/>
          <w:numId w:val="2"/>
        </w:numPr>
      </w:pPr>
      <w:r>
        <w:t>PRS-free BMI (BMI with the effect of the PRS for BMI removed)</w:t>
      </w:r>
    </w:p>
    <w:p w14:paraId="734ECB05" w14:textId="77777777" w:rsidR="00A27547" w:rsidRDefault="00A27547" w:rsidP="00A27547">
      <w:pPr>
        <w:pStyle w:val="ListParagraph"/>
        <w:numPr>
          <w:ilvl w:val="0"/>
          <w:numId w:val="2"/>
        </w:numPr>
      </w:pPr>
      <w:r>
        <w:t xml:space="preserve">Measured BMI multiplied by age </w:t>
      </w:r>
    </w:p>
    <w:p w14:paraId="30CF8637" w14:textId="77777777" w:rsidR="00A27547" w:rsidRDefault="00A27547" w:rsidP="00A27547">
      <w:pPr>
        <w:pStyle w:val="ListParagraph"/>
        <w:numPr>
          <w:ilvl w:val="0"/>
          <w:numId w:val="2"/>
        </w:numPr>
      </w:pPr>
      <w:r>
        <w:t xml:space="preserve">The PRS for BMI </w:t>
      </w:r>
    </w:p>
    <w:p w14:paraId="245CA826" w14:textId="77777777" w:rsidR="00A27547" w:rsidRDefault="00A27547" w:rsidP="00A27547">
      <w:pPr>
        <w:pStyle w:val="ListParagraph"/>
        <w:numPr>
          <w:ilvl w:val="0"/>
          <w:numId w:val="2"/>
        </w:numPr>
      </w:pPr>
      <w:r>
        <w:t xml:space="preserve">The PRS for BMI multiplied by age </w:t>
      </w:r>
    </w:p>
    <w:p w14:paraId="11AB8E2D" w14:textId="77777777" w:rsidR="00A27547" w:rsidRDefault="00A27547" w:rsidP="00A27547">
      <w:pPr>
        <w:pStyle w:val="ListParagraph"/>
        <w:numPr>
          <w:ilvl w:val="0"/>
          <w:numId w:val="2"/>
        </w:numPr>
      </w:pPr>
      <w:r>
        <w:t>Whether the participant died before 31 March 2017</w:t>
      </w:r>
    </w:p>
    <w:p w14:paraId="7D7A1C0D" w14:textId="77777777" w:rsidR="00A27547" w:rsidRDefault="00A27547" w:rsidP="00A27547">
      <w:pPr>
        <w:pStyle w:val="ListParagraph"/>
        <w:numPr>
          <w:ilvl w:val="0"/>
          <w:numId w:val="2"/>
        </w:numPr>
      </w:pPr>
      <w:r>
        <w:t xml:space="preserve">Age at recruitment </w:t>
      </w:r>
    </w:p>
    <w:p w14:paraId="50931868" w14:textId="77777777" w:rsidR="00A27547" w:rsidRDefault="00A27547" w:rsidP="00A27547">
      <w:pPr>
        <w:pStyle w:val="ListParagraph"/>
        <w:numPr>
          <w:ilvl w:val="0"/>
          <w:numId w:val="2"/>
        </w:numPr>
      </w:pPr>
      <w:r>
        <w:t xml:space="preserve">Date of recruitment </w:t>
      </w:r>
    </w:p>
    <w:p w14:paraId="361C2706" w14:textId="77777777" w:rsidR="00A27547" w:rsidRDefault="00A27547" w:rsidP="00A27547">
      <w:pPr>
        <w:pStyle w:val="ListParagraph"/>
        <w:numPr>
          <w:ilvl w:val="0"/>
          <w:numId w:val="2"/>
        </w:numPr>
      </w:pPr>
      <w:r>
        <w:t>40 principal components</w:t>
      </w:r>
    </w:p>
    <w:p w14:paraId="7111D177" w14:textId="77777777" w:rsidR="00A27547" w:rsidRDefault="00A27547" w:rsidP="00A27547">
      <w:pPr>
        <w:pStyle w:val="ListParagraph"/>
        <w:numPr>
          <w:ilvl w:val="0"/>
          <w:numId w:val="2"/>
        </w:numPr>
      </w:pPr>
      <w:r>
        <w:t>Total days of follow-up</w:t>
      </w:r>
    </w:p>
    <w:p w14:paraId="539DBC96" w14:textId="77777777" w:rsidR="00A27547" w:rsidRDefault="00A27547" w:rsidP="00A27547">
      <w:pPr>
        <w:pStyle w:val="ListParagraph"/>
        <w:numPr>
          <w:ilvl w:val="0"/>
          <w:numId w:val="2"/>
        </w:numPr>
      </w:pPr>
      <w:r>
        <w:t>Secondary care costs</w:t>
      </w:r>
    </w:p>
    <w:p w14:paraId="6558B828" w14:textId="77777777" w:rsidR="00A27547" w:rsidRDefault="00A27547" w:rsidP="00A27547">
      <w:pPr>
        <w:pStyle w:val="ListParagraph"/>
        <w:numPr>
          <w:ilvl w:val="0"/>
          <w:numId w:val="2"/>
        </w:numPr>
      </w:pPr>
      <w:r>
        <w:t>QALYs predicted using only HES data</w:t>
      </w:r>
    </w:p>
    <w:p w14:paraId="179DC56E" w14:textId="77777777" w:rsidR="00A27547" w:rsidRDefault="00A27547" w:rsidP="00A27547">
      <w:pPr>
        <w:pStyle w:val="ListParagraph"/>
        <w:numPr>
          <w:ilvl w:val="0"/>
          <w:numId w:val="2"/>
        </w:numPr>
      </w:pPr>
      <w:r>
        <w:t xml:space="preserve">QALYs predicted using only HES data, and using only cancer, cardiovascular disease, cerebrovascular disease and type 2 diabetes as health conditions. </w:t>
      </w:r>
    </w:p>
    <w:p w14:paraId="1AABB9D8" w14:textId="77777777" w:rsidR="00A27547" w:rsidRDefault="00A27547" w:rsidP="00A27547">
      <w:r>
        <w:t xml:space="preserve">We analysed the imputed datasets separately, then combined the results from each imputation using Rubin’s rules to give a final estimate for all analyses. For summary statistics of imputed QALYs and total healthcare costs, we reported the median of the medians in the imputed datasets, and the median of the interquartile ranges in the imputed datasets. For analyses using imputed data, we reported the median P value for endogeneity with the interquartile range (IQR) from all imputations. </w:t>
      </w:r>
    </w:p>
    <w:p w14:paraId="490565BD" w14:textId="77777777" w:rsidR="00A27547" w:rsidRDefault="00A27547" w:rsidP="00A27547">
      <w:r>
        <w:t>To preserve consistency between the imputation of missing data and the sensitivity analyses, we imputed additional datasets with different covariables. In addition to the covariables in the main imputation model, we included five age categories (&lt;50 years, 50-54 years, 55-59 years, 60-64 years and 65+ years) and whether the participant had a normal (&lt;25 kg/m</w:t>
      </w:r>
      <w:r>
        <w:rPr>
          <w:vertAlign w:val="superscript"/>
        </w:rPr>
        <w:t>2</w:t>
      </w:r>
      <w:r>
        <w:t>), overweight (25-29.99 kg/m</w:t>
      </w:r>
      <w:r>
        <w:rPr>
          <w:vertAlign w:val="superscript"/>
        </w:rPr>
        <w:t>2</w:t>
      </w:r>
      <w:r>
        <w:t>) or obese (30+ kg/m</w:t>
      </w:r>
      <w:r>
        <w:rPr>
          <w:vertAlign w:val="superscript"/>
        </w:rPr>
        <w:t>2</w:t>
      </w:r>
      <w:r>
        <w:t>) PRS-free BMI for the analyses within each category of age and PRS-free BMI (</w:t>
      </w:r>
      <w:r w:rsidRPr="00216746">
        <w:t xml:space="preserve">but did </w:t>
      </w:r>
      <w:r w:rsidRPr="00394FAF">
        <w:rPr>
          <w:i/>
          <w:iCs/>
        </w:rPr>
        <w:t>not</w:t>
      </w:r>
      <w:r w:rsidRPr="00216746">
        <w:t xml:space="preserve"> include continuous age or BMI</w:t>
      </w:r>
      <w:r>
        <w:rPr>
          <w:b/>
          <w:bCs/>
        </w:rPr>
        <w:t xml:space="preserve">, </w:t>
      </w:r>
      <w:r w:rsidRPr="003A5B46">
        <w:rPr>
          <w:b/>
          <w:bCs/>
        </w:rPr>
        <w:t xml:space="preserve">Sensitivity analyses </w:t>
      </w:r>
      <w:r>
        <w:rPr>
          <w:b/>
          <w:bCs/>
        </w:rPr>
        <w:t xml:space="preserve">b </w:t>
      </w:r>
      <w:r w:rsidRPr="003A5B46">
        <w:rPr>
          <w:b/>
          <w:bCs/>
        </w:rPr>
        <w:t>and</w:t>
      </w:r>
      <w:r>
        <w:rPr>
          <w:b/>
          <w:bCs/>
        </w:rPr>
        <w:t xml:space="preserve"> c, categorical imputation model</w:t>
      </w:r>
      <w:r>
        <w:t>), the fiftieth of PRS-free BMI as a factor variable for the non-linear MR analyses (</w:t>
      </w:r>
      <w:r w:rsidRPr="00216746">
        <w:t xml:space="preserve">but did </w:t>
      </w:r>
      <w:r w:rsidRPr="00394FAF">
        <w:rPr>
          <w:i/>
          <w:iCs/>
        </w:rPr>
        <w:t>not</w:t>
      </w:r>
      <w:r w:rsidRPr="00216746">
        <w:t xml:space="preserve"> include PRS-free BMI, </w:t>
      </w:r>
      <w:r w:rsidRPr="003A5B46">
        <w:rPr>
          <w:b/>
          <w:bCs/>
        </w:rPr>
        <w:t>Sensitivity analysis</w:t>
      </w:r>
      <w:r>
        <w:rPr>
          <w:b/>
          <w:bCs/>
        </w:rPr>
        <w:t xml:space="preserve"> d, BMI quantile imputation model</w:t>
      </w:r>
      <w:r>
        <w:t>), and we included all related participants for the within-family analyses (</w:t>
      </w:r>
      <w:r w:rsidRPr="003A5B46">
        <w:rPr>
          <w:b/>
          <w:bCs/>
        </w:rPr>
        <w:t xml:space="preserve">Sensitivity analysis </w:t>
      </w:r>
      <w:r>
        <w:rPr>
          <w:b/>
          <w:bCs/>
        </w:rPr>
        <w:t>e, related imputation model</w:t>
      </w:r>
      <w:r>
        <w:t>).</w:t>
      </w:r>
    </w:p>
    <w:p w14:paraId="6F1CEE6E" w14:textId="77777777" w:rsidR="00A27547" w:rsidRDefault="00A27547" w:rsidP="00A27547">
      <w:pPr>
        <w:pStyle w:val="Heading2"/>
      </w:pPr>
      <w:r>
        <w:t>3.3 Sensitivity Analyses</w:t>
      </w:r>
    </w:p>
    <w:p w14:paraId="43F3EBF2" w14:textId="77777777" w:rsidR="00A27547" w:rsidRPr="005917DD" w:rsidRDefault="00A27547" w:rsidP="00A27547">
      <w:pPr>
        <w:pStyle w:val="Heading3"/>
      </w:pPr>
      <w:r>
        <w:t>a. Mendelian Randomization Sensitivity Analyses</w:t>
      </w:r>
    </w:p>
    <w:p w14:paraId="7FAF71A9" w14:textId="61E93DA2" w:rsidR="00A27547" w:rsidRDefault="00A27547" w:rsidP="00A27547">
      <w:r>
        <w:t xml:space="preserve">The robustness of </w:t>
      </w:r>
      <w:r>
        <w:rPr>
          <w:lang w:eastAsia="ko-KR"/>
        </w:rPr>
        <w:t xml:space="preserve">Mendelian randomization </w:t>
      </w:r>
      <w:r>
        <w:t xml:space="preserve">analyses is reliant on the assumption (amongst others) that the SNPs, and therefore PRS, do not affect the outcome except through the exposure, i.e. the SNPs are not pleiotropic. We tested this assumption by conducting sensitivity </w:t>
      </w:r>
      <w:bookmarkStart w:id="1" w:name="_Hlk32243695"/>
      <w:r>
        <w:t xml:space="preserve">analyses using summary data for each SNP in the BMI PRS, including inverse-variance weighted (IVW), MR Egger (an indicator of directional pleiotropy), weighted median, weighted mode and simple mode analyses </w:t>
      </w:r>
      <w:r>
        <w:fldChar w:fldCharType="begin" w:fldLock="1"/>
      </w:r>
      <w:r w:rsidR="004452E9">
        <w:instrText>ADDIN CSL_CITATION { "citationItems" : [ { "id" : "ITEM-1", "itemData" : { "DOI" : "10.3945/ajcn.115.118216", "ISSN" : "19383207", "abstract" : "Mendelian randomization (MR) is an increasingly important tool for appraising causality in observational epidemiology. The technique exploits the principle that genotypes are not generally susceptible to reverse causation bias and confounding, reflecting their fixed nature and Mendel's first and second laws of inheritance. The approach is, however, subject to important limitations and assumptions that, if unaddressed or compounded by poor study design, can lead to erroneous conclusions. Nevertheless, the advent of 2-sample approaches (in which exposure and outcome are measured in separate samples) and the increasing availability of open-access data from large consortia of genomewide association studies and population biobanks mean that the approach is likely to become routine practice in evidence synthesis and causal inference research. In this article we provide an overview of the design, analysis, and interpretation of MR studies, with a special emphasis on assumptions and limitations. We also consider different analytic strategies for strengthening causal inference. Although impossible to prove causality with any single approach, MR is a highly cost-effective strategy for prioritizing intervention targets for disease prevention and for strengthening the evidence base for public health policy.", "author" : [ { "dropping-particle" : "", "family" : "Haycock", "given" : "Philip C.", "non-dropping-particle" : "", "parse-names" : false, "suffix" : "" }, { "dropping-particle" : "", "family" : "Burgess", "given" : "Stephen", "non-dropping-particle" : "", "parse-names" : false, "suffix" : "" }, { "dropping-particle" : "", "family" : "Wade", "given" : "Kaitlin H.", "non-dropping-particle" : "", "parse-names" : false, "suffix" : "" }, { "dropping-particle" : "", "family" : "Bowden", "given" : "Jack", "non-dropping-particle" : "", "parse-names" : false, "suffix" : "" }, { "dropping-particle" : "", "family" : "Relton", "given" : "Caroline", "non-dropping-particle" : "", "parse-names" : false, "suffix" : "" }, { "dropping-particle" : "", "family" : "Smith", "given" : "George Davey", "non-dropping-particle" : "", "parse-names" : false, "suffix" : "" } ], "container-title" : "American Journal of Clinical Nutrition", "id" : "ITEM-1", "issue" : "4", "issued" : { "date-parts" : [ [ "2016" ] ] }, "page" : "965-978", "title" : "Best (but oft-forgotten) practices: The design, analysis, and interpretation of Mendelian randomization studies", "type" : "article", "volume" : "103" }, "uris" : [ "http://www.mendeley.com/documents/?uuid=995650e5-7a08-4ab1-9df7-a46a60053036" ] }, { "id" : "ITEM-2", "itemData" : { "DOI" : "10.1007/s10654-015-0011-z", "ISBN" : "1573-7284 (Electronic)\\r0393-2990 (Linking)", "ISSN" : "15737284", "PMID" : "25773750", "abstract" : "Finding individual-level data for adequately-powered Mendelian randomization analyses may be problematic. As publicly-available summarized data on genetic associations with disease outcomes from large consortia are becoming more abundant, use of published data is an attractive analysis strategy for obtaining precise estimates of the causal effects of risk factors on outcomes. We detail the necessary steps for conducting Mendelian randomization investigations using published data, and present novel statistical methods for combining data on the associations of multiple (correlated or uncorrelated) genetic variants with the risk factor and outcome into a single causal effect estimate. A two-sample analysis strategy may be employed, in which evidence on the gene-risk factor and gene-outcome associations are taken from different data sources. These approaches allow the efficient identification of risk factors that are suitable targets for clinical intervention from published data, although the ability to assess the assumptions necessary for causal inference is diminished. Methods and guidance are illustrated using the example of the causal effect of serum calcium levels on fasting glucose concentrations. The estimated causal effect of a 1 standard deviation (0.13\u00a0mmol/L) increase in calcium levels on fasting glucose (mM) using a single lead variant from the CASR gene region is 0.044 (95\u00a0% credible interval -0.002, 0.100). In contrast, using our method to account for the correlation between variants, the corresponding estimate using 17 genetic variants is 0.022 (95\u00a0% credible interval 0.009, 0.035), a more clearly positive causal effect.", "author" : [ { "dropping-particle" : "", "family" : "Burgess", "given" : "Stephen", "non-dropping-particle" : "", "parse-names" : false, "suffix" : "" }, { "dropping-particle" : "", "family" : "Scott", "given" : "Robert A.", "non-dropping-particle" : "", "parse-names" : false, "suffix" : "" }, { "dropping-particle" : "", "family" : "Timpson", "given" : "Nicholas J.", "non-dropping-particle" : "", "parse-names" : false, "suffix" : "" }, { "dropping-particle" : "", "family" : "Smith", "given" : "George Davey", "non-dropping-particle" : "", "parse-names" : false, "suffix" : "" }, { "dropping-particle" : "", "family" : "Thompson", "given" : "Simon G.", "non-dropping-particle" : "", "parse-names" : false, "suffix" : "" } ], "container-title" : "European Journal of Epidemiology", "id" : "ITEM-2", "issue" : "7", "issued" : { "date-parts" : [ [ "2015" ] ] }, "page" : "543-552", "title" : "Using published data in Mendelian randomization: A blueprint for efficient identification of causal risk factors", "type" : "article-journal", "volume" : "30" }, "uris" : [ "http://www.mendeley.com/documents/?uuid=b2fc34e3-49b4-4edb-9440-feec78d305b9" ] }, { "id" : "ITEM-3", "itemData" : { "DOI" : "10.1093/aje/kwt084", "ISSN" : "00029262", "PMID" : "23863760", "abstract" : "Mendelian randomization (MR) is a method for estimating the causal relationship between an exposure and an outcome using a genetic factor as an instrumental variable (IV) for the exposure. In the traditional MR setting, data on the IV, exposure, and outcome are available for all participants. However, obtaining complete exposure data may be difficult in some settings, due to high measurement costs or lack of appropriate biospecimens. We used simulated data sets to assess statistical power and bias for MR when exposure data are available for a subset (or an independent set) of participants. We show that obtaining exposure data for a subset of participants is a cost-efficient strategy, often having negligible effects on power in comparison with a traditional complete-data analysis. The size of the subset needed to achieve maximum power depends on IV strength, and maximum power is approximately equal to the power of traditional IV estimators. Weak IVs are shown to lead to bias towards the null when the subsample is small and towards the confounded association when the subset is relatively large. Various approaches for confidence interval calculation are considered. These results have important implications for reducing the costs and increasing the feasibility of MR studies.", "author" : [ { "dropping-particle" : "", "family" : "Pierce", "given" : "Brandon L.", "non-dropping-particle" : "", "parse-names" : false, "suffix" : "" }, { "dropping-particle" : "", "family" : "Burgess", "given" : "Stephen", "non-dropping-particle" : "", "parse-names" : false, "suffix" : "" } ], "container-title" : "American Journal of Epidemiology", "id" : "ITEM-3", "issue" : "7", "issued" : { "date-parts" : [ [ "2013" ] ] }, "page" : "1177-1184", "title" : "Efficient design for mendelian randomization studies: Subsample and 2-sample instrumental variable estimators", "type" : "article-journal", "volume" : "178" }, "uris" : [ "http://www.mendeley.com/documents/?uuid=eb2929ce-3c31-44d9-b925-31c595eb3656" ] } ], "mendeley" : { "formattedCitation" : "[3\u20135]", "plainTextFormattedCitation" : "[3\u20135]", "previouslyFormattedCitation" : "[14\u201316]" }, "properties" : { "noteIndex" : 0 }, "schema" : "https://github.com/citation-style-language/schema/raw/master/csl-citation.json" }</w:instrText>
      </w:r>
      <w:r>
        <w:fldChar w:fldCharType="separate"/>
      </w:r>
      <w:r w:rsidR="004452E9" w:rsidRPr="004452E9">
        <w:rPr>
          <w:noProof/>
        </w:rPr>
        <w:t>[3–5]</w:t>
      </w:r>
      <w:r>
        <w:fldChar w:fldCharType="end"/>
      </w:r>
      <w:r>
        <w:t>.</w:t>
      </w:r>
      <w:bookmarkEnd w:id="1"/>
      <w:r>
        <w:t xml:space="preserve"> We also measured Cochran’s Q statistic from the IVW analyses (a measure of heterogeneity in the effects of individual SNPs on the outcome), an indicator of pleiotropy </w:t>
      </w:r>
      <w:r>
        <w:fldChar w:fldCharType="begin" w:fldLock="1"/>
      </w:r>
      <w:r w:rsidR="004452E9">
        <w:instrText>ADDIN CSL_CITATION { "citationItems" : [ { "id" : "ITEM-1", "itemData" : { "DOI" : "10.1002/sim.6522", "ISSN" : "10970258", "abstract" : "Mendelian randomisation (MR) estimates causal effects of modifiable phenotypes on an outcome by using genetic variants as instrumental variables, but its validity relies on the assumption of no pleiotropy, that is, genes influence the outcome only through the given phenotype. Excluding pleiotropy is difficult, but the use of multiple instruments can indirectly address the issue: if all genes represent valid instruments, their MR estimates should vary only by chance. The Sargan test detects pleiotropy when individual phenotype, outcome and genotype data are measured in the same subjects. We propose an alternative approach to be used when only summary genetic data are available or data on gene-phenotype and gene-outcome come from different subjects. The presence of pleiotropy is investigated using the between-instrument heterogeneity Q test (together with the I2 index) in a meta-analysis of MR Wald estimates, derived separately from each instrument. For a continuous outcome, we evaluate the approach through simulations and illustrate it using published data. For the scenario where all data come from the same subjects, we compare it with the Sargan test. The Q test tends to be conservative in small samples. Its power increases with the degree of pleiotropy and the sample size, as does the precision of the I2 index, in which case results are similar to those of the Sargan test. In MR studies with large sample sizes based on summary data, the between-instrument Q test represents a useful tool to explore the presence of heterogeneity due to pleiotropy or other causes. Copyright \u00a9 2015 John Wiley &amp; Sons, Ltd.", "author" : [ { "dropping-particle" : "Del", "family" : "Greco M", "given" : "Fabiola", "non-dropping-particle" : "", "parse-names" : false, "suffix" : "" }, { "dropping-particle" : "", "family" : "Minelli", "given" : "Cosetta", "non-dropping-particle" : "", "parse-names" : false, "suffix" : "" }, { "dropping-particle" : "", "family" : "Sheehan", "given" : "Nuala A.", "non-dropping-particle" : "", "parse-names" : false, "suffix" : "" }, { "dropping-particle" : "", "family" : "Thompson", "given" : "John R.", "non-dropping-particle" : "", "parse-names" : false, "suffix" : "" } ], "container-title" : "Statistics in Medicine", "id" : "ITEM-1", "issue" : "21", "issued" : { "date-parts" : [ [ "2015" ] ] }, "page" : "2926-2940", "title" : "Detecting pleiotropy in Mendelian randomisation studies with summary data and a continuous outcome", "type" : "article-journal", "volume" : "34" }, "uris" : [ "http://www.mendeley.com/documents/?uuid=7ae242d4-de84-4ebc-822f-a4cd858f071b" ] } ], "mendeley" : { "formattedCitation" : "[6]", "plainTextFormattedCitation" : "[6]", "previouslyFormattedCitation" : "[17]" }, "properties" : { "noteIndex" : 0 }, "schema" : "https://github.com/citation-style-language/schema/raw/master/csl-citation.json" }</w:instrText>
      </w:r>
      <w:r>
        <w:fldChar w:fldCharType="separate"/>
      </w:r>
      <w:r w:rsidR="004452E9" w:rsidRPr="004452E9">
        <w:rPr>
          <w:noProof/>
        </w:rPr>
        <w:t>[6]</w:t>
      </w:r>
      <w:r>
        <w:fldChar w:fldCharType="end"/>
      </w:r>
      <w:r>
        <w:t xml:space="preserve"> or problems with modelling assumptions </w:t>
      </w:r>
      <w:r>
        <w:fldChar w:fldCharType="begin" w:fldLock="1"/>
      </w:r>
      <w:r w:rsidR="004452E9">
        <w:instrText>ADDIN CSL_CITATION { "citationItems" : [ { "id" : "ITEM-1", "itemData" : { "DOI" : "10.1093/hmg/ddy163", "ISSN" : "14602083", "abstract" : "Pleiotropy, the phenomenon of a single genetic variant influencing multiple traits, is likely widespread in the human genome. If pleiotropy arises because the single nucleotide polymorphism (SNP) influences one trait, which in turn influences another ('vertical pleiotropy'), then Mendelian randomization (MR) can be used to estimate the causal influence between the traits. Of prime focus among the many limitations to MR is the unprovable assumption that apparent pleiotropic associations are mediated by the exposure (i.e. reflect vertical pleiotropy), and do not arise due to SNPs influencing the two traits through independent pathways ('horizontal pleiotropy'). The burgeoning treasure trove of genetic associations yielded through genome wide association studies makes for a tantalizing prospect of phenome-wide causal inference. Recent years have seen substantial attention devoted to the problem of horizontal pleiotropy, and in this review we outline how newly developed methods can be used together to improve the reliability of MR.", "author" : [ { "dropping-particle" : "", "family" : "Hemani", "given" : "Gibran", "non-dropping-particle" : "", "parse-names" : false, "suffix" : "" }, { "dropping-particle" : "", "family" : "Bowden", "given" : "Jack", "non-dropping-particle" : "", "parse-names" : false, "suffix" : "" }, { "dropping-particle" : "", "family" : "Davey Smith", "given" : "George", "non-dropping-particle" : "", "parse-names" : false, "suffix" : "" } ], "container-title" : "Human molecular genetics", "id" : "ITEM-1", "issue" : "R2", "issued" : { "date-parts" : [ [ "2018" ] ] }, "page" : "R195-R208", "title" : "Evaluating the potential role of pleiotropy in Mendelian randomization studies", "type" : "article-journal", "volume" : "27" }, "uris" : [ "http://www.mendeley.com/documents/?uuid=4ef9e9ab-ff07-4ce1-a73d-5bf3993f8835" ] } ], "mendeley" : { "formattedCitation" : "[7]", "plainTextFormattedCitation" : "[7]", "previouslyFormattedCitation" : "[18]" }, "properties" : { "noteIndex" : 0 }, "schema" : "https://github.com/citation-style-language/schema/raw/master/csl-citation.json" }</w:instrText>
      </w:r>
      <w:r>
        <w:fldChar w:fldCharType="separate"/>
      </w:r>
      <w:r w:rsidR="004452E9" w:rsidRPr="004452E9">
        <w:rPr>
          <w:noProof/>
        </w:rPr>
        <w:t>[7]</w:t>
      </w:r>
      <w:r>
        <w:fldChar w:fldCharType="end"/>
      </w:r>
      <w:r>
        <w:t xml:space="preserve">. </w:t>
      </w:r>
    </w:p>
    <w:p w14:paraId="08A85CEE" w14:textId="77777777" w:rsidR="00A27547" w:rsidRDefault="00A27547" w:rsidP="00A27547">
      <w:r>
        <w:t xml:space="preserve">From these analyses, we determined: a) whether the results were consistent with the main </w:t>
      </w:r>
      <w:r>
        <w:rPr>
          <w:lang w:eastAsia="ko-KR"/>
        </w:rPr>
        <w:t xml:space="preserve">Mendelian randomization </w:t>
      </w:r>
      <w:r>
        <w:t xml:space="preserve">analysis, which would indicate the results of the main analysis were robust, and b) whether there was evidence of pleiotropy from both the Egger regression constant term and Cochran’s Q statistic. We also visually inspected plots of the sensitivity </w:t>
      </w:r>
      <w:r>
        <w:rPr>
          <w:lang w:eastAsia="ko-KR"/>
        </w:rPr>
        <w:t xml:space="preserve">Mendelian randomization </w:t>
      </w:r>
      <w:r>
        <w:t xml:space="preserve">analyses, which would indicate possible bias in the results of the main analysis. </w:t>
      </w:r>
    </w:p>
    <w:p w14:paraId="3E01C5BE" w14:textId="77777777" w:rsidR="00A27547" w:rsidRDefault="00A27547" w:rsidP="00A27547">
      <w:pPr>
        <w:pStyle w:val="Heading3"/>
      </w:pPr>
      <w:r>
        <w:lastRenderedPageBreak/>
        <w:t>b. Sex and Age Specific Analyses</w:t>
      </w:r>
    </w:p>
    <w:p w14:paraId="650BD51A" w14:textId="77777777" w:rsidR="00A27547" w:rsidRDefault="00A27547" w:rsidP="00A27547">
      <w:r>
        <w:t>Sex and age may both interact with BMI to affect healthcare costs and average QALYs per year. As such, we performed the main Mendelian randomization analysis for men and women separately, and within 5-year age groups. We also performed the main Mendelian Randomization analysis with an interaction term for age and BMI, with the age-BMI interaction term instrumented with an interaction term for age and the PRS for BMI. These results can be used to determine the effect of a change in BMI for any specified age and sex distribution, as shown in the policy analyses.</w:t>
      </w:r>
    </w:p>
    <w:p w14:paraId="11FB2070" w14:textId="77777777" w:rsidR="00A27547" w:rsidRPr="00AE1227" w:rsidRDefault="00A27547" w:rsidP="00A27547">
      <w:pPr>
        <w:pStyle w:val="Heading3"/>
      </w:pPr>
      <w:r>
        <w:t>c. Testing for non-linear effects of BMI</w:t>
      </w:r>
    </w:p>
    <w:p w14:paraId="6A1821EE" w14:textId="1EADEECB" w:rsidR="00A27547" w:rsidRDefault="00A27547" w:rsidP="00A27547">
      <w:r>
        <w:t xml:space="preserve">The effects of an increase in BMI on healthcare costs and average QALYs per year may be larger in overweight and obese participants compared with normal weight participants. Stratifying by observed BMI could bias the analysis, as stratifying on the exposure in an instrumental variable regression can induce collider bias between the genetic instrument and any unmeasured confounders between the exposure and the outcome, since the exposure is on the causal pathway between the instrument and the outcome </w:t>
      </w:r>
      <w:r>
        <w:fldChar w:fldCharType="begin" w:fldLock="1"/>
      </w:r>
      <w:r w:rsidR="004452E9">
        <w:instrText>ADDIN CSL_CITATION { "citationItems" : [ { "id" : "ITEM-1", "itemData" : { "DOI" : "10.1002/gepi.22041", "ISSN" : "10982272", "abstract" : "Mendelian randomization, the use of genetic variants as instrumental variables (IV), can test for and estimate the causal effect of an exposure on an outcome. Most IV methods assume that the function relating the exposure to the expected value of the outcome (the exposure-outcome relationship) is linear. However, in practice, this assumption may not hold. Indeed, often the primary question of interest is to assess the shape of this relationship. We present two novel IV methods for investigating the shape of the exposure-outcome relationship: a fractional polynomial method and a piecewise linear method. We divide the population into strata using the exposure distribution, and estimate a causal effect, referred to as a localized average causal effect (LACE), in each stratum of population. The fractional polynomial method performs metaregression on these LACE estimates. The piecewise linear method estimates a continuous piecewise linear function, the gradient of which is the LACE estimate in each stratum. Both methods were demonstrated in a simulation study to estimate the true exposure-outcome relationship well, particularly when the relationship was a fractional polynomial (for the fractional polynomial method) or was piecewise linear (for the piecewise linear method). The methods were used to investigate the shape of relationship of body mass index with systolic blood pressure and diastolic blood pressure.", "author" : [ { "dropping-particle" : "", "family" : "Staley", "given" : "James R.", "non-dropping-particle" : "", "parse-names" : false, "suffix" : "" }, { "dropping-particle" : "", "family" : "Burgess", "given" : "Stephen", "non-dropping-particle" : "", "parse-names" : false, "suffix" : "" } ], "container-title" : "Genetic Epidemiology", "id" : "ITEM-1", "issue" : "4", "issued" : { "date-parts" : [ [ "2017" ] ] }, "page" : "341-352", "title" : "Semiparametric methods for estimation of a nonlinear exposure-outcome relationship using instrumental variables with application to Mendelian randomization", "type" : "article-journal", "volume" : "41" }, "uris" : [ "http://www.mendeley.com/documents/?uuid=c0bd3a18-9af2-4473-baf4-a33d3b378fae" ] }, { "id" : "ITEM-2", "itemData" : { "DOI" : "10.1097/EDE.0000000000000161", "ISSN" : "15315487", "abstract" : "Background: Instrumental variable methods can estimate the causal effect of an exposure on an outcome using observational data. Many instrumental variable methods assume that the exposure-outcome relation is linear, but in practice this assumption is often in doubt, or perhaps the shape of the relation is a target for investigation. We investigate this issue in the context of Mendelian randomization, the use of genetic variants as instrumental variables. Methods: Using simulations, we demonstrate the performance of a simple linear instrumental variable method when the true shape of the exposure-outcome relation is not linear. We also present a novel method for estimating the effect of the exposure on the outcome within strata of the exposure distribution. This enables the estimation of localized average causal effects within quantile groups of the exposure or as a continuous function of the exposure using a sliding window approach. Results: Our simulations suggest that linear instrumental variable estimates approximate a population-averaged causal effect. This is the average difference in the outcome if the exposure for every individual in the population is increased by a fixed amount. Estimates of localized average causal effects reveal the shape of the exposureoutcome relation for a variety of models. These methods are used to investigate the relations between body mass index and a range of cardiovascular risk factors. Conclusions: Nonlinear exposure-outcome relations should not be a barrierto instrumental variable analyses. When the exposure-outcome relation is not linear, either a population-averaged causal effect or the shape of the exposure-outcome relation can be estimated.", "author" : [ { "dropping-particle" : "", "family" : "Burgess", "given" : "Stephen", "non-dropping-particle" : "", "parse-names" : false, "suffix" : "" }, { "dropping-particle" : "", "family" : "Davies", "given" : "Neil M.", "non-dropping-particle" : "", "parse-names" : false, "suffix" : "" }, { "dropping-particle" : "", "family" : "Thompson", "given" : "Simon G.", "non-dropping-particle" : "", "parse-names" : false, "suffix" : "" } ], "container-title" : "Epidemiology", "id" : "ITEM-2", "issue" : "6", "issued" : { "date-parts" : [ [ "2014" ] ] }, "page" : "877-885", "title" : "Instrumental variable analysis with a nonlinear exposure-outcome relationship", "type" : "article-journal", "volume" : "25" }, "uris" : [ "http://www.mendeley.com/documents/?uuid=db981801-1fb9-4859-9992-b8208bda98b1" ] } ], "mendeley" : { "formattedCitation" : "[8,9]", "plainTextFormattedCitation" : "[8,9]", "previouslyFormattedCitation" : "[19,20]" }, "properties" : { "noteIndex" : 0 }, "schema" : "https://github.com/citation-style-language/schema/raw/master/csl-citation.json" }</w:instrText>
      </w:r>
      <w:r>
        <w:fldChar w:fldCharType="separate"/>
      </w:r>
      <w:r w:rsidR="004452E9" w:rsidRPr="004452E9">
        <w:rPr>
          <w:noProof/>
        </w:rPr>
        <w:t>[8,9]</w:t>
      </w:r>
      <w:r>
        <w:fldChar w:fldCharType="end"/>
      </w:r>
      <w:r>
        <w:t xml:space="preserve">. We can overcome this bias by stratifying on PRS-free BMI, rather than observed BMI, which we estimated by regressing observed BMI on the PRS for BMI, then predicting each participant’s BMI as if they had the mean value of the PRS for BMI. This removes the effect of the PRS on BMI, and so removes the possibility of collider bias. </w:t>
      </w:r>
    </w:p>
    <w:p w14:paraId="3ADA9EF9" w14:textId="77777777" w:rsidR="00A27547" w:rsidRPr="0086458B" w:rsidRDefault="00A27547" w:rsidP="00A27547">
      <w:r>
        <w:t>We then repeated the main mendelian randomization analysis separately in participants with PRS-free BMI levels above 25 kg/m</w:t>
      </w:r>
      <w:r>
        <w:rPr>
          <w:vertAlign w:val="superscript"/>
        </w:rPr>
        <w:t>2</w:t>
      </w:r>
      <w:r>
        <w:t>, above 30 kg/m</w:t>
      </w:r>
      <w:r>
        <w:rPr>
          <w:vertAlign w:val="superscript"/>
        </w:rPr>
        <w:t>2</w:t>
      </w:r>
      <w:r>
        <w:t>, and between 25 and 30 kg/m</w:t>
      </w:r>
      <w:r>
        <w:rPr>
          <w:vertAlign w:val="superscript"/>
        </w:rPr>
        <w:t>2</w:t>
      </w:r>
      <w:r>
        <w:t>, representing overweight and obese participants, obese participants, and overweight participants respectively.</w:t>
      </w:r>
    </w:p>
    <w:p w14:paraId="7011856E" w14:textId="77777777" w:rsidR="00A27547" w:rsidRDefault="00A27547" w:rsidP="00A27547">
      <w:pPr>
        <w:pStyle w:val="Heading3"/>
      </w:pPr>
      <w:r>
        <w:t>d. Non-Linear Effects of BMI</w:t>
      </w:r>
    </w:p>
    <w:p w14:paraId="6B38B808" w14:textId="3FFAAD24" w:rsidR="00A27547" w:rsidRDefault="00A27547" w:rsidP="00A27547">
      <w:r>
        <w:t xml:space="preserve">In addition to testing for non-linear effects of BMI using categories of PRS-free BMI, we performed non-linear Mendelian randomization to estimate the overall shape of the association between BMI and each outcome. In this, we performed the main Mendelian randomization within fifty quantiles of genetic-free BMI, giving quantile-specific local average causal effects </w:t>
      </w:r>
      <w:r>
        <w:fldChar w:fldCharType="begin" w:fldLock="1"/>
      </w:r>
      <w:r w:rsidR="004452E9">
        <w:instrText>ADDIN CSL_CITATION { "citationItems" : [ { "id" : "ITEM-1", "itemData" : { "DOI" : "10.1002/gepi.22041", "ISSN" : "10982272", "abstract" : "Mendelian randomization, the use of genetic variants as instrumental variables (IV), can test for and estimate the causal effect of an exposure on an outcome. Most IV methods assume that the function relating the exposure to the expected value of the outcome (the exposure-outcome relationship) is linear. However, in practice, this assumption may not hold. Indeed, often the primary question of interest is to assess the shape of this relationship. We present two novel IV methods for investigating the shape of the exposure-outcome relationship: a fractional polynomial method and a piecewise linear method. We divide the population into strata using the exposure distribution, and estimate a causal effect, referred to as a localized average causal effect (LACE), in each stratum of population. The fractional polynomial method performs metaregression on these LACE estimates. The piecewise linear method estimates a continuous piecewise linear function, the gradient of which is the LACE estimate in each stratum. Both methods were demonstrated in a simulation study to estimate the true exposure-outcome relationship well, particularly when the relationship was a fractional polynomial (for the fractional polynomial method) or was piecewise linear (for the piecewise linear method). The methods were used to investigate the shape of relationship of body mass index with systolic blood pressure and diastolic blood pressure.", "author" : [ { "dropping-particle" : "", "family" : "Staley", "given" : "James R.", "non-dropping-particle" : "", "parse-names" : false, "suffix" : "" }, { "dropping-particle" : "", "family" : "Burgess", "given" : "Stephen", "non-dropping-particle" : "", "parse-names" : false, "suffix" : "" } ], "container-title" : "Genetic Epidemiology", "id" : "ITEM-1", "issue" : "4", "issued" : { "date-parts" : [ [ "2017" ] ] }, "page" : "341-352", "title" : "Semiparametric methods for estimation of a nonlinear exposure-outcome relationship using instrumental variables with application to Mendelian randomization", "type" : "article-journal", "volume" : "41" }, "uris" : [ "http://www.mendeley.com/documents/?uuid=c0bd3a18-9af2-4473-baf4-a33d3b378fae" ] }, { "id" : "ITEM-2", "itemData" : { "DOI" : "10.1097/EDE.0000000000000161", "ISSN" : "15315487", "abstract" : "Background: Instrumental variable methods can estimate the causal effect of an exposure on an outcome using observational data. Many instrumental variable methods assume that the exposure-outcome relation is linear, but in practice this assumption is often in doubt, or perhaps the shape of the relation is a target for investigation. We investigate this issue in the context of Mendelian randomization, the use of genetic variants as instrumental variables. Methods: Using simulations, we demonstrate the performance of a simple linear instrumental variable method when the true shape of the exposure-outcome relation is not linear. We also present a novel method for estimating the effect of the exposure on the outcome within strata of the exposure distribution. This enables the estimation of localized average causal effects within quantile groups of the exposure or as a continuous function of the exposure using a sliding window approach. Results: Our simulations suggest that linear instrumental variable estimates approximate a population-averaged causal effect. This is the average difference in the outcome if the exposure for every individual in the population is increased by a fixed amount. Estimates of localized average causal effects reveal the shape of the exposureoutcome relation for a variety of models. These methods are used to investigate the relations between body mass index and a range of cardiovascular risk factors. Conclusions: Nonlinear exposure-outcome relations should not be a barrierto instrumental variable analyses. When the exposure-outcome relation is not linear, either a population-averaged causal effect or the shape of the exposure-outcome relation can be estimated.", "author" : [ { "dropping-particle" : "", "family" : "Burgess", "given" : "Stephen", "non-dropping-particle" : "", "parse-names" : false, "suffix" : "" }, { "dropping-particle" : "", "family" : "Davies", "given" : "Neil M.", "non-dropping-particle" : "", "parse-names" : false, "suffix" : "" }, { "dropping-particle" : "", "family" : "Thompson", "given" : "Simon G.", "non-dropping-particle" : "", "parse-names" : false, "suffix" : "" } ], "container-title" : "Epidemiology", "id" : "ITEM-2", "issue" : "6", "issued" : { "date-parts" : [ [ "2014" ] ] }, "page" : "877-885", "title" : "Instrumental variable analysis with a nonlinear exposure-outcome relationship", "type" : "article-journal", "volume" : "25" }, "uris" : [ "http://www.mendeley.com/documents/?uuid=db981801-1fb9-4859-9992-b8208bda98b1" ] } ], "mendeley" : { "formattedCitation" : "[8,9]", "plainTextFormattedCitation" : "[8,9]", "previouslyFormattedCitation" : "[19,20]" }, "properties" : { "noteIndex" : 0 }, "schema" : "https://github.com/citation-style-language/schema/raw/master/csl-citation.json" }</w:instrText>
      </w:r>
      <w:r>
        <w:fldChar w:fldCharType="separate"/>
      </w:r>
      <w:r w:rsidR="004452E9" w:rsidRPr="004452E9">
        <w:rPr>
          <w:noProof/>
        </w:rPr>
        <w:t>[8,9]</w:t>
      </w:r>
      <w:r>
        <w:fldChar w:fldCharType="end"/>
      </w:r>
      <w:r>
        <w:t>. We analysed these estimates using variance weighted least squares (VWLS) models to determine whether there was a change in the effect of BMI on healthcare costs, average QALYs per year, and QALY-costs as BMI increased. We used both linear and cubic models (with respect to the mean PRS-free BMI in each quantile) to describe the shape of the effect of the increase in BMI over the range of PRS-free BMI values.</w:t>
      </w:r>
    </w:p>
    <w:p w14:paraId="79F8FA79" w14:textId="77777777" w:rsidR="00A27547" w:rsidRDefault="00A27547" w:rsidP="00A27547">
      <w:pPr>
        <w:pStyle w:val="Heading3"/>
      </w:pPr>
      <w:r>
        <w:t>e. Within-Family Mendelian Randomization Analysis</w:t>
      </w:r>
    </w:p>
    <w:p w14:paraId="5FADDFA1" w14:textId="220DEA77" w:rsidR="00A27547" w:rsidRDefault="00A27547" w:rsidP="00A27547">
      <w:r w:rsidRPr="00431136">
        <w:t xml:space="preserve">Mendelian randomization </w:t>
      </w:r>
      <w:r>
        <w:t>analyses</w:t>
      </w:r>
      <w:r w:rsidRPr="00431136">
        <w:t xml:space="preserve"> of unrelated individuals may</w:t>
      </w:r>
      <w:r>
        <w:t xml:space="preserve"> still</w:t>
      </w:r>
      <w:r w:rsidRPr="00431136">
        <w:t xml:space="preserve"> be susceptible to bias from family structure, for example, through dynastic effects </w:t>
      </w:r>
      <w:r>
        <w:t>(</w:t>
      </w:r>
      <w:r w:rsidRPr="00431136">
        <w:t>when parental genotypes directly affect offspring phenotypes</w:t>
      </w:r>
      <w:r>
        <w:t xml:space="preserve">), assortative mating or cryptic relatedness </w:t>
      </w:r>
      <w:bookmarkStart w:id="2" w:name="_Hlk32243817"/>
      <w:r>
        <w:fldChar w:fldCharType="begin" w:fldLock="1"/>
      </w:r>
      <w:r w:rsidR="004452E9">
        <w:instrText>ADDIN CSL_CITATION { "citationItems" : [ { "id" : "ITEM-1", "itemData" : { "DOI" : "10.1101/602516", "abstract" : "Mendelian randomization (MR) is a widely-used method for causal inference using genetic data. Mendelian randomization studies of unrelated individuals may be susceptible to bias from family structure, for example, through dynastic effects which occur when parental genotypes directly affect offspring phenotypes. Here we describe methods for within-family Mendelian randomization and through simulations show that family-based methods can overcome bias due to dynastic effects. We illustrate these issues empirically using data from 62,470 siblings from the UK Biobank and Nord-Tr\u00f8ndelag Health Study. Both within-family and population-based Mendelian randomization analyses reproduced established effects of lower BMI reducing risk of diabetes and high blood pressure. However, while MR estimates from population-based samples of unrelated individuals suggested that taller height and lower BMI increase educational attainment, these effects largely disappeared in within-family MR analyses. We found differences between population-based and within-family based estimates, indicating the importance of controlling for family effects and population structure in Mendelian randomization studies.", "author" : [ { "dropping-particle" : "", "family" : "Brumpton", "given" : "Ben", "non-dropping-particle" : "", "parse-names" : false, "suffix" : "" }, { "dropping-particle" : "", "family" : "Sanderson", "given" : "Eleanor", "non-dropping-particle" : "", "parse-names" : false, "suffix" : "" }, { "dropping-particle" : "", "family" : "Hartwig", "given" : "Fernando Pires", "non-dropping-particle" : "", "parse-names" : false, "suffix" : "" }, { "dropping-particle" : "", "family" : "Harrison", "given" : "Sean", "non-dropping-particle" : "", "parse-names" : false, "suffix" : "" }, { "dropping-particle" : "", "family" : "Vie", "given" : "Gunnhild \u00c5berge", "non-dropping-particle" : "", "parse-names" : false, "suffix" : "" }, { "dropping-particle" : "", "family" : "Cho", "given" : "Yoonsu", "non-dropping-particle" : "", "parse-names" : false, "suffix" : "" }, { "dropping-particle" : "", "family" : "Howe", "given" : "Laura D", "non-dropping-particle" : "", "parse-names" : false, "suffix" : "" }, { "dropping-particle" : "", "family" : "Hughes", "given" : "Amanda", "non-dropping-particle" : "", "parse-names" : false, "suffix" : "" }, { "dropping-particle" : "", "family" : "Boomsma", "given" : "Dorret I", "non-dropping-particle" : "", "parse-names" : false, "suffix" : "" }, { "dropping-particle" : "", "family" : "Havdahl", "given" : "Alexandra", "non-dropping-particle" : "", "parse-names" : false, "suffix" : "" }, { "dropping-particle" : "", "family" : "Hopper", "given" : "John", "non-dropping-particle" : "", "parse-names" : false, "suffix" : "" }, { "dropping-particle" : "", "family" : "Neale", "given" : "Michael", "non-dropping-particle" : "", "parse-names" : false, "suffix" : "" }, { "dropping-particle" : "", "family" : "Nivard", "given" : "Michel G", "non-dropping-particle" : "", "parse-names" : false, "suffix" : "" }, { "dropping-particle" : "", "family" : "Pedersen", "given" : "Nancy L", "non-dropping-particle" : "", "parse-names" : false, "suffix" : "" }, { "dropping-particle" : "", "family" : "Reynolds", "given" : "Chandra A", "non-dropping-particle" : "", "parse-names" : false, "suffix" : "" }, { "dropping-particle" : "", "family" : "Tucker-Drob", "given" : "Elliot M", "non-dropping-particle" : "", "parse-names" : false, "suffix" : "" }, { "dropping-particle" : "", "family" : "Grotzinger", "given" : "Andrew", "non-dropping-particle" : "", "parse-names" : false, "suffix" : "" }, { "dropping-particle" : "", "family" : "Howe", "given" : "Laurence", "non-dropping-particle" : "", "parse-names" : false, "suffix" : "" }, { "dropping-particle" : "", "family" : "Morris", "given" : "Tim", "non-dropping-particle" : "", "parse-names" : false, "suffix" : "" }, { "dropping-particle" : "", "family" : "Li", "given" : "Shuai", "non-dropping-particle" : "", "parse-names" : false, "suffix" : "" }, { "dropping-particle" : "", "family" : "Consortium", "given" : "MR within-family", "non-dropping-particle" : "", "parse-names" : false, "suffix" : "" }, { "dropping-particle" : "", "family" : "Chen", "given" : "Wei-Min", "non-dropping-particle" : "", "parse-names" : false, "suffix" : "" }, { "dropping-particle" : "", "family" : "Bj\u00f8rngaard", "given" : "Johan H\u00e5kon", "non-dropping-particle" : "", "parse-names" : false, "suffix" : "" }, { "dropping-particle" : "", "family" : "Hveem", "given" : "Kristian", "non-dropping-particle" : "", "parse-names" : false, "suffix" : "" }, { "dropping-particle" : "", "family" : "Willer", "given" : "Cristen", "non-dropping-particle" : "", "parse-names" : false, "suffix" : "" }, { "dropping-particle" : "", "family" : "Evans", "given" : "David M", "non-dropping-particle" : "", "parse-names" : false, "suffix" : "" }, { "dropping-particle" : "", "family" : "Kaprio", "given" : "Jaakko", "non-dropping-particle" : "", "parse-names" : false, "suffix" : "" }, { "dropping-particle" : "", "family" : "Smith", "given" : "George Davey", "non-dropping-particle" : "", "parse-names" : false, "suffix" : "" }, { "dropping-particle" : "", "family" : "\u00c5svold", "given" : "Bj\u00f8rn Olav", "non-dropping-particle" : "", "parse-names" : false, "suffix" : "" }, { "dropping-particle" : "", "family" : "Hemani", "given" : "Gibran", "non-dropping-particle" : "", "parse-names" : false, "suffix" : "" }, { "dropping-particle" : "", "family" : "Davies", "given" : "Neil M", "non-dropping-particle" : "", "parse-names" : false, "suffix" : "" } ], "container-title" : "bioRxiv", "id" : "ITEM-1", "issued" : { "date-parts" : [ [ "2019" ] ] }, "page" : "602516", "title" : "Within-family studies for Mendelian randomization: avoiding dynastic, assortative mating, and population stratification biases", "type" : "article-journal" }, "uris" : [ "http://www.mendeley.com/documents/?uuid=8f8f28b9-d742-4be8-82bd-873b1a62674b" ] }, { "id" : "ITEM-2", "itemData" : { "DOI" : "10.1126/science.aan6877", "ISSN" : "10959203", "PMID" : "29371463", "abstract" : "Sequence variants in the parental genomes that are not transmitted to a child (the proband) are often ignored in genetic studies. Here we show that nontransmitted alleles can affect a child through their impacts on the parents and other relatives, a phenomenon we call \"genetic nurture.\" Using results from a meta-analysis of educational attainment, we find that the polygenic score computed for the nontransmitted alleles of 21,637 probands with at least one parent genotyped has an estimated effect on the educational attainment of the proband that is 29.9% (P = 1.6 \u00d7 10-14) of that of the transmitted polygenic score. Genetic nurturing effects of this polygenic score extend to other traits. Paternal and maternal polygenic scores have similar effects on educational attainment, but mothers contribute more than fathers to nutrition- and heath-related traits.", "author" : [ { "dropping-particle" : "", "family" : "Kong", "given" : "Augustine", "non-dropping-particle" : "", "parse-names" : false, "suffix" : "" }, { "dropping-particle" : "", "family" : "Thorleifsson", "given" : "Gudmar", "non-dropping-particle" : "", "parse-names" : false, "suffix" : "" }, { "dropping-particle" : "", "family" : "Frigge", "given" : "Michael L.", "non-dropping-particle" : "", "parse-names" : false, "suffix" : "" }, { "dropping-particle" : "", "family" : "Vilhjalmsson", "given" : "Bjarni J.", "non-dropping-particle" : "", "parse-names" : false, "suffix" : "" }, { "dropping-particle" : "", "family" : "Young", "given" : "Alexander I.", "non-dropping-particle" : "", "parse-names" : false, "suffix" : "" }, { "dropping-particle" : "", "family" : "Thorgeirsson", "given" : "Thorgeir E.", "non-dropping-particle" : "", "parse-names" : false, "suffix" : "" }, { "dropping-particle" : "", "family" : "Benonisdottir", "given" : "Stefania", "non-dropping-particle" : "", "parse-names" : false, "suffix" : "" }, { "dropping-particle" : "", "family" : "Oddsson", "given" : "Asmundur", "non-dropping-particle" : "", "parse-names" : false, "suffix" : "" }, { "dropping-particle" : "V.", "family" : "Halldorsson", "given" : "Bjarni", "non-dropping-particle" : "", "parse-names" : false, "suffix" : "" }, { "dropping-particle" : "", "family" : "Masson", "given" : "Gisli",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"Bjornsdottir", "given" : "Gyda", "non-dropping-particle" : "", "parse-names" : false, "suffix" : "" }, { "dropping-particle" : "", "family" : "Thorsteinsdottir", "given" : "Unnur", "non-dropping-particle" : "", "parse-names" : false, "suffix" : "" }, { "dropping-particle" : "", "family" : "Stefansson", "given" : "Kari", "non-dropping-particle" : "", "parse-names" : false, "suffix" : "" } ], "container-title" : "Science", "id" : "ITEM-2", "issue" : "6374", "issued" : { "date-parts" : [ [ "2018" ] ] }, "page" : "424-428", "title" : "The nature of nurture: Effects of parental genotypes", "type" : "article-journal", "volume" : "359" }, "uris" : [ "http://www.mendeley.com/documents/?uuid=80fbe036-b68c-48f2-9f2c-31a422f5c765" ] } ], "mendeley" : { "formattedCitation" : "[10,11]", "plainTextFormattedCitation" : "[10,11]", "previouslyFormattedCitation" : "[21,22]" }, "properties" : { "noteIndex" : 0 }, "schema" : "https://github.com/citation-style-language/schema/raw/master/csl-citation.json" }</w:instrText>
      </w:r>
      <w:r>
        <w:fldChar w:fldCharType="separate"/>
      </w:r>
      <w:r w:rsidR="004452E9" w:rsidRPr="004452E9">
        <w:rPr>
          <w:noProof/>
        </w:rPr>
        <w:t>[10,11]</w:t>
      </w:r>
      <w:r>
        <w:fldChar w:fldCharType="end"/>
      </w:r>
      <w:bookmarkEnd w:id="2"/>
      <w:r>
        <w:t xml:space="preserve">. To assess whether any effects of BMI on total healthcare costs and QALYs per year are robust to these family-level effects, we performed non-genetic and Mendelian randomization analyses within siblings. For this analysis, we centred the PRS for BMI (for Mendelian randomization analyses) or observed BMI (for multivariable adjusted analyses) within each set of siblings, and repeated the main analysis with these exposures in only the related participants in UK Biobank. The effect estimates are thus controlled for family-level effects, as only the differences in the BMI PRS between siblings examined. Siblings were identified in UK Biobank as per Bycroft et al. </w:t>
      </w:r>
      <w:r>
        <w:fldChar w:fldCharType="begin" w:fldLock="1"/>
      </w:r>
      <w:r w:rsidR="004452E9">
        <w:instrText>ADDIN CSL_CITATION { "citationItems" : [ { "id" : "ITEM-1", "itemData" : { "DOI" : "10.1101/166298", "abstract" : "The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(such as population structure and relatedness)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"McVean", "given" : "Gil", "non-dropping-particle" : "", "parse-names" : false, "suffix" : "" }, { "dropping-particle" : "", "family" : "Leslie", "given" : "Stephen", "non-dropping-particle" : "", "parse-names" : false, "suffix" : "" }, { "dropping-particle" : "", "family" : "Donnelly", "given" : "Peter", "non-dropping-particle" : "", "parse-names" : false, "suffix" : "" }, { "dropping-particle" : "", "family" : "Marchini", "given" : "Jonathan", "non-dropping-particle" : "", "parse-names" : false, "suffix" : "" } ], "container-title" : "bioRxiv", "id" : "ITEM-1", "issued" : { "date-parts" : [ [ "2017" ] ] }, "page" : "166298", "title" : "Genome-wide genetic data on ~500,000 UK Biobank participants", "type" : "article-journal" }, "uris" : [ "http://www.mendeley.com/documents/?uuid=420fe69c-30a0-4610-b92a-9f33676841f4" ] } ], "mendeley" : { "formattedCitation" : "[12]", "plainTextFormattedCitation" : "[12]", "previouslyFormattedCitation" : "[6]" }, "properties" : { "noteIndex" : 0 }, "schema" : "https://github.com/citation-style-language/schema/raw/master/csl-citation.json" }</w:instrText>
      </w:r>
      <w:r>
        <w:fldChar w:fldCharType="separate"/>
      </w:r>
      <w:r w:rsidR="004452E9" w:rsidRPr="004452E9">
        <w:rPr>
          <w:noProof/>
        </w:rPr>
        <w:t>[12]</w:t>
      </w:r>
      <w:r>
        <w:fldChar w:fldCharType="end"/>
      </w:r>
      <w:r>
        <w:t xml:space="preserve"> using kinship coefficients from the KING toolset </w:t>
      </w:r>
      <w:r>
        <w:fldChar w:fldCharType="begin" w:fldLock="1"/>
      </w:r>
      <w:r w:rsidR="004452E9">
        <w:instrText>ADDIN CSL_CITATION { "citationItems" : [ { "id" : "ITEM-1", "itemData" : { "DOI" : "10.1093/bioinformatics/btq559", "ISBN" : "1367-4811 (Electronic)\\r1367-4803 (Linking)", "ISSN" : "13674803", "PMID" : "20926424", "abstract" : "Motivation: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\u00a9 The Author 2010. Published by Oxford University Press. All rights reserved.", "author" : [ { "dropping-particle" : "", "family" : "Manichaikul", "given" : "Ani", "non-dropping-particle" : "", "parse-names" : false, "suffix" : "" }, { "dropping-particle" : "", "family" : "Mychaleckyj", "given" : "Josyf C.", "non-dropping-particle" : "", "parse-names" : false, "suffix" : "" }, { "dropping-particle" : "", "family" : "Rich", "given" : "Stephen S.", "non-dropping-particle" : "", "parse-names" : false, "suffix" : "" }, { "dropping-particle" : "", "family" : "Daly", "given" : "Kathy", "non-dropping-particle" : "", "parse-names" : false, "suffix" : "" }, { "dropping-particle" : "", "family" : "Sale", "given" : "Mich\u00e8le", "non-dropping-particle" : "", "parse-names" : false, "suffix" : "" }, { "dropping-particle" : "", "family" : "Chen", "given" : "Wei Min", "non-dropping-particle" : "", "parse-names" : false, "suffix" : "" } ], "container-title" : "Bioinformatics", "id" : "ITEM-1", "issue" : "22", "issued" : { "date-parts" : [ [ "2010" ] ] }, "page" : "2867-2873", "title" : "Robust relationship inference in genome-wide association studies", "type" : "article-journal", "volume" : "26" }, "uris" : [ "http://www.mendeley.com/documents/?uuid=142145cd-d1be-42fa-98b5-6d1f2e615dae" ] } ], "mendeley" : { "formattedCitation" : "[13]", "plainTextFormattedCitation" : "[13]", "previouslyFormattedCitation" : "[7]" }, "properties" : { "noteIndex" : 0 }, "schema" : "https://github.com/citation-style-language/schema/raw/master/csl-citation.json" }</w:instrText>
      </w:r>
      <w:r>
        <w:fldChar w:fldCharType="separate"/>
      </w:r>
      <w:r w:rsidR="004452E9" w:rsidRPr="004452E9">
        <w:rPr>
          <w:noProof/>
        </w:rPr>
        <w:t>[13]</w:t>
      </w:r>
      <w:r>
        <w:fldChar w:fldCharType="end"/>
      </w:r>
      <w:r>
        <w:t>.</w:t>
      </w:r>
    </w:p>
    <w:p w14:paraId="2C68FE14" w14:textId="77777777" w:rsidR="00A27547" w:rsidRPr="001661E8" w:rsidRDefault="00A27547" w:rsidP="00A27547">
      <w:pPr>
        <w:pStyle w:val="Heading3"/>
      </w:pPr>
      <w:bookmarkStart w:id="3" w:name="_Hlk30578155"/>
      <w:r>
        <w:t xml:space="preserve">f. </w:t>
      </w:r>
      <w:r w:rsidRPr="001661E8">
        <w:t xml:space="preserve">Estimation of Utilities with Prediction </w:t>
      </w:r>
      <w:bookmarkEnd w:id="3"/>
      <w:r>
        <w:t>Uncertainty</w:t>
      </w:r>
    </w:p>
    <w:p w14:paraId="52E80FE5" w14:textId="568F1819" w:rsidR="00A27547" w:rsidRDefault="00A27547" w:rsidP="00A27547">
      <w:r w:rsidRPr="001661E8">
        <w:t>In the main analysis, we assumed the predicted utilities were estimated without error</w:t>
      </w:r>
      <w:r>
        <w:t xml:space="preserve">, i.e. the regression model by Sullivan et al </w:t>
      </w:r>
      <w:r w:rsidRPr="001661E8">
        <w:fldChar w:fldCharType="begin" w:fldLock="1"/>
      </w:r>
      <w:r w:rsidR="004452E9">
        <w:instrText>ADDIN CSL_CITATION { "citationItems" : [ { "id" : "ITEM-1", "itemData" : { "DOI" : "10.1177/0272989X11401031", "ISSN" : "0272989X", "abstract" : "Background. The National Institute for Health and Clinical Excellence (NICE) has issued guidance on cost-effectiveness analyses, suggesting that preference-based health-related quality of life (HRQL) weights or utilities be based on UK community preferences, preferably using the EQ-5D; ideally all analyses would use the same system for deriving HRQL weights, to encourage consistency and comparability across analyses. Development of a catalogue of EQ-5D scores for a range of health conditions based on UK preferences would help achieve many of these goals. Objective. To provide a UK-based catalogue of EQ-5D index scores. Methods. Methods were consistent with the previously published catalogue of EQ-5D scores for the US. Community-based UK preferences were applied to EQ-5D descriptive questionnaire responses in the US-based Medical Expenditure Panel Survey (MEPS). Ordinary least squares (OLS), Tobit, and censored least absolute deviations (CLAD) regression methods were used to estimate the 'marginal disutility' of each condition controlling for covariates. Results. Pooled MEPS files (2000-2003) resulted in 79,522 individuals with complete EQ-5D scores. Marginal disutilities for 135 chronic ICD-9 and 100 CCC codes are provided. Unadjusted descriptive statistics including mean, median, 25th and 75th percentiles are also reported. Conclusion. This research provides community-based EQ-5D index scores for a wide variety of chronic conditions that can be used to estimate QALYs in cost-effectiveness analyses in the UK. Although using EQ-5D questionnaire responses from the US-based MEPS is less than ideal, the estimates approximate HRQL guidelines by NICE and provide an easily accessible\"off-the-shelf\" resource for cost-effectiveness and publichealth applications.", "author" : [ { "dropping-particle" : "", "family" : "Sullivan", "given" : "Patrick W.", "non-dropping-particle" : "", "parse-names" : false, "suffix" : "" }, { "dropping-particle" : "", "family" : "Slejko", "given" : "Julia F.", "non-dropping-particle" : "", "parse-names" : false, "suffix" : "" }, { "dropping-particle" : "", "family" : "Sculpher", "given" : "Mark J.", "non-dropping-particle" : "", "parse-names" : false, "suffix" : "" }, { "dropping-particle" : "", "family" : "Ghushchyan", "given" : "Vahram", "non-dropping-particle" : "", "parse-names" : false, "suffix" : "" } ], "container-title" : "Medical Decision Making", "id" : "ITEM-1", "issue" : "6", "issued" : { "date-parts" : [ [ "2011" ] ] }, "page" : "800-804", "title" : "Catalogue of EQ-5D scores for the United Kingdom", "type" : "article-journal", "volume" : "31" }, "uris" : [ "http://www.mendeley.com/documents/?uuid=b0ea98ee-f87a-4ff4-9a84-e3b16b4908cb" ] } ], "mendeley" : { "formattedCitation" : "[1]", "plainTextFormattedCitation" : "[1]", "previouslyFormattedCitation" : "[12]" }, "properties" : { "noteIndex" : 0 }, "schema" : "https://github.com/citation-style-language/schema/raw/master/csl-citation.json" }</w:instrText>
      </w:r>
      <w:r w:rsidRPr="001661E8">
        <w:fldChar w:fldCharType="separate"/>
      </w:r>
      <w:r w:rsidR="004452E9" w:rsidRPr="004452E9">
        <w:rPr>
          <w:noProof/>
        </w:rPr>
        <w:t>[1]</w:t>
      </w:r>
      <w:r w:rsidRPr="001661E8">
        <w:fldChar w:fldCharType="end"/>
      </w:r>
      <w:r>
        <w:t xml:space="preserve"> had an R</w:t>
      </w:r>
      <w:r>
        <w:rPr>
          <w:vertAlign w:val="superscript"/>
        </w:rPr>
        <w:t>2</w:t>
      </w:r>
      <w:r>
        <w:t xml:space="preserve"> of 1 and was therefore deterministic of health-related quality of life</w:t>
      </w:r>
      <w:r w:rsidRPr="001661E8">
        <w:t xml:space="preserve">. However, there </w:t>
      </w:r>
      <w:r>
        <w:t>was likely</w:t>
      </w:r>
      <w:r w:rsidRPr="001661E8">
        <w:t xml:space="preserve"> prediction error for individuals, which should be considered when analysing</w:t>
      </w:r>
      <w:r>
        <w:t xml:space="preserve"> the</w:t>
      </w:r>
      <w:r w:rsidRPr="001661E8">
        <w:t xml:space="preserve"> predicted outcome</w:t>
      </w:r>
      <w:r>
        <w:t>s</w:t>
      </w:r>
      <w:r w:rsidRPr="001661E8">
        <w:t xml:space="preserve">. </w:t>
      </w:r>
      <w:r>
        <w:t>The Sullivan paper</w:t>
      </w:r>
      <w:r w:rsidRPr="001661E8">
        <w:t xml:space="preserve"> does not give the</w:t>
      </w:r>
      <w:r>
        <w:t xml:space="preserve"> mean square error (MSE) of the regression model, which is</w:t>
      </w:r>
      <w:r w:rsidRPr="001661E8">
        <w:t xml:space="preserve"> required to estimate the standard error</w:t>
      </w:r>
      <w:r>
        <w:t xml:space="preserve"> (SE)</w:t>
      </w:r>
      <w:r w:rsidRPr="001661E8">
        <w:t xml:space="preserve"> of </w:t>
      </w:r>
      <w:r>
        <w:t>an individual’s</w:t>
      </w:r>
      <w:r w:rsidRPr="001661E8">
        <w:t xml:space="preserve"> predicted </w:t>
      </w:r>
      <w:r>
        <w:t xml:space="preserve">health-related quality of life. </w:t>
      </w:r>
    </w:p>
    <w:p w14:paraId="2BB69ABC" w14:textId="77777777" w:rsidR="00A27547" w:rsidRDefault="00A27547" w:rsidP="00A27547">
      <w:r>
        <w:lastRenderedPageBreak/>
        <w:t>The standard error of predicted health-related quality of life for any individual can be estimated using:</w:t>
      </w:r>
    </w:p>
    <w:p w14:paraId="175AF045" w14:textId="77777777" w:rsidR="00A27547" w:rsidRPr="00FA21D3" w:rsidRDefault="00A27547" w:rsidP="00A27547">
      <w:pPr>
        <w:rPr>
          <w:rFonts w:eastAsiaTheme="minorEastAsia"/>
          <w:iCs/>
        </w:rPr>
      </w:pPr>
      <m:oMathPara>
        <m:oMath>
          <m:r>
            <m:rPr>
              <m:sty m:val="p"/>
            </m:rPr>
            <w:rPr>
              <w:rFonts w:ascii="Cambria Math" w:hAnsi="Cambria Math"/>
            </w:rPr>
            <m:t>S</m:t>
          </m:r>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utility</m:t>
                  </m:r>
                </m:e>
                <m:sub>
                  <m:r>
                    <w:rPr>
                      <w:rFonts w:ascii="Cambria Math" w:hAnsi="Cambria Math"/>
                    </w:rPr>
                    <m:t>h</m:t>
                  </m:r>
                </m:sub>
              </m:sSub>
            </m:e>
          </m:d>
          <m:r>
            <w:rPr>
              <w:rFonts w:ascii="Cambria Math" w:hAnsi="Cambria Math"/>
            </w:rPr>
            <m:t>=</m:t>
          </m:r>
          <m:rad>
            <m:radPr>
              <m:degHide m:val="1"/>
              <m:ctrlPr>
                <w:rPr>
                  <w:rFonts w:ascii="Cambria Math" w:hAnsi="Cambria Math"/>
                  <w:iCs/>
                </w:rPr>
              </m:ctrlPr>
            </m:radPr>
            <m:deg/>
            <m:e>
              <m:r>
                <m:rPr>
                  <m:sty m:val="p"/>
                </m:rPr>
                <w:rPr>
                  <w:rFonts w:ascii="Cambria Math" w:hAnsi="Cambria Math"/>
                </w:rPr>
                <m:t>MSE</m:t>
              </m:r>
              <m:d>
                <m:dPr>
                  <m:ctrlPr>
                    <w:rPr>
                      <w:rFonts w:ascii="Cambria Math" w:hAnsi="Cambria Math"/>
                      <w:i/>
                    </w:rPr>
                  </m:ctrlPr>
                </m:dPr>
                <m:e>
                  <m:r>
                    <w:rPr>
                      <w:rFonts w:ascii="Cambria Math" w:hAnsi="Cambria Math"/>
                    </w:rPr>
                    <m:t>1+</m:t>
                  </m:r>
                  <m:sSubSup>
                    <m:sSubSupPr>
                      <m:ctrlPr>
                        <w:rPr>
                          <w:rStyle w:val="mjx-char"/>
                          <w:rFonts w:ascii="Cambria Math" w:hAnsi="Cambria Math"/>
                          <w:color w:val="000000"/>
                          <w:sz w:val="23"/>
                          <w:szCs w:val="23"/>
                        </w:rPr>
                      </m:ctrlPr>
                    </m:sSubSup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m:t>
                      </m:r>
                    </m:sub>
                    <m:sup>
                      <m:r>
                        <w:rPr>
                          <w:rStyle w:val="mjx-char"/>
                          <w:rFonts w:ascii="Cambria Math" w:hAnsi="Cambria Math"/>
                          <w:color w:val="000000"/>
                          <w:sz w:val="23"/>
                          <w:szCs w:val="23"/>
                        </w:rPr>
                        <m:t>T</m:t>
                      </m:r>
                    </m:sup>
                  </m:sSubSup>
                  <m:sSup>
                    <m:sSupPr>
                      <m:ctrlPr>
                        <w:rPr>
                          <w:rStyle w:val="mjx-char"/>
                          <w:rFonts w:ascii="Cambria Math" w:hAnsi="Cambria Math"/>
                          <w:color w:val="000000"/>
                          <w:sz w:val="23"/>
                          <w:szCs w:val="23"/>
                        </w:rPr>
                      </m:ctrlPr>
                    </m:sSupPr>
                    <m:e>
                      <m:d>
                        <m:dPr>
                          <m:ctrlPr>
                            <w:rPr>
                              <w:rStyle w:val="mjx-char"/>
                              <w:rFonts w:ascii="Cambria Math" w:hAnsi="Cambria Math"/>
                              <w:color w:val="000000"/>
                              <w:sz w:val="23"/>
                              <w:szCs w:val="23"/>
                            </w:rPr>
                          </m:ctrlPr>
                        </m:dPr>
                        <m:e>
                          <m:sSup>
                            <m:sSupPr>
                              <m:ctrlPr>
                                <w:rPr>
                                  <w:rStyle w:val="mjx-char"/>
                                  <w:rFonts w:ascii="Cambria Math" w:hAnsi="Cambria Math"/>
                                  <w:color w:val="000000"/>
                                  <w:sz w:val="23"/>
                                  <w:szCs w:val="23"/>
                                </w:rPr>
                              </m:ctrlPr>
                            </m:sSupPr>
                            <m:e>
                              <m:r>
                                <m:rPr>
                                  <m:sty m:val="p"/>
                                </m:rPr>
                                <w:rPr>
                                  <w:rStyle w:val="mjx-char"/>
                                  <w:rFonts w:ascii="Cambria Math" w:hAnsi="Cambria Math"/>
                                  <w:color w:val="000000"/>
                                  <w:sz w:val="23"/>
                                  <w:szCs w:val="23"/>
                                </w:rPr>
                                <m:t>X</m:t>
                              </m:r>
                            </m:e>
                            <m:sup>
                              <m:r>
                                <w:rPr>
                                  <w:rStyle w:val="mjx-char"/>
                                  <w:rFonts w:ascii="Cambria Math" w:hAnsi="Cambria Math"/>
                                  <w:color w:val="000000"/>
                                  <w:sz w:val="23"/>
                                  <w:szCs w:val="23"/>
                                </w:rPr>
                                <m:t>T</m:t>
                              </m:r>
                            </m:sup>
                          </m:sSup>
                          <m:r>
                            <m:rPr>
                              <m:sty m:val="p"/>
                            </m:rPr>
                            <w:rPr>
                              <w:rStyle w:val="mjx-char"/>
                              <w:rFonts w:ascii="Cambria Math" w:hAnsi="Cambria Math"/>
                              <w:color w:val="000000"/>
                              <w:sz w:val="23"/>
                              <w:szCs w:val="23"/>
                            </w:rPr>
                            <m:t>X</m:t>
                          </m:r>
                        </m:e>
                      </m:d>
                    </m:e>
                    <m:sup>
                      <m:r>
                        <w:rPr>
                          <w:rStyle w:val="mjx-char"/>
                          <w:rFonts w:ascii="Cambria Math" w:hAnsi="Cambria Math"/>
                          <w:color w:val="000000"/>
                          <w:sz w:val="23"/>
                          <w:szCs w:val="23"/>
                        </w:rPr>
                        <m:t>-1</m:t>
                      </m:r>
                    </m:sup>
                  </m:sSup>
                  <m:sSub>
                    <m:sSubPr>
                      <m:ctrlPr>
                        <w:rPr>
                          <w:rStyle w:val="mjx-char"/>
                          <w:rFonts w:ascii="Cambria Math" w:hAnsi="Cambria Math"/>
                          <w:color w:val="000000"/>
                          <w:sz w:val="23"/>
                          <w:szCs w:val="23"/>
                        </w:rPr>
                      </m:ctrlPr>
                    </m:sSub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m:t>
                      </m:r>
                    </m:sub>
                  </m:sSub>
                </m:e>
              </m:d>
            </m:e>
          </m:rad>
        </m:oMath>
      </m:oMathPara>
    </w:p>
    <w:p w14:paraId="16C055F8" w14:textId="77777777" w:rsidR="00A27547" w:rsidRDefault="004452E9" w:rsidP="00A27547">
      <m:oMathPara>
        <m:oMath>
          <m:sSub>
            <m:sSubPr>
              <m:ctrlPr>
                <w:rPr>
                  <w:rStyle w:val="mjx-char"/>
                  <w:rFonts w:ascii="Cambria Math" w:hAnsi="Cambria Math"/>
                  <w:color w:val="000000"/>
                  <w:sz w:val="23"/>
                  <w:szCs w:val="23"/>
                </w:rPr>
              </m:ctrlPr>
            </m:sSub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m:t>
              </m:r>
            </m:sub>
          </m:sSub>
          <m:r>
            <w:rPr>
              <w:rStyle w:val="mjx-char"/>
              <w:rFonts w:ascii="Cambria Math" w:hAnsi="Cambria Math"/>
              <w:color w:val="000000"/>
              <w:sz w:val="23"/>
              <w:szCs w:val="23"/>
            </w:rPr>
            <m:t>=</m:t>
          </m:r>
          <m:sSup>
            <m:sSupPr>
              <m:ctrlPr>
                <w:rPr>
                  <w:rStyle w:val="mjx-char"/>
                  <w:rFonts w:ascii="Cambria Math" w:hAnsi="Cambria Math"/>
                  <w:color w:val="000000"/>
                  <w:sz w:val="23"/>
                  <w:szCs w:val="23"/>
                </w:rPr>
              </m:ctrlPr>
            </m:sSupPr>
            <m:e>
              <m:d>
                <m:dPr>
                  <m:ctrlPr>
                    <w:rPr>
                      <w:rStyle w:val="mjx-char"/>
                      <w:rFonts w:ascii="Cambria Math" w:hAnsi="Cambria Math"/>
                      <w:color w:val="000000"/>
                      <w:sz w:val="23"/>
                      <w:szCs w:val="23"/>
                    </w:rPr>
                  </m:ctrlPr>
                </m:dPr>
                <m:e>
                  <m:r>
                    <w:rPr>
                      <w:rStyle w:val="mjx-char"/>
                      <w:rFonts w:ascii="Cambria Math" w:hAnsi="Cambria Math"/>
                      <w:color w:val="000000"/>
                      <w:sz w:val="23"/>
                      <w:szCs w:val="23"/>
                    </w:rPr>
                    <m:t>1,</m:t>
                  </m:r>
                  <m:sSub>
                    <m:sSubPr>
                      <m:ctrlPr>
                        <w:rPr>
                          <w:rStyle w:val="mjx-char"/>
                          <w:rFonts w:ascii="Cambria Math" w:hAnsi="Cambria Math"/>
                          <w:color w:val="000000"/>
                          <w:sz w:val="23"/>
                          <w:szCs w:val="23"/>
                        </w:rPr>
                      </m:ctrlPr>
                    </m:sSub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h,1</m:t>
                      </m:r>
                    </m:sub>
                  </m:sSub>
                  <m:r>
                    <w:rPr>
                      <w:rStyle w:val="mjx-char"/>
                      <w:rFonts w:ascii="Cambria Math" w:hAnsi="Cambria Math"/>
                      <w:color w:val="000000"/>
                      <w:sz w:val="23"/>
                      <w:szCs w:val="23"/>
                    </w:rPr>
                    <m:t>,</m:t>
                  </m:r>
                  <m:sSub>
                    <m:sSubPr>
                      <m:ctrlPr>
                        <w:rPr>
                          <w:rStyle w:val="mjx-char"/>
                          <w:rFonts w:ascii="Cambria Math" w:hAnsi="Cambria Math"/>
                          <w:color w:val="000000"/>
                          <w:sz w:val="23"/>
                          <w:szCs w:val="23"/>
                        </w:rPr>
                      </m:ctrlPr>
                    </m:sSub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h,2</m:t>
                      </m:r>
                    </m:sub>
                  </m:sSub>
                  <m:r>
                    <w:rPr>
                      <w:rStyle w:val="mjx-char"/>
                      <w:rFonts w:ascii="Cambria Math" w:hAnsi="Cambria Math"/>
                      <w:color w:val="000000"/>
                      <w:sz w:val="23"/>
                      <w:szCs w:val="23"/>
                    </w:rPr>
                    <m:t>,…,</m:t>
                  </m:r>
                  <m:sSub>
                    <m:sSubPr>
                      <m:ctrlPr>
                        <w:rPr>
                          <w:rStyle w:val="mjx-char"/>
                          <w:rFonts w:ascii="Cambria Math" w:hAnsi="Cambria Math"/>
                          <w:color w:val="000000"/>
                          <w:sz w:val="23"/>
                          <w:szCs w:val="23"/>
                        </w:rPr>
                      </m:ctrlPr>
                    </m:sSub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h,k</m:t>
                      </m:r>
                    </m:sub>
                  </m:sSub>
                </m:e>
              </m:d>
            </m:e>
            <m:sup>
              <m:r>
                <m:rPr>
                  <m:sty m:val="p"/>
                </m:rPr>
                <w:rPr>
                  <w:rStyle w:val="mjx-char"/>
                  <w:rFonts w:ascii="Cambria Math" w:hAnsi="Cambria Math"/>
                  <w:color w:val="000000"/>
                  <w:sz w:val="23"/>
                  <w:szCs w:val="23"/>
                </w:rPr>
                <m:t>T</m:t>
              </m:r>
            </m:sup>
          </m:sSup>
        </m:oMath>
      </m:oMathPara>
    </w:p>
    <w:p w14:paraId="6BAEC8D5" w14:textId="77777777" w:rsidR="00A27547" w:rsidRDefault="00A27547" w:rsidP="00A27547">
      <w:pPr>
        <w:rPr>
          <w:rStyle w:val="mjx-char"/>
          <w:rFonts w:eastAsiaTheme="minorEastAsia"/>
          <w:color w:val="000000"/>
          <w:sz w:val="23"/>
          <w:szCs w:val="23"/>
        </w:rPr>
      </w:pPr>
      <w:r>
        <w:t xml:space="preserve">where </w:t>
      </w:r>
      <m:oMath>
        <m:r>
          <m:rPr>
            <m:sty m:val="p"/>
          </m:rPr>
          <w:rPr>
            <w:rFonts w:ascii="Cambria Math" w:hAnsi="Cambria Math"/>
          </w:rPr>
          <m:t>S</m:t>
        </m:r>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utility</m:t>
                </m:r>
              </m:e>
              <m:sub>
                <m:r>
                  <w:rPr>
                    <w:rFonts w:ascii="Cambria Math" w:hAnsi="Cambria Math"/>
                  </w:rPr>
                  <m:t>h</m:t>
                </m:r>
              </m:sub>
            </m:sSub>
          </m:e>
        </m:d>
      </m:oMath>
      <w:r>
        <w:rPr>
          <w:rFonts w:eastAsiaTheme="minorEastAsia"/>
          <w:iCs/>
        </w:rPr>
        <w:t xml:space="preserve"> is the estimate of the standard error of the </w:t>
      </w:r>
      <w:r>
        <w:t xml:space="preserve">health-related quality of life </w:t>
      </w:r>
      <w:r>
        <w:rPr>
          <w:rFonts w:eastAsiaTheme="minorEastAsia"/>
          <w:iCs/>
        </w:rPr>
        <w:t xml:space="preserve">for participant </w:t>
      </w:r>
      <m:oMath>
        <m:r>
          <w:rPr>
            <w:rFonts w:ascii="Cambria Math" w:hAnsi="Cambria Math"/>
          </w:rPr>
          <m:t>h</m:t>
        </m:r>
      </m:oMath>
      <w:r>
        <w:rPr>
          <w:rFonts w:eastAsiaTheme="minorEastAsia"/>
          <w:iCs/>
        </w:rPr>
        <w:t xml:space="preserve">, </w:t>
      </w:r>
      <m:oMath>
        <m:r>
          <m:rPr>
            <m:sty m:val="p"/>
          </m:rPr>
          <w:rPr>
            <w:rFonts w:ascii="Cambria Math" w:hAnsi="Cambria Math"/>
          </w:rPr>
          <m:t>MSE</m:t>
        </m:r>
      </m:oMath>
      <w:r>
        <w:rPr>
          <w:rFonts w:eastAsiaTheme="minorEastAsia"/>
          <w:iCs/>
        </w:rPr>
        <w:t xml:space="preserve"> is the mean square error of the initial regression model (equivalent to the variance of </w:t>
      </w:r>
      <w:r>
        <w:t xml:space="preserve">health-related quality of life </w:t>
      </w:r>
      <w:r>
        <w:rPr>
          <w:rFonts w:eastAsiaTheme="minorEastAsia"/>
          <w:iCs/>
        </w:rPr>
        <w:t>when R</w:t>
      </w:r>
      <w:r>
        <w:rPr>
          <w:rFonts w:eastAsiaTheme="minorEastAsia"/>
          <w:iCs/>
          <w:vertAlign w:val="superscript"/>
        </w:rPr>
        <w:t>2</w:t>
      </w:r>
      <w:r>
        <w:rPr>
          <w:rFonts w:eastAsiaTheme="minorEastAsia"/>
          <w:iCs/>
        </w:rPr>
        <w:t xml:space="preserve"> is 0) and </w:t>
      </w:r>
      <m:oMath>
        <m:r>
          <m:rPr>
            <m:sty m:val="p"/>
          </m:rPr>
          <w:rPr>
            <w:rStyle w:val="mjx-char"/>
            <w:rFonts w:ascii="Cambria Math" w:hAnsi="Cambria Math"/>
            <w:color w:val="000000"/>
            <w:sz w:val="23"/>
            <w:szCs w:val="23"/>
          </w:rPr>
          <m:t>X</m:t>
        </m:r>
      </m:oMath>
      <w:r>
        <w:rPr>
          <w:rStyle w:val="mjx-char"/>
          <w:rFonts w:eastAsiaTheme="minorEastAsia"/>
          <w:color w:val="000000"/>
          <w:sz w:val="23"/>
          <w:szCs w:val="23"/>
        </w:rPr>
        <w:t xml:space="preserve"> is a column vector of predictor variables in the regression model. </w:t>
      </w:r>
    </w:p>
    <w:p w14:paraId="2B5B86FF" w14:textId="77777777" w:rsidR="00A27547" w:rsidRDefault="004452E9" w:rsidP="00A27547">
      <w:pPr>
        <w:rPr>
          <w:rFonts w:ascii="Calibri" w:eastAsia="Calibri" w:hAnsi="Calibri" w:cs="Times New Roman"/>
          <w:iCs/>
        </w:rPr>
      </w:pPr>
      <m:oMath>
        <m:sSubSup>
          <m:sSubSupPr>
            <m:ctrlPr>
              <w:rPr>
                <w:rStyle w:val="mjx-char"/>
                <w:rFonts w:ascii="Cambria Math" w:hAnsi="Cambria Math"/>
                <w:color w:val="000000"/>
                <w:sz w:val="23"/>
                <w:szCs w:val="23"/>
              </w:rPr>
            </m:ctrlPr>
          </m:sSubSup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m:t>
            </m:r>
          </m:sub>
          <m:sup>
            <m:r>
              <w:rPr>
                <w:rStyle w:val="mjx-char"/>
                <w:rFonts w:ascii="Cambria Math" w:hAnsi="Cambria Math"/>
                <w:color w:val="000000"/>
                <w:sz w:val="23"/>
                <w:szCs w:val="23"/>
              </w:rPr>
              <m:t>T</m:t>
            </m:r>
          </m:sup>
        </m:sSubSup>
        <m:sSup>
          <m:sSupPr>
            <m:ctrlPr>
              <w:rPr>
                <w:rStyle w:val="mjx-char"/>
                <w:rFonts w:ascii="Cambria Math" w:hAnsi="Cambria Math"/>
                <w:color w:val="000000"/>
                <w:sz w:val="23"/>
                <w:szCs w:val="23"/>
              </w:rPr>
            </m:ctrlPr>
          </m:sSupPr>
          <m:e>
            <m:d>
              <m:dPr>
                <m:ctrlPr>
                  <w:rPr>
                    <w:rStyle w:val="mjx-char"/>
                    <w:rFonts w:ascii="Cambria Math" w:hAnsi="Cambria Math"/>
                    <w:color w:val="000000"/>
                    <w:sz w:val="23"/>
                    <w:szCs w:val="23"/>
                  </w:rPr>
                </m:ctrlPr>
              </m:dPr>
              <m:e>
                <m:sSup>
                  <m:sSupPr>
                    <m:ctrlPr>
                      <w:rPr>
                        <w:rStyle w:val="mjx-char"/>
                        <w:rFonts w:ascii="Cambria Math" w:hAnsi="Cambria Math"/>
                        <w:color w:val="000000"/>
                        <w:sz w:val="23"/>
                        <w:szCs w:val="23"/>
                      </w:rPr>
                    </m:ctrlPr>
                  </m:sSupPr>
                  <m:e>
                    <m:r>
                      <m:rPr>
                        <m:sty m:val="p"/>
                      </m:rPr>
                      <w:rPr>
                        <w:rStyle w:val="mjx-char"/>
                        <w:rFonts w:ascii="Cambria Math" w:hAnsi="Cambria Math"/>
                        <w:color w:val="000000"/>
                        <w:sz w:val="23"/>
                        <w:szCs w:val="23"/>
                      </w:rPr>
                      <m:t>X</m:t>
                    </m:r>
                  </m:e>
                  <m:sup>
                    <m:r>
                      <w:rPr>
                        <w:rStyle w:val="mjx-char"/>
                        <w:rFonts w:ascii="Cambria Math" w:hAnsi="Cambria Math"/>
                        <w:color w:val="000000"/>
                        <w:sz w:val="23"/>
                        <w:szCs w:val="23"/>
                      </w:rPr>
                      <m:t>T</m:t>
                    </m:r>
                  </m:sup>
                </m:sSup>
                <m:r>
                  <m:rPr>
                    <m:sty m:val="p"/>
                  </m:rPr>
                  <w:rPr>
                    <w:rStyle w:val="mjx-char"/>
                    <w:rFonts w:ascii="Cambria Math" w:hAnsi="Cambria Math"/>
                    <w:color w:val="000000"/>
                    <w:sz w:val="23"/>
                    <w:szCs w:val="23"/>
                  </w:rPr>
                  <m:t>X</m:t>
                </m:r>
              </m:e>
            </m:d>
          </m:e>
          <m:sup>
            <m:r>
              <w:rPr>
                <w:rStyle w:val="mjx-char"/>
                <w:rFonts w:ascii="Cambria Math" w:hAnsi="Cambria Math"/>
                <w:color w:val="000000"/>
                <w:sz w:val="23"/>
                <w:szCs w:val="23"/>
              </w:rPr>
              <m:t>-1</m:t>
            </m:r>
          </m:sup>
        </m:sSup>
        <m:sSub>
          <m:sSubPr>
            <m:ctrlPr>
              <w:rPr>
                <w:rStyle w:val="mjx-char"/>
                <w:rFonts w:ascii="Cambria Math" w:hAnsi="Cambria Math"/>
                <w:color w:val="000000"/>
                <w:sz w:val="23"/>
                <w:szCs w:val="23"/>
              </w:rPr>
            </m:ctrlPr>
          </m:sSubPr>
          <m:e>
            <m:r>
              <m:rPr>
                <m:sty m:val="p"/>
              </m:rPr>
              <w:rPr>
                <w:rStyle w:val="mjx-char"/>
                <w:rFonts w:ascii="Cambria Math" w:hAnsi="Cambria Math"/>
                <w:color w:val="000000"/>
                <w:sz w:val="23"/>
                <w:szCs w:val="23"/>
              </w:rPr>
              <m:t>X</m:t>
            </m:r>
          </m:e>
          <m:sub>
            <m:r>
              <w:rPr>
                <w:rStyle w:val="mjx-char"/>
                <w:rFonts w:ascii="Cambria Math" w:hAnsi="Cambria Math"/>
                <w:color w:val="000000"/>
                <w:sz w:val="23"/>
                <w:szCs w:val="23"/>
              </w:rPr>
              <m:t>h</m:t>
            </m:r>
          </m:sub>
        </m:sSub>
      </m:oMath>
      <w:r w:rsidR="00A27547">
        <w:rPr>
          <w:rStyle w:val="mjx-char"/>
          <w:rFonts w:eastAsiaTheme="minorEastAsia"/>
          <w:color w:val="000000"/>
          <w:sz w:val="23"/>
          <w:szCs w:val="23"/>
        </w:rPr>
        <w:t xml:space="preserve"> is the variance of a mean response, which falls to 0 as N increases. As such, when</w:t>
      </w:r>
      <w:r w:rsidR="00A27547">
        <w:rPr>
          <w:rFonts w:ascii="Calibri" w:eastAsia="Calibri" w:hAnsi="Calibri" w:cs="Times New Roman"/>
          <w:iCs/>
        </w:rPr>
        <w:t xml:space="preserve"> N is large:</w:t>
      </w:r>
    </w:p>
    <w:p w14:paraId="7156A29A" w14:textId="77777777" w:rsidR="00A27547" w:rsidRPr="005F6656" w:rsidRDefault="004452E9" w:rsidP="00A27547">
      <w:pPr>
        <w:rPr>
          <w:rStyle w:val="mjx-char"/>
          <w:rFonts w:ascii="Calibri" w:eastAsia="Calibri" w:hAnsi="Calibri" w:cs="Times New Roman"/>
          <w:color w:val="000000"/>
          <w:sz w:val="23"/>
          <w:szCs w:val="23"/>
          <w:lang w:val="de-DE"/>
        </w:rPr>
      </w:pPr>
      <m:oMathPara>
        <m:oMath>
          <m:sSubSup>
            <m:sSubSupPr>
              <m:ctrlPr>
                <w:rPr>
                  <w:rStyle w:val="mjx-char"/>
                  <w:rFonts w:ascii="Cambria Math" w:hAnsi="Cambria Math"/>
                  <w:color w:val="000000"/>
                  <w:sz w:val="23"/>
                  <w:szCs w:val="23"/>
                </w:rPr>
              </m:ctrlPr>
            </m:sSubSupPr>
            <m:e>
              <m:r>
                <m:rPr>
                  <m:sty m:val="p"/>
                </m:rPr>
                <w:rPr>
                  <w:rStyle w:val="mjx-char"/>
                  <w:rFonts w:ascii="Cambria Math" w:hAnsi="Cambria Math"/>
                  <w:color w:val="000000"/>
                  <w:sz w:val="23"/>
                  <w:szCs w:val="23"/>
                  <w:lang w:val="de-DE"/>
                </w:rPr>
                <m:t>X</m:t>
              </m:r>
            </m:e>
            <m:sub>
              <m:r>
                <w:rPr>
                  <w:rStyle w:val="mjx-char"/>
                  <w:rFonts w:ascii="Cambria Math" w:hAnsi="Cambria Math"/>
                  <w:color w:val="000000"/>
                  <w:sz w:val="23"/>
                  <w:szCs w:val="23"/>
                  <w:lang w:val="de-DE"/>
                </w:rPr>
                <m:t>h</m:t>
              </m:r>
            </m:sub>
            <m:sup>
              <m:r>
                <w:rPr>
                  <w:rStyle w:val="mjx-char"/>
                  <w:rFonts w:ascii="Cambria Math" w:hAnsi="Cambria Math"/>
                  <w:color w:val="000000"/>
                  <w:sz w:val="23"/>
                  <w:szCs w:val="23"/>
                </w:rPr>
                <m:t>T</m:t>
              </m:r>
            </m:sup>
          </m:sSubSup>
          <m:sSup>
            <m:sSupPr>
              <m:ctrlPr>
                <w:rPr>
                  <w:rStyle w:val="mjx-char"/>
                  <w:rFonts w:ascii="Cambria Math" w:hAnsi="Cambria Math"/>
                  <w:color w:val="000000"/>
                  <w:sz w:val="23"/>
                  <w:szCs w:val="23"/>
                </w:rPr>
              </m:ctrlPr>
            </m:sSupPr>
            <m:e>
              <m:d>
                <m:dPr>
                  <m:ctrlPr>
                    <w:rPr>
                      <w:rStyle w:val="mjx-char"/>
                      <w:rFonts w:ascii="Cambria Math" w:hAnsi="Cambria Math"/>
                      <w:color w:val="000000"/>
                      <w:sz w:val="23"/>
                      <w:szCs w:val="23"/>
                    </w:rPr>
                  </m:ctrlPr>
                </m:dPr>
                <m:e>
                  <m:sSup>
                    <m:sSupPr>
                      <m:ctrlPr>
                        <w:rPr>
                          <w:rStyle w:val="mjx-char"/>
                          <w:rFonts w:ascii="Cambria Math" w:hAnsi="Cambria Math"/>
                          <w:color w:val="000000"/>
                          <w:sz w:val="23"/>
                          <w:szCs w:val="23"/>
                        </w:rPr>
                      </m:ctrlPr>
                    </m:sSupPr>
                    <m:e>
                      <m:r>
                        <m:rPr>
                          <m:sty m:val="p"/>
                        </m:rPr>
                        <w:rPr>
                          <w:rStyle w:val="mjx-char"/>
                          <w:rFonts w:ascii="Cambria Math" w:hAnsi="Cambria Math"/>
                          <w:color w:val="000000"/>
                          <w:sz w:val="23"/>
                          <w:szCs w:val="23"/>
                          <w:lang w:val="de-DE"/>
                        </w:rPr>
                        <m:t>X</m:t>
                      </m:r>
                    </m:e>
                    <m:sup>
                      <m:r>
                        <w:rPr>
                          <w:rStyle w:val="mjx-char"/>
                          <w:rFonts w:ascii="Cambria Math" w:hAnsi="Cambria Math"/>
                          <w:color w:val="000000"/>
                          <w:sz w:val="23"/>
                          <w:szCs w:val="23"/>
                        </w:rPr>
                        <m:t>T</m:t>
                      </m:r>
                    </m:sup>
                  </m:sSup>
                  <m:r>
                    <m:rPr>
                      <m:sty m:val="p"/>
                    </m:rPr>
                    <w:rPr>
                      <w:rStyle w:val="mjx-char"/>
                      <w:rFonts w:ascii="Cambria Math" w:hAnsi="Cambria Math"/>
                      <w:color w:val="000000"/>
                      <w:sz w:val="23"/>
                      <w:szCs w:val="23"/>
                      <w:lang w:val="de-DE"/>
                    </w:rPr>
                    <m:t>X</m:t>
                  </m:r>
                </m:e>
              </m:d>
            </m:e>
            <m:sup>
              <m:r>
                <w:rPr>
                  <w:rStyle w:val="mjx-char"/>
                  <w:rFonts w:ascii="Cambria Math" w:hAnsi="Cambria Math"/>
                  <w:color w:val="000000"/>
                  <w:sz w:val="23"/>
                  <w:szCs w:val="23"/>
                  <w:lang w:val="de-DE"/>
                </w:rPr>
                <m:t>-1</m:t>
              </m:r>
            </m:sup>
          </m:sSup>
          <m:sSub>
            <m:sSubPr>
              <m:ctrlPr>
                <w:rPr>
                  <w:rStyle w:val="mjx-char"/>
                  <w:rFonts w:ascii="Cambria Math" w:hAnsi="Cambria Math"/>
                  <w:color w:val="000000"/>
                  <w:sz w:val="23"/>
                  <w:szCs w:val="23"/>
                </w:rPr>
              </m:ctrlPr>
            </m:sSubPr>
            <m:e>
              <m:r>
                <m:rPr>
                  <m:sty m:val="p"/>
                </m:rPr>
                <w:rPr>
                  <w:rStyle w:val="mjx-char"/>
                  <w:rFonts w:ascii="Cambria Math" w:hAnsi="Cambria Math"/>
                  <w:color w:val="000000"/>
                  <w:sz w:val="23"/>
                  <w:szCs w:val="23"/>
                  <w:lang w:val="de-DE"/>
                </w:rPr>
                <m:t>X</m:t>
              </m:r>
            </m:e>
            <m:sub>
              <m:r>
                <w:rPr>
                  <w:rStyle w:val="mjx-char"/>
                  <w:rFonts w:ascii="Cambria Math" w:hAnsi="Cambria Math"/>
                  <w:color w:val="000000"/>
                  <w:sz w:val="23"/>
                  <w:szCs w:val="23"/>
                  <w:lang w:val="de-DE"/>
                </w:rPr>
                <m:t>h</m:t>
              </m:r>
            </m:sub>
          </m:sSub>
          <m:r>
            <w:rPr>
              <w:rStyle w:val="mjx-char"/>
              <w:rFonts w:ascii="Cambria Math" w:hAnsi="Cambria Math"/>
              <w:color w:val="000000"/>
              <w:sz w:val="23"/>
              <w:szCs w:val="23"/>
              <w:lang w:val="de-DE"/>
            </w:rPr>
            <m:t>≅0</m:t>
          </m:r>
        </m:oMath>
      </m:oMathPara>
    </w:p>
    <w:p w14:paraId="23A8D01A" w14:textId="77777777" w:rsidR="00A27547" w:rsidRPr="005F6656" w:rsidRDefault="00A27547" w:rsidP="00A27547">
      <w:r>
        <w:rPr>
          <w:rStyle w:val="mjx-char"/>
          <w:rFonts w:ascii="Calibri" w:eastAsia="Calibri" w:hAnsi="Calibri" w:cs="Times New Roman"/>
          <w:color w:val="000000"/>
          <w:sz w:val="23"/>
          <w:szCs w:val="23"/>
        </w:rPr>
        <w:t>And therefore, when N is large:</w:t>
      </w:r>
    </w:p>
    <w:p w14:paraId="1E444D7D" w14:textId="77777777" w:rsidR="00A27547" w:rsidRDefault="00A27547" w:rsidP="00A27547">
      <m:oMathPara>
        <m:oMath>
          <m:r>
            <m:rPr>
              <m:sty m:val="p"/>
            </m:rPr>
            <w:rPr>
              <w:rFonts w:ascii="Cambria Math" w:hAnsi="Cambria Math"/>
            </w:rPr>
            <m:t>S</m:t>
          </m:r>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utility</m:t>
                  </m:r>
                </m:e>
                <m:sub>
                  <m:r>
                    <w:rPr>
                      <w:rFonts w:ascii="Cambria Math" w:hAnsi="Cambria Math"/>
                    </w:rPr>
                    <m:t>h</m:t>
                  </m:r>
                </m:sub>
              </m:sSub>
            </m:e>
          </m:d>
          <m:r>
            <w:rPr>
              <w:rFonts w:ascii="Cambria Math" w:hAnsi="Cambria Math"/>
            </w:rPr>
            <m:t>≅</m:t>
          </m:r>
          <m:rad>
            <m:radPr>
              <m:degHide m:val="1"/>
              <m:ctrlPr>
                <w:rPr>
                  <w:rFonts w:ascii="Cambria Math" w:hAnsi="Cambria Math"/>
                  <w:iCs/>
                </w:rPr>
              </m:ctrlPr>
            </m:radPr>
            <m:deg/>
            <m:e>
              <m:r>
                <m:rPr>
                  <m:sty m:val="p"/>
                </m:rPr>
                <w:rPr>
                  <w:rFonts w:ascii="Cambria Math" w:hAnsi="Cambria Math"/>
                </w:rPr>
                <m:t>MSE</m:t>
              </m:r>
            </m:e>
          </m:rad>
        </m:oMath>
      </m:oMathPara>
    </w:p>
    <w:p w14:paraId="3D5D784C" w14:textId="77777777" w:rsidR="00A27547" w:rsidRPr="005F6656" w:rsidRDefault="00A27547" w:rsidP="00A27547">
      <w:r>
        <w:t>Therefore, when the R</w:t>
      </w:r>
      <w:r>
        <w:rPr>
          <w:vertAlign w:val="superscript"/>
        </w:rPr>
        <w:t>2</w:t>
      </w:r>
      <w:r>
        <w:t xml:space="preserve"> of a regression model is 0, the MSE is equivalent to the variance of the outcome.</w:t>
      </w:r>
      <w:r w:rsidRPr="005F6656">
        <w:t xml:space="preserve"> </w:t>
      </w:r>
      <w:r>
        <w:t>As R</w:t>
      </w:r>
      <w:r>
        <w:rPr>
          <w:vertAlign w:val="superscript"/>
        </w:rPr>
        <w:t>2</w:t>
      </w:r>
      <w:r>
        <w:t xml:space="preserve"> increases, the MSE decreases proportionately, i.e. when R</w:t>
      </w:r>
      <w:r>
        <w:rPr>
          <w:vertAlign w:val="superscript"/>
        </w:rPr>
        <w:t>2</w:t>
      </w:r>
      <w:r>
        <w:t xml:space="preserve"> is 0.25, the MSE decreases by 25%. We estimated the SE of predicted health-related quality of life at 4 different R</w:t>
      </w:r>
      <w:r>
        <w:rPr>
          <w:vertAlign w:val="superscript"/>
        </w:rPr>
        <w:t>2</w:t>
      </w:r>
      <w:r>
        <w:t xml:space="preserve"> values: 0%, 25%, 50% and 75%. The main analysis assumes that the R</w:t>
      </w:r>
      <w:r>
        <w:rPr>
          <w:vertAlign w:val="superscript"/>
        </w:rPr>
        <w:t>2</w:t>
      </w:r>
      <w:r>
        <w:t xml:space="preserve"> value of the initial regression was 100%.</w:t>
      </w:r>
    </w:p>
    <w:p w14:paraId="45DCC4D0" w14:textId="77777777" w:rsidR="00A27547" w:rsidRPr="005C559B" w:rsidRDefault="00A27547" w:rsidP="00A27547">
      <w:r>
        <w:t>We estimated the SD of health-related quality of life to be 0.20 in the Sullivan study (from the interquartile range, ignoring skew), which as N is large, is approximately equivalent to the root mean square error (RMSE) of predicted health-related quality of life if the R</w:t>
      </w:r>
      <w:r>
        <w:rPr>
          <w:vertAlign w:val="superscript"/>
        </w:rPr>
        <w:t>2</w:t>
      </w:r>
      <w:r>
        <w:t xml:space="preserve"> of the regression model was 0%. The RMSE is therefore reduced to 0.17 at an R</w:t>
      </w:r>
      <w:r>
        <w:rPr>
          <w:vertAlign w:val="superscript"/>
        </w:rPr>
        <w:t>2</w:t>
      </w:r>
      <w:r>
        <w:t xml:space="preserve"> of 25%, 0.14 at 50% and 0.10 at 75% (and 0 at 100%).  </w:t>
      </w:r>
    </w:p>
    <w:p w14:paraId="41774B29" w14:textId="47205D88" w:rsidR="00A27547" w:rsidRDefault="00A27547" w:rsidP="00A27547">
      <w:r>
        <w:t>To determine whether prediction error could materially affect the main analysis estimates, we assumed that the SE of each health-related quality of life (and thus the average QALYs per year) was equal to the RMSE of the initial regression model at different R</w:t>
      </w:r>
      <w:r>
        <w:rPr>
          <w:vertAlign w:val="superscript"/>
        </w:rPr>
        <w:t>2</w:t>
      </w:r>
      <w:r>
        <w:t xml:space="preserve"> values. This assumes that health-related quality of life can take values higher than 1 (otherwise there would be implications for the SE of utilities close to 1), which in practice can be a reasonable assumption </w:t>
      </w:r>
      <w:r>
        <w:fldChar w:fldCharType="begin" w:fldLock="1"/>
      </w:r>
      <w:r w:rsidR="004452E9">
        <w:instrText>ADDIN CSL_CITATION { "citationItems" : [ { "id" : "ITEM-1", "itemData" : { "DOI" : "10.1177/0272989X11400755", "ISSN" : "0272989X", "author" : [ { "dropping-particle" : "", "family" : "Sullivan", "given" : "Patrick W.", "non-dropping-particle" : "", "parse-names" : false, "suffix" : "" } ], "container-title" : "Medical Decision Making", "id" : "ITEM-1", "issue" : "6", "issued" : { "date-parts" : [ [ "2011" ] ] }, "page" : "787-789", "title" : "Are utilities bounded at 1.0? Implications for statistical analysis and scale development", "type" : "article", "volume" : "31" }, "uris" : [ "http://www.mendeley.com/documents/?uuid=021971f0-99b2-49a5-9365-05a80dcce002" ] } ], "mendeley" : { "formattedCitation" : "[14]", "plainTextFormattedCitation" : "[14]", "previouslyFormattedCitation" : "[23]" }, "properties" : { "noteIndex" : 0 }, "schema" : "https://github.com/citation-style-language/schema/raw/master/csl-citation.json" }</w:instrText>
      </w:r>
      <w:r>
        <w:fldChar w:fldCharType="separate"/>
      </w:r>
      <w:r w:rsidR="004452E9" w:rsidRPr="004452E9">
        <w:rPr>
          <w:noProof/>
        </w:rPr>
        <w:t>[14]</w:t>
      </w:r>
      <w:r>
        <w:fldChar w:fldCharType="end"/>
      </w:r>
      <w:r>
        <w:t xml:space="preserve">. This also assumes that although health-related quality of life is known to be 0 at death, there is still variance of the estimate. We therefore also estimated the weighted variance for average QALYs per year, setting the variance of health-related quality of life at death to be 0 and averaging variance across all days of follow up. </w:t>
      </w:r>
    </w:p>
    <w:p w14:paraId="188B3771" w14:textId="77777777" w:rsidR="00A27547" w:rsidRDefault="00A27547" w:rsidP="00A27547">
      <w:r>
        <w:t>While we could use v</w:t>
      </w:r>
      <w:r w:rsidRPr="001661E8">
        <w:t>ariance weighted least squares</w:t>
      </w:r>
      <w:r>
        <w:t xml:space="preserve"> (VWLS)</w:t>
      </w:r>
      <w:r w:rsidRPr="001661E8">
        <w:t xml:space="preserve"> </w:t>
      </w:r>
      <w:r>
        <w:t>to account for the uncertainty in predicted average QALYs per year for the multivariable adjusted analyses, Mendelian randomization analyses use instrumental variable regression and we are unaware of any statistical technique that combines VWLS and instrumental variable regression to account for uncertainty in the outcome. As such, we added random normal error (mean 0 and SD equal to the SE of the predicted average QALYs per year for each given R</w:t>
      </w:r>
      <w:r>
        <w:rPr>
          <w:vertAlign w:val="superscript"/>
        </w:rPr>
        <w:t>2</w:t>
      </w:r>
      <w:r>
        <w:t xml:space="preserve"> value) to the predicted average QALYs per year for all participants, creating 100 “imputed” values of QALYs. We repeated the main Mendelian randomization analysis on each “imputed” predicted average QALYs per year and combined the results with Rubin’s rules. As we also imputed QALYs, this meant we estimated 100 combined results (one for each imputed dataset), and we then combined these results again with Rubin’s rules. </w:t>
      </w:r>
    </w:p>
    <w:p w14:paraId="2FDAB1D5" w14:textId="77777777" w:rsidR="00A27547" w:rsidRDefault="00A27547" w:rsidP="00A27547">
      <w:r>
        <w:t xml:space="preserve">The estimates from these analyses incorporate the uncertainty in the prediction of health-related quality of life, so if there is only a minimal increase in the variance of the final Mendelian randomization estimates from including this uncertainty, then we can be more confident that it is not </w:t>
      </w:r>
      <w:r>
        <w:lastRenderedPageBreak/>
        <w:t>necessary to account for it and the main analysis therefore does not excessively underestimate the variance of each estimate.</w:t>
      </w:r>
    </w:p>
    <w:p w14:paraId="73E512AA" w14:textId="77777777" w:rsidR="00A27547" w:rsidRDefault="00A27547" w:rsidP="00A27547">
      <w:pPr>
        <w:pStyle w:val="Heading3"/>
      </w:pPr>
      <w:r>
        <w:t>g.</w:t>
      </w:r>
      <w:r w:rsidRPr="001661E8">
        <w:t xml:space="preserve"> </w:t>
      </w:r>
      <w:bookmarkStart w:id="4" w:name="_Hlk30578150"/>
      <w:r>
        <w:t>Predicting Health-related Quality of Life Using Limited Health Conditions</w:t>
      </w:r>
      <w:bookmarkEnd w:id="4"/>
    </w:p>
    <w:p w14:paraId="3609FF3E" w14:textId="1826D21E" w:rsidR="00A27547" w:rsidRDefault="00A27547" w:rsidP="00A27547">
      <w:r>
        <w:t xml:space="preserve">In addition to using all 240 health conditions as measured by Sullivan et al. </w:t>
      </w:r>
      <w:r>
        <w:fldChar w:fldCharType="begin" w:fldLock="1"/>
      </w:r>
      <w:r w:rsidR="004452E9">
        <w:instrText>ADDIN CSL_CITATION { "citationItems" : [ { "id" : "ITEM-1", "itemData" : { "DOI" : "10.1177/0272989X11401031", "ISSN" : "0272989X", "abstract" : "Background. The National Institute for Health and Clinical Excellence (NICE) has issued guidance on cost-effectiveness analyses, suggesting that preference-based health-related quality of life (HRQL) weights or utilities be based on UK community preferences, preferably using the EQ-5D; ideally all analyses would use the same system for deriving HRQL weights, to encourage consistency and comparability across analyses. Development of a catalogue of EQ-5D scores for a range of health conditions based on UK preferences would help achieve many of these goals. Objective. To provide a UK-based catalogue of EQ-5D index scores. Methods. Methods were consistent with the previously published catalogue of EQ-5D scores for the US. Community-based UK preferences were applied to EQ-5D descriptive questionnaire responses in the US-based Medical Expenditure Panel Survey (MEPS). Ordinary least squares (OLS), Tobit, and censored least absolute deviations (CLAD) regression methods were used to estimate the 'marginal disutility' of each condition controlling for covariates. Results. Pooled MEPS files (2000-2003) resulted in 79,522 individuals with complete EQ-5D scores. Marginal disutilities for 135 chronic ICD-9 and 100 CCC codes are provided. Unadjusted descriptive statistics including mean, median, 25th and 75th percentiles are also reported. Conclusion. This research provides community-based EQ-5D index scores for a wide variety of chronic conditions that can be used to estimate QALYs in cost-effectiveness analyses in the UK. Although using EQ-5D questionnaire responses from the US-based MEPS is less than ideal, the estimates approximate HRQL guidelines by NICE and provide an easily accessible\"off-the-shelf\" resource for cost-effectiveness and publichealth applications.", "author" : [ { "dropping-particle" : "", "family" : "Sullivan", "given" : "Patrick W.", "non-dropping-particle" : "", "parse-names" : false, "suffix" : "" }, { "dropping-particle" : "", "family" : "Slejko", "given" : "Julia F.", "non-dropping-particle" : "", "parse-names" : false, "suffix" : "" }, { "dropping-particle" : "", "family" : "Sculpher", "given" : "Mark J.", "non-dropping-particle" : "", "parse-names" : false, "suffix" : "" }, { "dropping-particle" : "", "family" : "Ghushchyan", "given" : "Vahram", "non-dropping-particle" : "", "parse-names" : false, "suffix" : "" } ], "container-title" : "Medical Decision Making", "id" : "ITEM-1", "issue" : "6", "issued" : { "date-parts" : [ [ "2011" ] ] }, "page" : "800-804", "title" : "Catalogue of EQ-5D scores for the United Kingdom", "type" : "article-journal", "volume" : "31" }, "uris" : [ "http://www.mendeley.com/documents/?uuid=b0ea98ee-f87a-4ff4-9a84-e3b16b4908cb" ] } ], "mendeley" : { "formattedCitation" : "[1]", "plainTextFormattedCitation" : "[1]", "previouslyFormattedCitation" : "[12]" }, "properties" : { "noteIndex" : 0 }, "schema" : "https://github.com/citation-style-language/schema/raw/master/csl-citation.json" }</w:instrText>
      </w:r>
      <w:r>
        <w:fldChar w:fldCharType="separate"/>
      </w:r>
      <w:r w:rsidR="004452E9" w:rsidRPr="004452E9">
        <w:rPr>
          <w:noProof/>
        </w:rPr>
        <w:t>[1]</w:t>
      </w:r>
      <w:r>
        <w:fldChar w:fldCharType="end"/>
      </w:r>
      <w:r>
        <w:t xml:space="preserve">, we limited the health conditions to those commonly used in simulation models to estimate the cost-effectiveness of interventions for BMI, i.e. cancer, cardiovascular disease, cerebrovascular disease and type 2 diabetes. Multiple ICD-9 codes used by Sullivan et al. related to each of these four health conditions: 19 codes related to cancer, 11 to cardiovascular disease, 4 to cerebrovascular disease, and 1 to type 2 diabetes; which ICD-9 codes we used is detailed in </w:t>
      </w:r>
      <w:r>
        <w:rPr>
          <w:b/>
          <w:bCs/>
        </w:rPr>
        <w:t>S2 Table</w:t>
      </w:r>
      <w:r>
        <w:t>. We predicted health-related quality of life as in the main analysis, but restricting the covariables to these 35 ICD-9 codes (including when estimating the number of comorbid conditions), as well as the demographic covariables (age, sex, qualifications). We then estimated the average QALYs per year as in the main analysis, with the resulting QALY variable analysed as in the main analysis.</w:t>
      </w:r>
    </w:p>
    <w:p w14:paraId="3891AE30" w14:textId="77777777" w:rsidR="00A27547" w:rsidRPr="001661E8" w:rsidRDefault="00A27547" w:rsidP="00A27547">
      <w:r>
        <w:t>We then compared the estimates for QALYs using all 240 health conditions versus only the limited 35 health conditions to investigate whether the effect of BMI on quality of life extended beyond the conditions usually considered associated with BMI.</w:t>
      </w:r>
    </w:p>
    <w:p w14:paraId="47D437E9" w14:textId="77777777" w:rsidR="00A27547" w:rsidRDefault="00A27547" w:rsidP="00A27547"/>
    <w:p w14:paraId="3371C2A2" w14:textId="77777777" w:rsidR="00A27547" w:rsidRDefault="00A27547" w:rsidP="00A27547">
      <w:pPr>
        <w:pStyle w:val="Heading2"/>
      </w:pPr>
      <w:r>
        <w:t>3.4 Policy Analyses</w:t>
      </w:r>
    </w:p>
    <w:p w14:paraId="2E44844A" w14:textId="2309E8B2" w:rsidR="00A27547" w:rsidRDefault="00A27547" w:rsidP="00A27547">
      <w:r>
        <w:t xml:space="preserve">For all policy analyses, we used data from the Health Survey for England (HSE) in 1993 and 2017 to inform our estimates of the BMI distribution of people in England and Wales </w:t>
      </w:r>
      <w:r>
        <w:fldChar w:fldCharType="begin" w:fldLock="1"/>
      </w:r>
      <w:r w:rsidR="004452E9">
        <w:instrText>ADDIN CSL_CITATION { "citationItems" : [ { "id" : "ITEM-1", "itemData" : { "DOI" : "10.5255/UKDA-SN-3316-1", "author" : [ { "dropping-particle" : "", "family" : "Office of Population Censuses and Surveys", "given" : "Social Survey Division", "non-dropping-particle" : "", "parse-names" : false, "suffix" : "" } ], "edition" : "2nd Editio", "id" : "ITEM-1", "issued" : { "date-parts" : [ [ "1997" ] ] }, "publisher" : "UK Data Service", "title" : "Health Survey for England, 1993", "type" : "article" }, "uris" : [ "http://www.mendeley.com/documents/?uuid=54f7ec58-19ac-44f6-ade2-b18e7c5798f8" ] }, { "id" : "ITEM-2", "itemData" : { "DOI" : "10.5255/UKDA-SN-8488-2", "author" : [ { "dropping-particle" : "", "family" : "University College London", "given" : "Department of Epidemiology and Public Health", "non-dropping-particle" : "", "parse-names" : false, "suffix" : "" }, { "dropping-particle" : "", "family" : "(NatCen)", "given" : "National Centre for Social Research", "non-dropping-particle" : "", "parse-names" : false, "suffix" : "" } ], "edition" : "2nd Editio", "id" : "ITEM-2", "issued" : { "date-parts" : [ [ "2019" ] ] }, "publisher" : "UK Data Service", "title" : "Health Survey for England, 2017", "type" : "article" }, "uris" : [ "http://www.mendeley.com/documents/?uuid=37ece024-3727-4ace-ae34-96549fc9b990" ] } ], "mendeley" : { "formattedCitation" : "[15,16]", "plainTextFormattedCitation" : "[15,16]", "previouslyFormattedCitation" : "[24,25]" }, "properties" : { "noteIndex" : 0 }, "schema" : "https://github.com/citation-style-language/schema/raw/master/csl-citation.json" }</w:instrText>
      </w:r>
      <w:r>
        <w:fldChar w:fldCharType="separate"/>
      </w:r>
      <w:r w:rsidR="004452E9" w:rsidRPr="004452E9">
        <w:rPr>
          <w:noProof/>
        </w:rPr>
        <w:t>[15,16]</w:t>
      </w:r>
      <w:r>
        <w:fldChar w:fldCharType="end"/>
      </w:r>
      <w:r>
        <w:t xml:space="preserve">. The Health Survey for England was designed to provide annual data from nationally representative samples to monitor trends in the nation’s health, and as such the BMI values in this survey should be representative for England and Wales. We applied the analyses to the population of England and Wales in 2017, </w:t>
      </w:r>
      <w:bookmarkStart w:id="5" w:name="_Hlk34649786"/>
      <w:r>
        <w:t xml:space="preserve">with an age-distribution from the Office of National Statistics </w:t>
      </w:r>
      <w:r>
        <w:fldChar w:fldCharType="begin" w:fldLock="1"/>
      </w:r>
      <w:r w:rsidR="004452E9">
        <w:instrText>ADDIN CSL_CITATION { "citationItems" : [ { "id" : "ITEM-1", "itemData" : { "URL" : "https://www.ons.gov.uk/peoplepopulationandcommunity/populationandmigration/populationestimates/datasets/populationestimatesforukenglandandwalesscotlandandnorthernireland", "abstract" : "National and subnational mid-year population estimates for the UK and its constituent countries by administrative area, age and sex (including components of population change, median age and population density). The correct time-series of files using the latest available methods is: Mid-2017; Mid-2001 to mid-2017 detailed time series; Mid-2012 to mid-2016; 2001 to 2016 detailed time series; Mid-2011; Mid-2001 to Mid-2010; Mid-1991 to Mid-2000. All other content is superseded. The latest, revised series is also available on NOMIS and customise your data (beta).", "author" : [ { "dropping-particle" : "", "family" : "Office For National Statistics", "given" : "", "non-dropping-particle" : "", "parse-names" : false, "suffix" : "" } ], "container-title" : "Mid year population estimates", "id" : "ITEM-1", "issued" : { "date-parts" : [ [ "2019" ] ] }, "title" : "Estimates of the population for the UK, England and Wales, Scotland and Northern Ireland", "type" : "webpage" }, "uris" : [ "http://www.mendeley.com/documents/?uuid=8b157ec9-027e-45c4-82d9-7d894648b557" ] } ], "mendeley" : { "formattedCitation" : "[17]", "plainTextFormattedCitation" : "[17]", "previouslyFormattedCitation" : "[26]" }, "properties" : { "noteIndex" : 0 }, "schema" : "https://github.com/citation-style-language/schema/raw/master/csl-citation.json" }</w:instrText>
      </w:r>
      <w:r>
        <w:fldChar w:fldCharType="separate"/>
      </w:r>
      <w:r w:rsidR="004452E9" w:rsidRPr="004452E9">
        <w:rPr>
          <w:noProof/>
        </w:rPr>
        <w:t>[17]</w:t>
      </w:r>
      <w:r>
        <w:fldChar w:fldCharType="end"/>
      </w:r>
      <w:r>
        <w:t>.</w:t>
      </w:r>
      <w:bookmarkEnd w:id="5"/>
    </w:p>
    <w:p w14:paraId="1593D0A5" w14:textId="77777777" w:rsidR="00A27547" w:rsidRPr="00CE19E9" w:rsidRDefault="00A27547" w:rsidP="00A27547">
      <w:pPr>
        <w:rPr>
          <w:rFonts w:cstheme="minorHAnsi"/>
        </w:rPr>
      </w:pPr>
      <w:r>
        <w:t xml:space="preserve">In each analysis, we used simulation of either individuals or groups to estimate the change </w:t>
      </w:r>
      <w:r w:rsidRPr="00364ADC">
        <w:rPr>
          <w:rFonts w:cstheme="minorHAnsi"/>
        </w:rPr>
        <w:t>in BMI</w:t>
      </w:r>
      <w:r>
        <w:rPr>
          <w:rFonts w:cstheme="minorHAnsi"/>
        </w:rPr>
        <w:t xml:space="preserve"> within age and BMI categories due to each intervention</w:t>
      </w:r>
      <w:r w:rsidRPr="00364ADC">
        <w:rPr>
          <w:rFonts w:cstheme="minorHAnsi"/>
        </w:rPr>
        <w:t xml:space="preserve">. </w:t>
      </w:r>
      <w:r>
        <w:rPr>
          <w:rFonts w:cstheme="minorHAnsi"/>
        </w:rPr>
        <w:t xml:space="preserve">We then multiply the age and BMI category specific BMI changes by the age and BMI category specific Mendelian randomization estimates from </w:t>
      </w:r>
      <w:r w:rsidRPr="00CE19E9">
        <w:rPr>
          <w:rFonts w:cstheme="minorHAnsi"/>
          <w:b/>
          <w:bCs/>
        </w:rPr>
        <w:t>sensitivity analysis</w:t>
      </w:r>
      <w:r>
        <w:rPr>
          <w:rFonts w:cstheme="minorHAnsi"/>
        </w:rPr>
        <w:t xml:space="preserve"> </w:t>
      </w:r>
      <w:r>
        <w:rPr>
          <w:rFonts w:cstheme="minorHAnsi"/>
          <w:b/>
          <w:bCs/>
        </w:rPr>
        <w:t>b</w:t>
      </w:r>
      <w:r>
        <w:rPr>
          <w:rFonts w:cstheme="minorHAnsi"/>
        </w:rPr>
        <w:t xml:space="preserve"> to estimate the effect of the interventions on both QALYs and healthcare costs.</w:t>
      </w:r>
    </w:p>
    <w:p w14:paraId="62B80189" w14:textId="77777777" w:rsidR="00A27547" w:rsidRDefault="00A27547" w:rsidP="00A27547">
      <w:pPr>
        <w:rPr>
          <w:rFonts w:cstheme="minorHAnsi"/>
        </w:rPr>
      </w:pPr>
      <w:r w:rsidRPr="00364ADC">
        <w:rPr>
          <w:rFonts w:cstheme="minorHAnsi"/>
        </w:rPr>
        <w:t>In each simulation, we conducted the following steps:</w:t>
      </w:r>
    </w:p>
    <w:p w14:paraId="481FDC6E" w14:textId="77777777" w:rsidR="00A27547" w:rsidRDefault="00A27547" w:rsidP="00A27547">
      <w:pPr>
        <w:pStyle w:val="ListParagraph"/>
        <w:numPr>
          <w:ilvl w:val="0"/>
          <w:numId w:val="3"/>
        </w:numPr>
        <w:spacing w:line="259" w:lineRule="auto"/>
      </w:pPr>
      <w:r>
        <w:t>Estimated the effect of the intervention on BMI within age groups (40-49 years, 50-54 years, 55-59 years, 60-64 years and 65-69</w:t>
      </w:r>
      <w:r w:rsidRPr="00043903">
        <w:t xml:space="preserve"> </w:t>
      </w:r>
      <w:r>
        <w:t>years</w:t>
      </w:r>
      <w:r w:rsidRPr="00AF410F">
        <w:t>)</w:t>
      </w:r>
      <w:r>
        <w:t>; if the effect of the intervention had uncertainty, the effect in each simulation was drawn from a random normal distribution where the mean is the effect estimate and the SD is the SE of effect estimate (taken from previous studies).</w:t>
      </w:r>
    </w:p>
    <w:p w14:paraId="095844E0" w14:textId="77777777" w:rsidR="00A27547" w:rsidRDefault="00A27547" w:rsidP="00A27547">
      <w:pPr>
        <w:pStyle w:val="ListParagraph"/>
        <w:numPr>
          <w:ilvl w:val="0"/>
          <w:numId w:val="3"/>
        </w:numPr>
        <w:spacing w:line="259" w:lineRule="auto"/>
      </w:pPr>
      <w:r>
        <w:t>Estimated the change in BMI for either the individuals or groups in the simulation given estimated effect of the intervention, split into the change in BMI that occurs over 30 kg/m</w:t>
      </w:r>
      <w:r w:rsidRPr="00364ADC">
        <w:rPr>
          <w:vertAlign w:val="superscript"/>
        </w:rPr>
        <w:t>2</w:t>
      </w:r>
      <w:r>
        <w:t>, between 25 and 30 kg/m</w:t>
      </w:r>
      <w:r w:rsidRPr="00364ADC">
        <w:rPr>
          <w:vertAlign w:val="superscript"/>
        </w:rPr>
        <w:t>2</w:t>
      </w:r>
      <w:r>
        <w:t>, and less than 25 kg/m</w:t>
      </w:r>
      <w:r w:rsidRPr="00364ADC">
        <w:rPr>
          <w:vertAlign w:val="superscript"/>
        </w:rPr>
        <w:t>2</w:t>
      </w:r>
      <w:r>
        <w:t>.</w:t>
      </w:r>
    </w:p>
    <w:p w14:paraId="1A5701D8" w14:textId="77777777" w:rsidR="00A27547" w:rsidRDefault="00A27547" w:rsidP="00A27547">
      <w:pPr>
        <w:pStyle w:val="ListParagraph"/>
        <w:numPr>
          <w:ilvl w:val="0"/>
          <w:numId w:val="3"/>
        </w:numPr>
        <w:spacing w:line="259" w:lineRule="auto"/>
      </w:pPr>
      <w:r>
        <w:t>Estimated the effect of BMI on QALYs and total healthcare costs, using the Mendelian randomization results from the analyses stratified by age and BMI categories (</w:t>
      </w:r>
      <w:r>
        <w:rPr>
          <w:b/>
          <w:bCs/>
        </w:rPr>
        <w:t>S4 Table</w:t>
      </w:r>
      <w:r>
        <w:t>); this is drawn from a random normal distribution where the mean is the effect estimate and the SD is the SE of effect estimate.</w:t>
      </w:r>
    </w:p>
    <w:p w14:paraId="16EE855A" w14:textId="77777777" w:rsidR="00A27547" w:rsidRDefault="00A27547" w:rsidP="00A27547">
      <w:pPr>
        <w:pStyle w:val="ListParagraph"/>
        <w:numPr>
          <w:ilvl w:val="0"/>
          <w:numId w:val="3"/>
        </w:numPr>
        <w:spacing w:line="259" w:lineRule="auto"/>
      </w:pPr>
      <w:r>
        <w:t>Multiplied the estimated change in BMI in each of the three BMI levels by the BMI- and age-specific effect estimates for QALYs and total healthcare costs for all individuals or groups in the simulation. This is the estimated change in QALYs or costs for each individual or group due to the intervention.</w:t>
      </w:r>
      <w:r w:rsidRPr="00646CDE">
        <w:t xml:space="preserve"> </w:t>
      </w:r>
      <w:r>
        <w:t>If the simulation is for groups, we multiplied the estimated change by the number of participants in the group.</w:t>
      </w:r>
    </w:p>
    <w:p w14:paraId="577E84EB" w14:textId="77777777" w:rsidR="00A27547" w:rsidRDefault="00A27547" w:rsidP="00A27547">
      <w:pPr>
        <w:pStyle w:val="ListParagraph"/>
        <w:numPr>
          <w:ilvl w:val="0"/>
          <w:numId w:val="3"/>
        </w:numPr>
        <w:spacing w:line="259" w:lineRule="auto"/>
      </w:pPr>
      <w:r>
        <w:lastRenderedPageBreak/>
        <w:t xml:space="preserve">Summed the estimated changes across all individuals or groups. This is the estimated change in QALYs or costs across all individuals in the target population. </w:t>
      </w:r>
    </w:p>
    <w:p w14:paraId="2BBE0031" w14:textId="77777777" w:rsidR="00A27547" w:rsidRDefault="00A27547" w:rsidP="00A27547">
      <w:r>
        <w:t xml:space="preserve">We repeated the simulation 10,000 times for each analysis; we took the median estimate of these simulations as the final estimate and the 2.5% and 97.5% percentiles as its 95% confidence interval. </w:t>
      </w:r>
    </w:p>
    <w:p w14:paraId="331A22F4" w14:textId="5DFCC25F" w:rsidR="00A27547" w:rsidRPr="00396536" w:rsidRDefault="00A27547" w:rsidP="00A27547">
      <w:r>
        <w:t xml:space="preserve">To estimate the cost-effectiveness of each intervention with appropriate uncertainty (i.e. accounting for the correlation between QALYs and healthcare costs), we combined the effects of BMI on both QALYs and healthcare costs, assigning a value of £20,000 to the QALYs based on commonly used cost-effectiveness thresholds </w:t>
      </w:r>
      <w:r>
        <w:fldChar w:fldCharType="begin" w:fldLock="1"/>
      </w:r>
      <w:r w:rsidR="004452E9">
        <w:instrText>ADDIN CSL_CITATION { "citationItems" : [ { "id" : "ITEM-1", "itemData" : { "ISBN" : "1846299861", "abstract" : "This document describes the methods used in the development of NICE guidelines.", "author" : [ { "dropping-particle" : "", "family" : "National Institute for Health and Clinical Excellence", "given" : "", "non-dropping-particle" : "", "parse-names" : false, "suffix" : "" } ], "container-title" : "The guidelines manual. London", "id" : "ITEM-1", "issue" : "November", "issued" : { "date-parts" : [ [ "2012" ] ] }, "page" : "147", "title" : "Process and methods guides; The guidelines manual", "type" : "article-journal" }, "uris" : [ "http://www.mendeley.com/documents/?uuid=87015006-4f2e-4b92-b0f5-ac7f4e364931" ] }, { "id" : "ITEM-2", "itemData" : { "DOI" : "10.2165/00019053-200826090-00002", "ISBN" : "1846297419", "ISSN" : "1170-7690", "abstract" : "The Institute is reviewing the \u2018Guide to the methods of technology appraisal\u2019, which underpins the technology appraisal programme. The document provides an overview of the principles and methods used by the Institute in assessing health technologies. It is a guide for all organisations considering submitting evidence to the technology appraisal programme and describes all aspects of appraisal methodology. It should be used in conjunction with the \u2018Guide to the technology apprai", "author" : [ { "dropping-particle" : "", "family" : "National Institute for Health and Care Excellence", "given" : "", "non-dropping-particle" : "", "parse-names" : false, "suffix" : "" } ], "container-title" : "National Institute for Health and Care Excellence", "id" : "ITEM-2", "issue" : "April", "issued" : { "date-parts" : [ [ "2013" ] ] }, "page" : "1-93", "title" : "Guide to the methods of technology appraisal 2013", "type" : "article-journal" }, "uris" : [ "http://www.mendeley.com/documents/?uuid=4984628b-e5e4-4001-a320-c62a7fefacfd" ] } ], "mendeley" : { "formattedCitation" : "[18,19]", "plainTextFormattedCitation" : "[18,19]", "previouslyFormattedCitation" : "[27,28]" }, "properties" : { "noteIndex" : 0 }, "schema" : "https://github.com/citation-style-language/schema/raw/master/csl-citation.json" }</w:instrText>
      </w:r>
      <w:r>
        <w:fldChar w:fldCharType="separate"/>
      </w:r>
      <w:r w:rsidR="004452E9" w:rsidRPr="004452E9">
        <w:rPr>
          <w:noProof/>
        </w:rPr>
        <w:t>[18,19]</w:t>
      </w:r>
      <w:r>
        <w:fldChar w:fldCharType="end"/>
      </w:r>
      <w:r>
        <w:t xml:space="preserve">. For this, we subtracted average QALYs per year multiplied by £20,000 from total care costs, creating a new variable called “QALY-costs” in the supplementary tables. We included QALY-costs as an outcome in all main and sensitivity analyses, allowing us to estimate the effect of BMI on combined QALYs and healthcare costs directly, with appropriate uncertainty. We also use cost-effectiveness thresholds of £10,000 and £30,000 in additional analyses. For the examples </w:t>
      </w:r>
      <w:r>
        <w:rPr>
          <w:b/>
          <w:bCs/>
        </w:rPr>
        <w:t>a</w:t>
      </w:r>
      <w:r>
        <w:t xml:space="preserve"> and </w:t>
      </w:r>
      <w:r>
        <w:rPr>
          <w:b/>
          <w:bCs/>
        </w:rPr>
        <w:t>b</w:t>
      </w:r>
      <w:r>
        <w:t xml:space="preserve">, we also include the net monetary benefit, which is QALY-costs minus the cost of the intervention. We include a worked example of this method in </w:t>
      </w:r>
      <w:r>
        <w:rPr>
          <w:b/>
          <w:bCs/>
        </w:rPr>
        <w:t xml:space="preserve">3.5 </w:t>
      </w:r>
      <w:r w:rsidRPr="00503D76">
        <w:rPr>
          <w:b/>
          <w:bCs/>
        </w:rPr>
        <w:t>Worked Example of Policy Analysis</w:t>
      </w:r>
      <w:r>
        <w:rPr>
          <w:b/>
          <w:bCs/>
        </w:rPr>
        <w:t xml:space="preserve"> </w:t>
      </w:r>
      <w:r>
        <w:t>below.</w:t>
      </w:r>
    </w:p>
    <w:p w14:paraId="0CBBCB9A" w14:textId="77777777" w:rsidR="00A27547" w:rsidRDefault="00A27547" w:rsidP="00A27547">
      <w:r>
        <w:t xml:space="preserve">For all examples, we assume that Mendelian randomization is consistent with the stable unit treatment value assumption of causal inference, i.e. that the Mendelian randomization estimates of genetically different BMI are consistent with the effects of an intervention that alters BMI through other means. </w:t>
      </w:r>
    </w:p>
    <w:p w14:paraId="1B7E8812" w14:textId="77777777" w:rsidR="00A27547" w:rsidRDefault="00A27547" w:rsidP="00A27547">
      <w:pPr>
        <w:pStyle w:val="Heading3"/>
      </w:pPr>
      <w:r>
        <w:t xml:space="preserve">a. Cost-Effectiveness of laparoscopic gastric bypass </w:t>
      </w:r>
    </w:p>
    <w:p w14:paraId="6036EC0F" w14:textId="77777777" w:rsidR="00A27547" w:rsidRDefault="00A27547" w:rsidP="00A27547">
      <w:r>
        <w:t>In this example, we estimated whether laparoscopic gastric bypass for people aged 40-69 years in England and Wales with a BMI above 35 kg/m</w:t>
      </w:r>
      <w:r>
        <w:rPr>
          <w:vertAlign w:val="superscript"/>
        </w:rPr>
        <w:t>2</w:t>
      </w:r>
      <w:r>
        <w:t xml:space="preserve"> in 2017 is cost-effective as compared to no intervention over 20 years at a cost-effectiveness threshold of £20,000 per QALY and a discount rate for both QALYs and costs of 3.5% per year. We also consider different costs per QALY (£30,000 and £10,000) and different discount rates (1.5% and 0%).</w:t>
      </w:r>
      <w:r w:rsidRPr="00646CDE">
        <w:t xml:space="preserve"> </w:t>
      </w:r>
    </w:p>
    <w:p w14:paraId="360AED44" w14:textId="1C5E8FC8" w:rsidR="00A27547" w:rsidRDefault="00A27547" w:rsidP="00A27547">
      <w:r>
        <w:t>The cost of laparoscopic gastric bypass in the NHS in the UK, including costs of the preoperative assessment, complications, and 5 years of follow-up, was estimated to be £</w:t>
      </w:r>
      <w:r w:rsidRPr="00D65DA5">
        <w:t>6</w:t>
      </w:r>
      <w:r>
        <w:t>,</w:t>
      </w:r>
      <w:r w:rsidRPr="00D65DA5">
        <w:t>34</w:t>
      </w:r>
      <w:r>
        <w:t xml:space="preserve">7 in 2005 </w:t>
      </w:r>
      <w:r>
        <w:fldChar w:fldCharType="begin" w:fldLock="1"/>
      </w:r>
      <w:r w:rsidR="004452E9">
        <w:instrText>ADDIN CSL_CITATION { "citationItems" : [ { "id" : "ITEM-1", "itemData" : { "DOI" : "10.1381/096089206778870067", "ISSN" : "09608923", "abstract" : "Background: We aimed to establish a payer-perspective cost-effectiveness and budget impact (BI) model of adjustable gastric banding (AGB) and gastric bypass (GBP) vs conventional treatment (CT) in patients with BMI \u226535 kg/m2 and type-2 diabetes T2DM, in Germany, UK and France. Methods: Clinical evidence was obtained from literature and patient-reported EQ-5D scores given BMI and T2DM status from HODaR. Resource utilization data in AGB, GBP and CT were obtained from quoted publications so as to reflect practice in 2005. CT in each country was based on descriptions in HTA reports or based on co-authors' experience of current practice. Unit costs were obtained from published sources when available, or from co-authors' institutions. A deterministic algorithm with cost and utility discounting, enabled selection of inputs independently throughout the time scope for each of the 3 treatments, and included mean BMI, amounts of resources and unit costs. Results: The base case time-scope was 5 years, and the annual discount rate for utilities and costs was 3.5%. Compared to CT, GBP yielded +80.8 kg/m2.years, +2.6 T2DM-free-years and +1.34 QALYs. AGB yielded +57.8 kg/m2.years, +2.5 T2DM-free-years and +1.03 QALYs. In Germany and France, both GBP and AGB yielded a cost decrease, and were thus dominant in terms of ICER compared to CT. In the UK, GBP and AGB yielded a cost increase, but were cost-effective. Conclusion: In patients with T2DM and BMI \u226535 kg/m2, AGB and GBP are effective at 5-year follow-up in cost-saving in Germany and France, and are cost-effective in the UK with a moderate BI vs CT. \u00a9 FD-Communications Inc.", "author" : [ { "dropping-particle" : "", "family" : "Ackroyd", "given" : "Roger", "non-dropping-particle" : "", "parse-names" : false, "suffix" : "" }, { "dropping-particle" : "", "family" : "Mouiel", "given" : "Jean", "non-dropping-particle" : "", "parse-names" : false, "suffix" : "" }, { "dropping-particle" : "", "family" : "Chevallier", "given" : "Jean Marc", "non-dropping-particle" : "", "parse-names" : false, "suffix" : "" }, { "dropping-particle" : "", "family" : "Daoud", "given" : "Frederic", "non-dropping-particle" : "", "parse-names" : false, "suffix" : "" } ], "container-title" : "Obesity Surgery", "id" : "ITEM-1", "issue" : "11", "issued" : { "date-parts" : [ [ "2006" ] ] }, "page" : "1488-1503", "title" : "Cost-effectiveness and budget impact of obesity surgery in patients with type-2 diabetes in three European countries", "type" : "article-journal", "volume" : "16" }, "uris" : [ "http://www.mendeley.com/documents/?uuid=036ceb5c-5722-4f83-947e-b421dcd83fdd" ] } ], "mendeley" : { "formattedCitation" : "[20]", "plainTextFormattedCitation" : "[20]", "previouslyFormattedCitation" : "[29]" }, "properties" : { "noteIndex" : 0 }, "schema" : "https://github.com/citation-style-language/schema/raw/master/csl-citation.json" }</w:instrText>
      </w:r>
      <w:r>
        <w:fldChar w:fldCharType="separate"/>
      </w:r>
      <w:r w:rsidR="004452E9" w:rsidRPr="004452E9">
        <w:rPr>
          <w:noProof/>
        </w:rPr>
        <w:t>[20]</w:t>
      </w:r>
      <w:r>
        <w:fldChar w:fldCharType="end"/>
      </w:r>
      <w:r>
        <w:t xml:space="preserve">, which is </w:t>
      </w:r>
      <w:r w:rsidRPr="00FD6388">
        <w:t>£</w:t>
      </w:r>
      <w:r w:rsidRPr="00D65DA5">
        <w:t>9,54</w:t>
      </w:r>
      <w:r>
        <w:t xml:space="preserve">9 in 2019 prices after applying inflation from the Office of National Statistics composite price index (average 3.0% per year between 2005 and 2019) </w:t>
      </w:r>
      <w:r>
        <w:fldChar w:fldCharType="begin" w:fldLock="1"/>
      </w:r>
      <w:r w:rsidR="004452E9">
        <w:instrText>ADDIN CSL_CITATION { "citationItems" : [ { "id" : "ITEM-1", "itemData" : { "URL" : "https://www.bankofengland.co.uk/monetary-policy/inflation/inflation-calculator", "accessed" : { "date-parts" : [ [ "2020", "3", "10" ] ] }, "author" : [ { "dropping-particle" : "", "family" : "Bank of England", "given" : "", "non-dropping-particle" : "", "parse-names" : false, "suffix" : "" } ], "id" : "ITEM-1", "issued" : { "date-parts" : [ [ "2020" ] ] }, "title" : "Inflation calculator", "type" : "webpage" }, "uris" : [ "http://www.mendeley.com/documents/?uuid=f8d362b3-48c2-46d7-9a04-3749e803f10f" ] } ], "mendeley" : { "formattedCitation" : "[21]", "plainTextFormattedCitation" : "[21]", "previouslyFormattedCitation" : "[30]" }, "properties" : { "noteIndex" : 0 }, "schema" : "https://github.com/citation-style-language/schema/raw/master/csl-citation.json" }</w:instrText>
      </w:r>
      <w:r>
        <w:fldChar w:fldCharType="separate"/>
      </w:r>
      <w:r w:rsidR="004452E9" w:rsidRPr="004452E9">
        <w:rPr>
          <w:noProof/>
        </w:rPr>
        <w:t>[21]</w:t>
      </w:r>
      <w:r>
        <w:fldChar w:fldCharType="end"/>
      </w:r>
      <w:r>
        <w:t xml:space="preserve">. Laparoscopic gastric bypass has been estimated to reduce weight in people with obesity by 25% (95% CI: 22% to 28%), which is the equivalent of reducing BMI by 25%, and this reduction was maintained at both 10 and 20 years of follow-up </w:t>
      </w:r>
      <w:r>
        <w:fldChar w:fldCharType="begin" w:fldLock="1"/>
      </w:r>
      <w:r w:rsidR="004452E9">
        <w:instrText>ADDIN CSL_CITATION { "citationItems" : [ { "id" : "ITEM-1", "itemData" : { "DOI" : "10.1056/NEJMoa066254", "ISSN" : "15334406", "PMID" : "17715408", "abstract" : "Background: Obesity is associated with increased mortality. Weight loss improves cardiovascular risk factors, but no prospective interventional studies have reported whether weight loss decreases overall mortality. In fact, many observational studies suggest that weight reduction is associated with increased mortality. Methods: The prospective, controlled Swedish Obese Subjects study involved 4047 obese subjects. Of these subjects, 2010 underwent bariatric surgery (surgery group) and 2037 received conventional treatment (matched control group). We report on overall mortality during an average of 10.9 years of follow-up. At the time of the analysis (November 1, 2005), vital status was known for all but three subjects (follow-up rate, 99.9%). Results: The average weight change in control subjects was less than \u00b12% during the period of up to 15 years during which weights were recorded. Maximum weight losses in the surgical subgroups were observed after 1 to 2 years: gastric bypass, 32%; vertical-banded gastroplasty, 25%; and banding, 20%. After 10 years, the weight losses from baseline were stabilized at 25%, 16%, and 14%, respectively. There were 129 deaths in the control group and 101 deaths in the surgery group. The unadjusted overall hazard ratio was 0.76 in the surgery group (P = 0.04), as compared with the control group, and the hazard ratio adjusted for sex, age, and risk factors was 0.71 (P = 0.01). The most common causes of death were myocardial infarction (control group, 25 subjects; surgery group, 13 subjects) and cancer (control group, 47; surgery group, 29). Conclusions: Bariatric surgery for severe obesity is associated with long-term weight loss and decreased overall mortality. Copyright \u00a9 2007 Massachusetts Medical Society. All rights reserved.", "author" : [ { "dropping-particle" : "", "family" : "Sj\u00f6str\u00f6m", "given" : "Lars", "non-dropping-particle" : "", "parse-names" : false, "suffix" : "" }, { "dropping-particle" : "", "family" : "Narbro", "given" : "Kristina", "non-dropping-particle" : "", "parse-names" : false, "suffix" : "" }, { "dropping-particle" : "", "family" : "Sj\u00f6str\u00f6m", "given" : "C. David", "non-dropping-particle" : "", "parse-names" : false, "suffix" : "" }, { "dropping-particle" : "", "family" : "Karason", "given" : "Kristjan", "non-dropping-particle" : "", "parse-names" : false, "suffix" : "" }, { "dropping-particle" : "", "family" : "Larsson", "given" : "Bo", "non-dropping-particle" : "", "parse-names" : false, "suffix" : "" }, { "dropping-particle" : "", "family" : "Wedel", "given" : "Hans", "non-dropping-particle" : "", "parse-names" : false, "suffix" : "" }, { "dropping-particle" : "", "family" : "Lystig", "given" : "Ted", "non-dropping-particle" : "", "parse-names" : false, "suffix" : "" }, { "dropping-particle" : "", "family" : "Sullivan", "given" : "Marianne", "non-dropping-particle" : "", "parse-names" : false, "suffix" : "" }, { "dropping-particle" : "", "family" : "Bouchard", "given" : "Claude", "non-dropping-particle" : "", "parse-names" : false, "suffix" : "" }, { "dropping-particle" : "", "family" : "Carlsson", "given" : "Bj\u00f6rn", "non-dropping-particle" : "", "parse-names" : false, "suffix" : "" }, { "dropping-particle" : "", "family" : "Bengtsson", "given" : "Calle", "non-dropping-particle" : "", "parse-names" : false, "suffix" : "" }, { "dropping-particle" : "", "family" : "Dahlgren", "given" : "Sven", "non-dropping-particle" : "", "parse-names" : false, "suffix" : "" }, { "dropping-particle" : "", "family" : "Gummesson", "given" : "Anders", "non-dropping-particle" : "", "parse-names" : false, "suffix" : "" }, { "dropping-particle" : "", "family" : "Jacobson", "given" : "Peter", "non-dropping-particle" : "", "parse-names" : false, "suffix" : "" }, { "dropping-particle" : "", "family" : "Karlsson", "given" : "Jan", "non-dropping-particle" : "", "parse-names" : false, "suffix" : "" }, { "dropping-particle" : "", "family" : "Lindroos", "given" : "Anna Karin", "non-dropping-particle" : "", "parse-names" : false, "suffix" : "" }, { "dropping-particle" : "", "family" : "L\u00f6nroth", "given" : "Hans", "non-dropping-particle" : "", "parse-names" : false, "suffix" : "" }, { "dropping-particle" : "", "family" : "N\u00e4slund", "given" : "Ingmar", "non-dropping-particle" : "", "parse-names" : false, "suffix" : "" }, { "dropping-particle" : "", "family" : "Olbers", "given" : "Torsten", "non-dropping-particle" : "", "parse-names" : false, "suffix" : "" }, { "dropping-particle" : "", "family" : "Stenl\u00f6f", "given" : "Kaj", "non-dropping-particle" : "", "parse-names" : false, "suffix" : "" }, { "dropping-particle" : "", "family" : "Torgerson", "given" : "Jarl", "non-dropping-particle" : "", "parse-names" : false, "suffix" : "" }, { "dropping-particle" : "", "family" : "\u00c5gren", "given" : "G\u00f6ran", "non-dropping-particle" : "", "parse-names" : false, "suffix" : "" }, { "dropping-particle" : "", "family" : "Carlsson", "given" : "Lena M.S.", "non-dropping-particle" : "", "parse-names" : false, "suffix" : "" } ], "container-title" : "New England Journal of Medicine", "id" : "ITEM-1", "issue" : "8", "issued" : { "date-parts" : [ [ "2007" ] ] }, "page" : "741-752", "title" : "Effects of bariatric surgery on mortality in Swedish obese subjects", "type" : "article-journal", "volume" : "357" }, "uris" : [ "http://www.mendeley.com/documents/?uuid=49adb32d-e21a-4df8-8613-42a2ec4936dc" ] }, { "id" : "ITEM-2", "itemData" : { "DOI" : "10.1111/joim.12012", "ISSN" : "09546820", "PMID" : "23163728", "abstract" : "Obesity is a risk factor for diabetes, cardiovascular disease events, cancer and overall mortality. Weight loss may protect against these conditions, but robust evidence for this has been lacking. The Swedish Obese Subjects (SOS) study is the first long-term, prospective, controlled trial to provide information on the effects of bariatric surgery on the incidence of these objective endpoints. The SOS study involved 2010 obese subjects who underwent bariatric surgery [gastric bypass (13%), banding (19%) and vertical banded gastroplasty (68%)] and 2037 contemporaneously matched obese control subjects receiving usual care. The age of participants was 37-60\u00a0years and body mass index (BMI) was \u226534\u00a0kg\u00a0m-2 in men and \u226538\u00a0kg\u00a0m-2 in women. Here, we review the key SOS study results published between 2004 and 2012. Follow-up periods varied from 10 to 20\u00a0years in different reports. The mean changes in body weight after 2, 10, 15 and 20\u00a0years were -23%, -17%, -16% and -18% in the surgery group and 0%, 1%, -1% and -1% in the control group respectively. Compared with usual care, bariatric surgery was associated with a long-term reduction in overall mortality (primary endpoint) [adjusted hazard ratio (HR)\u00a0=\u00a00.71, 95% confidence interval (CI) 0.54-0.92; P\u00a0=\u00a00.01] and decreased incidences of diabetes (adjusted HR=0.17; P\u00a0&lt;\u00a00.001), myocardial infarction (adjusted HR\u00a0=\u00a00.71; P\u00a0=\u00a00.02), stroke (adjusted HR=0.66; P\u00a0=\u00a00.008) and cancer (women: adjusted HR\u00a0=\u00a00.58; P\u00a0=\u00a00.0008; men: n.s.]. The diabetes remission rate was increased severalfold at 2\u00a0years [adjusted odds ratio (OR)\u00a0=\u00a08.42; P\u00a0&lt;\u00a00.001] and 10\u00a0years (adjusted OR\u00a0=\u00a03.45; P\u00a0&lt;\u00a00.001). Whereas high insulin and/or high glucose at baseline predicted favourable treatment effects, high baseline BMI did not, indicating that current selection criteria for bariatric surgery need to be revised. \u00a9 2012 The Association for the Publication of the Journal of Internal Medicine.", "author" : [ { "dropping-particle" : "", "family" : "Sj\u00f6str\u00f6m", "given" : "L.", "non-dropping-particle" : "", "parse-names" : false, "suffix" : "" } ], "container-title" : "Journal of Internal Medicine", "id" : "ITEM-2", "issue" : "3", "issued" : { "date-parts" : [ [ "2013" ] ] }, "page" : "219-234", "title" : "Review of the key results from the Swedish Obese Subjects (SOS) trial - a prospective controlled intervention study of bariatric surgery", "type" : "article", "volume" : "273" }, "uris" : [ "http://www.mendeley.com/documents/?uuid=5a7b5997-aeff-4e53-8fa6-c4ea751b2a57" ] } ], "mendeley" : { "formattedCitation" : "[22,23]", "plainTextFormattedCitation" : "[22,23]", "previouslyFormattedCitation" : "[31,32]" }, "properties" : { "noteIndex" : 0 }, "schema" : "https://github.com/citation-style-language/schema/raw/master/csl-citation.json" }</w:instrText>
      </w:r>
      <w:r>
        <w:fldChar w:fldCharType="separate"/>
      </w:r>
      <w:r w:rsidR="004452E9" w:rsidRPr="004452E9">
        <w:rPr>
          <w:noProof/>
        </w:rPr>
        <w:t>[22,23]</w:t>
      </w:r>
      <w:r>
        <w:fldChar w:fldCharType="end"/>
      </w:r>
      <w:r>
        <w:t>. Our simulation was thus a hypothetical situation where people in England and Wales with a BMI above 35 kg/m</w:t>
      </w:r>
      <w:r>
        <w:rPr>
          <w:vertAlign w:val="superscript"/>
        </w:rPr>
        <w:t>2</w:t>
      </w:r>
      <w:r>
        <w:t xml:space="preserve"> in 2017 received laparoscopic gastric bypass surgery in 2007, the intervention reduced BMI by 25% (with a SD of 1.5%) and lasted for 20 years, with hypothetical follow-up to 2027. We assumed that no participant died from the surgery, nor suffered any long-term complications of surgery that would adversely affect their quality of life, though complications up to 5 years from surgery date were accounted for in the cost of the surgery. Although not all people included in the simulation would be eligible for laparoscopic bariatric surgery (indeed, some would have already had surgery), our aim is to estimate the average effect of surgery on an individual drawn from this population, rather than the effect of treating all eligible people. </w:t>
      </w:r>
    </w:p>
    <w:p w14:paraId="5C3D202B" w14:textId="634052D5" w:rsidR="00A27547" w:rsidRPr="00721A96" w:rsidRDefault="00A27547" w:rsidP="00A27547">
      <w:r>
        <w:t xml:space="preserve">We used HSE 2017 data to estimate the mean change in BMI within age groups for all HSE participants aged 40 to 69 years, given the reduction in weight from bariatric surgery. We multiplied the age-specific estimates of the effect on QALYs and costs by the total number of people in those age categories in England and Wales in 2017 </w:t>
      </w:r>
      <w:r>
        <w:fldChar w:fldCharType="begin" w:fldLock="1"/>
      </w:r>
      <w:r w:rsidR="004452E9">
        <w:instrText>ADDIN CSL_CITATION { "citationItems" : [ { "id" : "ITEM-1", "itemData" : { "URL" : "https://www.ons.gov.uk/peoplepopulationandcommunity/populationandmigration/populationestimates/datasets/populationestimatesforukenglandandwalesscotlandandnorthernireland", "abstract" : "National and subnational mid-year population estimates for the UK and its constituent countries by administrative area, age and sex (including components of population change, median age and population density). The correct time-series of files using the latest available methods is: Mid-2017; Mid-2001 to mid-2017 detailed time series; Mid-2012 to mid-2016; 2001 to 2016 detailed time series; Mid-2011; Mid-2001 to Mid-2010; Mid-1991 to Mid-2000. All other content is superseded. The latest, revised series is also available on NOMIS and customise your data (beta).", "author" : [ { "dropping-particle" : "", "family" : "Office For National Statistics", "given" : "", "non-dropping-particle" : "", "parse-names" : false, "suffix" : "" } ], "container-title" : "Mid year population estimates", "id" : "ITEM-1", "issued" : { "date-parts" : [ [ "2019" ] ] }, "title" : "Estimates of the population for the UK, England and Wales, Scotland and Northern Ireland", "type" : "webpage" }, "uris" : [ "http://www.mendeley.com/documents/?uuid=8b157ec9-027e-45c4-82d9-7d894648b557" ] } ], "mendeley" : { "formattedCitation" : "[17]", "plainTextFormattedCitation" : "[17]", "previouslyFormattedCitation" : "[26]" }, "properties" : { "noteIndex" : 0 }, "schema" : "https://github.com/citation-style-language/schema/raw/master/csl-citation.json" }</w:instrText>
      </w:r>
      <w:r>
        <w:fldChar w:fldCharType="separate"/>
      </w:r>
      <w:r w:rsidR="004452E9" w:rsidRPr="004452E9">
        <w:rPr>
          <w:noProof/>
        </w:rPr>
        <w:t>[17]</w:t>
      </w:r>
      <w:r>
        <w:fldChar w:fldCharType="end"/>
      </w:r>
      <w:r>
        <w:t xml:space="preserve"> to estimate the effect of the intervention nationally. We present the per-person results in the main text, corresponding to per person with a BMI above 35 kg/m</w:t>
      </w:r>
      <w:r>
        <w:rPr>
          <w:vertAlign w:val="superscript"/>
        </w:rPr>
        <w:t>2</w:t>
      </w:r>
      <w:r>
        <w:t xml:space="preserve"> aged 40-69 years in England and Wales in 2017, with results across all people available in a supplementary table.</w:t>
      </w:r>
    </w:p>
    <w:p w14:paraId="300802FD" w14:textId="77777777" w:rsidR="00A27547" w:rsidRDefault="00A27547" w:rsidP="00A27547">
      <w:pPr>
        <w:pStyle w:val="Heading3"/>
      </w:pPr>
      <w:r>
        <w:lastRenderedPageBreak/>
        <w:t>b. Cost-Effectiveness of r</w:t>
      </w:r>
      <w:r w:rsidRPr="00B47BF6">
        <w:t>estricting volume promotions for high fat, sugar, and salt</w:t>
      </w:r>
      <w:r>
        <w:t xml:space="preserve"> products</w:t>
      </w:r>
    </w:p>
    <w:p w14:paraId="3E6776EE" w14:textId="77777777" w:rsidR="00A27547" w:rsidRDefault="00A27547" w:rsidP="00A27547">
      <w:r>
        <w:t>In this example, we estimated whether r</w:t>
      </w:r>
      <w:r w:rsidRPr="00B47BF6">
        <w:t>estricting volume promotions for high fat, sugar, and salt</w:t>
      </w:r>
      <w:r>
        <w:t xml:space="preserve"> (HFSS) products in England and Wales was cost-effective over a single year</w:t>
      </w:r>
      <w:r w:rsidRPr="00787F62">
        <w:t xml:space="preserve"> </w:t>
      </w:r>
      <w:r>
        <w:t>at a cost-effectiveness threshold of £20,000 per QALY. We also consider different costs per QALY (£30,000 and £10,000).</w:t>
      </w:r>
    </w:p>
    <w:p w14:paraId="224A6C31" w14:textId="02CBC672" w:rsidR="00A27547" w:rsidRDefault="00A27547" w:rsidP="00A27547">
      <w:r>
        <w:t>The Government has estimated that ending</w:t>
      </w:r>
      <w:r w:rsidRPr="00787F62">
        <w:t xml:space="preserve"> all volume offers for HFSS products in all retailers and the out-of-home sector</w:t>
      </w:r>
      <w:r>
        <w:t xml:space="preserve"> will reduce the average Calories consumed by 14 Calories per day for men aged 19-64 years, 13 Calories for men aged 65+ years, 11 Calories for women aged 19-64 years, and 10 Calories for women aged 65+ years </w:t>
      </w:r>
      <w:r>
        <w:fldChar w:fldCharType="begin" w:fldLock="1"/>
      </w:r>
      <w:r w:rsidR="004452E9">
        <w:instrText>ADDIN CSL_CITATION { "citationItems" : [ { "id" : "ITEM-1", "itemData" : { "author" : [ { "dropping-particle" : "", "family" : "Department of Health and Social Care (DHSC)", "given" : "", "non-dropping-particle" : "", "parse-names" : false, "suffix" : "" } ], "id" : "ITEM-1", "issued" : { "date-parts" : [ [ "2018" ] ] }, "title" : "Restricting volume promotions for high fat, sugar, and salt (HFSS) products", "type" : "report" }, "uris" : [ "http://www.mendeley.com/documents/?uuid=4e547d26-94db-44f1-b058-e778dfd2bf98" ] } ], "mendeley" : { "formattedCitation" : "[24]", "plainTextFormattedCitation" : "[24]", "previouslyFormattedCitation" : "[33]" }, "properties" : { "noteIndex" : 0 }, "schema" : "https://github.com/citation-style-language/schema/raw/master/csl-citation.json" }</w:instrText>
      </w:r>
      <w:r>
        <w:fldChar w:fldCharType="separate"/>
      </w:r>
      <w:r w:rsidR="004452E9" w:rsidRPr="004452E9">
        <w:rPr>
          <w:noProof/>
        </w:rPr>
        <w:t>[24]</w:t>
      </w:r>
      <w:r>
        <w:fldChar w:fldCharType="end"/>
      </w:r>
      <w:r>
        <w:t xml:space="preserve">. The Department for Health and Social Care Calorie Model estimates the overall weight is reduced on average by 0.042 kg per 1 fewer Calorie consumed per day </w:t>
      </w:r>
      <w:r>
        <w:fldChar w:fldCharType="begin" w:fldLock="1"/>
      </w:r>
      <w:r w:rsidR="004452E9">
        <w:instrText>ADDIN CSL_CITATION { "citationItems" : [ { "id" : "ITEM-1", "itemData" : { "author" : [ { "dropping-particle" : "", "family" : "Global and Public Health Group/ Obesity Branch/Childhood Obesity Team/10800", "given" : "", "non-dropping-particle" : "", "parse-names" : false, "suffix" : "" } ], "id" : "ITEM-1", "issued" : { "date-parts" : [ [ "2018" ] ] }, "title" : "Department of Health and Social Care (DHSC) Calorie Model", "type" : "report" }, "uris" : [ "http://www.mendeley.com/documents/?uuid=4492bc88-f677-43b9-a4a3-ae8d17a3e6d1" ] } ], "mendeley" : { "formattedCitation" : "[25]", "plainTextFormattedCitation" : "[25]", "previouslyFormattedCitation" : "[34]" }, "properties" : { "noteIndex" : 0 }, "schema" : "https://github.com/citation-style-language/schema/raw/master/csl-citation.json" }</w:instrText>
      </w:r>
      <w:r>
        <w:fldChar w:fldCharType="separate"/>
      </w:r>
      <w:r w:rsidR="004452E9" w:rsidRPr="004452E9">
        <w:rPr>
          <w:noProof/>
        </w:rPr>
        <w:t>[25]</w:t>
      </w:r>
      <w:r>
        <w:fldChar w:fldCharType="end"/>
      </w:r>
      <w:r>
        <w:t>. We assumed that this intervention had no cost when estimating the net monetary benefit.</w:t>
      </w:r>
    </w:p>
    <w:p w14:paraId="1C256493" w14:textId="216EF445" w:rsidR="00A27547" w:rsidRDefault="00A27547" w:rsidP="00A27547">
      <w:r>
        <w:t xml:space="preserve">We used HSE 2017 data to estimate the mean change in BMI within age groups for all HSE participants aged 40 to 69 years, given the reduction in weight from the intervention on HFSS products. We multiplied the age-specific estimates of the effect on QALYs and costs by the total number of people in those age categories in England and Wales in 2017 </w:t>
      </w:r>
      <w:r>
        <w:fldChar w:fldCharType="begin" w:fldLock="1"/>
      </w:r>
      <w:r w:rsidR="004452E9">
        <w:instrText>ADDIN CSL_CITATION { "citationItems" : [ { "id" : "ITEM-1", "itemData" : { "URL" : "https://www.ons.gov.uk/peoplepopulationandcommunity/populationandmigration/populationestimates/datasets/populationestimatesforukenglandandwalesscotlandandnorthernireland", "abstract" : "National and subnational mid-year population estimates for the UK and its constituent countries by administrative area, age and sex (including components of population change, median age and population density). The correct time-series of files using the latest available methods is: Mid-2017; Mid-2001 to mid-2017 detailed time series; Mid-2012 to mid-2016; 2001 to 2016 detailed time series; Mid-2011; Mid-2001 to Mid-2010; Mid-1991 to Mid-2000. All other content is superseded. The latest, revised series is also available on NOMIS and customise your data (beta).", "author" : [ { "dropping-particle" : "", "family" : "Office For National Statistics", "given" : "", "non-dropping-particle" : "", "parse-names" : false, "suffix" : "" } ], "container-title" : "Mid year population estimates", "id" : "ITEM-1", "issued" : { "date-parts" : [ [ "2019" ] ] }, "title" : "Estimates of the population for the UK, England and Wales, Scotland and Northern Ireland", "type" : "webpage" }, "uris" : [ "http://www.mendeley.com/documents/?uuid=8b157ec9-027e-45c4-82d9-7d894648b557" ] } ], "mendeley" : { "formattedCitation" : "[17]", "plainTextFormattedCitation" : "[17]", "previouslyFormattedCitation" : "[26]" }, "properties" : { "noteIndex" : 0 }, "schema" : "https://github.com/citation-style-language/schema/raw/master/csl-citation.json" }</w:instrText>
      </w:r>
      <w:r>
        <w:fldChar w:fldCharType="separate"/>
      </w:r>
      <w:r w:rsidR="004452E9" w:rsidRPr="004452E9">
        <w:rPr>
          <w:noProof/>
        </w:rPr>
        <w:t>[17]</w:t>
      </w:r>
      <w:r>
        <w:fldChar w:fldCharType="end"/>
      </w:r>
      <w:r>
        <w:t xml:space="preserve"> to estimate the effect of the intervention nationally. We present the total results across all people aged 40-69 years in England and Wales in 2017 in the main text, with the per-person results available in a supplementary table.</w:t>
      </w:r>
    </w:p>
    <w:p w14:paraId="61902DE6" w14:textId="77777777" w:rsidR="00A27547" w:rsidRDefault="00A27547" w:rsidP="00A27547">
      <w:pPr>
        <w:pStyle w:val="Heading3"/>
      </w:pPr>
      <w:r>
        <w:t>c. Estimation of the Effect of the Population Change in BMI Between 1993 and 2017</w:t>
      </w:r>
    </w:p>
    <w:p w14:paraId="733DA9DE" w14:textId="77777777" w:rsidR="00A27547" w:rsidRDefault="00A27547" w:rsidP="00A27547">
      <w:r>
        <w:t>In this example, we estimated the change in QALYs and total healthcare costs between 1993 and 2017 from the change in BMI across the population of England and Wales. The population increased in size between 1993 and 2017, so to ensure comparability of estimates, we estimated the change in each outcome as if the total population and their relative age distribution were the same in 1993 and 2017, and only the BMI profile of the population changed. The estimates are thus a fair reflection of the increased cost due solely to a change in BMI, not including the effects of more people or a changing age distribution.</w:t>
      </w:r>
    </w:p>
    <w:p w14:paraId="1FAA9745" w14:textId="61EDB94F" w:rsidR="00A27547" w:rsidRPr="006F175F" w:rsidRDefault="00A27547" w:rsidP="00A27547">
      <w:r>
        <w:t xml:space="preserve">We used the results of the HSE to estimate the mean BMI within deciles of BMI in both 1993 and 2017, for all participants aged 40 to 69 years </w:t>
      </w:r>
      <w:r>
        <w:fldChar w:fldCharType="begin" w:fldLock="1"/>
      </w:r>
      <w:r w:rsidR="004452E9">
        <w:instrText>ADDIN CSL_CITATION { "citationItems" : [ { "id" : "ITEM-1", "itemData" : { "DOI" : "10.5255/UKDA-SN-3316-1", "author" : [ { "dropping-particle" : "", "family" : "Office of Population Censuses and Surveys", "given" : "Social Survey Division", "non-dropping-particle" : "", "parse-names" : false, "suffix" : "" } ], "edition" : "2nd Editio", "id" : "ITEM-1", "issued" : { "date-parts" : [ [ "1997" ] ] }, "publisher" : "UK Data Service", "title" : "Health Survey for England, 1993", "type" : "article" }, "uris" : [ "http://www.mendeley.com/documents/?uuid=54f7ec58-19ac-44f6-ade2-b18e7c5798f8" ] }, { "id" : "ITEM-2", "itemData" : { "DOI" : "10.5255/UKDA-SN-8488-2", "author" : [ { "dropping-particle" : "", "family" : "University College London", "given" : "Department of Epidemiology and Public Health", "non-dropping-particle" : "", "parse-names" : false, "suffix" : "" }, { "dropping-particle" : "", "family" : "(NatCen)", "given" : "National Centre for Social Research", "non-dropping-particle" : "", "parse-names" : false, "suffix" : "" } ], "edition" : "2nd Editio", "id" : "ITEM-2", "issued" : { "date-parts" : [ [ "2019" ] ] }, "publisher" : "UK Data Service", "title" : "Health Survey for England, 2017", "type" : "article" }, "uris" : [ "http://www.mendeley.com/documents/?uuid=37ece024-3727-4ace-ae34-96549fc9b990" ] } ], "mendeley" : { "formattedCitation" : "[15,16]", "plainTextFormattedCitation" : "[15,16]", "previouslyFormattedCitation" : "[24,25]" }, "properties" : { "noteIndex" : 0 }, "schema" : "https://github.com/citation-style-language/schema/raw/master/csl-citation.json" }</w:instrText>
      </w:r>
      <w:r>
        <w:fldChar w:fldCharType="separate"/>
      </w:r>
      <w:r w:rsidR="004452E9" w:rsidRPr="004452E9">
        <w:rPr>
          <w:noProof/>
        </w:rPr>
        <w:t>[15,16]</w:t>
      </w:r>
      <w:r>
        <w:fldChar w:fldCharType="end"/>
      </w:r>
      <w:r>
        <w:t>. The difference in BMI between the mean in each BMI decile represents the change in BMI for each tenth of the population, which allows us to determine whether the increase in BMI between 1993 and 2017 occurred equally across the BMI range, or was concentrated at particular tails of the distribution. We present the per-person results in the main text, corresponding to per person aged 40-69 years in England and Wales in 2017, with results across all people available in a supplementary table.</w:t>
      </w:r>
    </w:p>
    <w:p w14:paraId="6E7A0203" w14:textId="77777777" w:rsidR="00A27547" w:rsidRDefault="00A27547" w:rsidP="00A27547">
      <w:pPr>
        <w:pStyle w:val="Heading3"/>
      </w:pPr>
      <w:r>
        <w:t>d. The Cost of Being Overweight and Obese in 2017</w:t>
      </w:r>
    </w:p>
    <w:p w14:paraId="59AC2606" w14:textId="77777777" w:rsidR="00A27547" w:rsidRDefault="00A27547" w:rsidP="00A27547">
      <w:r>
        <w:t>In this example, we estimated the effect of being overweight and obese on QALYs and total healthcare costs in England and Wales in 2017. For this, we used HSE 2017 data to estimate the mean change in BMI required to bring the BMI of all participants down to no more than 25 kg/m</w:t>
      </w:r>
      <w:r>
        <w:rPr>
          <w:vertAlign w:val="superscript"/>
        </w:rPr>
        <w:t>2</w:t>
      </w:r>
      <w:r>
        <w:t>, within age groups for all HSE participants aged 40 to 69 years. We multiplied the age-specific estimates of the effect on QALYs and costs by the total number of people in those age categories in England and Wales in 2017 to estimate the effect of the intervention nationally. We present the total results across all people with a BMI above 25 kg/m</w:t>
      </w:r>
      <w:r>
        <w:rPr>
          <w:vertAlign w:val="superscript"/>
        </w:rPr>
        <w:t>2</w:t>
      </w:r>
      <w:r>
        <w:t xml:space="preserve"> aged 40-69 years in England and Wales in 2017 in the main text, with the per-person results available in a supplementary table.</w:t>
      </w:r>
    </w:p>
    <w:p w14:paraId="3C3B949D" w14:textId="77777777" w:rsidR="00A27547" w:rsidRDefault="00A27547" w:rsidP="00A27547"/>
    <w:p w14:paraId="54C11C1B" w14:textId="77777777" w:rsidR="00A27547" w:rsidRDefault="00A27547" w:rsidP="00A27547">
      <w:pPr>
        <w:spacing w:line="259" w:lineRule="auto"/>
        <w:jc w:val="left"/>
        <w:rPr>
          <w:rFonts w:asciiTheme="majorHAnsi" w:eastAsiaTheme="majorEastAsia" w:hAnsiTheme="majorHAnsi" w:cstheme="majorBidi"/>
          <w:color w:val="2F5496" w:themeColor="accent1" w:themeShade="BF"/>
          <w:sz w:val="26"/>
          <w:szCs w:val="26"/>
        </w:rPr>
      </w:pPr>
      <w:r>
        <w:br w:type="page"/>
      </w:r>
    </w:p>
    <w:p w14:paraId="0F60262E" w14:textId="77777777" w:rsidR="00A27547" w:rsidRDefault="00A27547" w:rsidP="00A27547">
      <w:pPr>
        <w:pStyle w:val="Heading2"/>
      </w:pPr>
      <w:r>
        <w:lastRenderedPageBreak/>
        <w:t>3.5 Worked Example of Policy Analysis</w:t>
      </w:r>
    </w:p>
    <w:p w14:paraId="76A57B8A" w14:textId="77777777" w:rsidR="00A27547" w:rsidRDefault="00A27547" w:rsidP="00A27547">
      <w:r>
        <w:t xml:space="preserve">In this section, we work through the analysis for policy analysis </w:t>
      </w:r>
      <w:r>
        <w:rPr>
          <w:b/>
          <w:bCs/>
        </w:rPr>
        <w:t>d</w:t>
      </w:r>
      <w:r>
        <w:t>, the cost of being overweight and obese in 2017.</w:t>
      </w:r>
    </w:p>
    <w:p w14:paraId="45814C40" w14:textId="77777777" w:rsidR="00A27547" w:rsidRDefault="00A27547" w:rsidP="00A27547">
      <w:r>
        <w:t>The HSE 2017 data includes 3,411 participants between the ages of 40 and 69 years. Of these, 2,449 (72%) have a BMI above 25 kg/m</w:t>
      </w:r>
      <w:r>
        <w:rPr>
          <w:vertAlign w:val="superscript"/>
        </w:rPr>
        <w:t>2</w:t>
      </w:r>
      <w:r>
        <w:t>. We calculate the amount of BMI each of these participants would need to lose in order to have a BMI of 25 kg/m</w:t>
      </w:r>
      <w:r>
        <w:rPr>
          <w:vertAlign w:val="superscript"/>
        </w:rPr>
        <w:t>2</w:t>
      </w:r>
      <w:r>
        <w:t>, split into the amount of BMI lost in the overweight and obese categories. For example, a person with a BMI of 34 kg/m</w:t>
      </w:r>
      <w:r>
        <w:rPr>
          <w:vertAlign w:val="superscript"/>
        </w:rPr>
        <w:t>2</w:t>
      </w:r>
      <w:r>
        <w:t xml:space="preserve"> would lose 4 kg/m</w:t>
      </w:r>
      <w:r>
        <w:rPr>
          <w:vertAlign w:val="superscript"/>
        </w:rPr>
        <w:t>2</w:t>
      </w:r>
      <w:r>
        <w:t xml:space="preserve"> in the obese category, and 5 kg/m</w:t>
      </w:r>
      <w:r>
        <w:rPr>
          <w:vertAlign w:val="superscript"/>
        </w:rPr>
        <w:t>2</w:t>
      </w:r>
      <w:r>
        <w:t xml:space="preserve"> in the overweight category, while a person with a BMI of 28 kg/m</w:t>
      </w:r>
      <w:r>
        <w:rPr>
          <w:vertAlign w:val="superscript"/>
        </w:rPr>
        <w:t>2</w:t>
      </w:r>
      <w:r>
        <w:t xml:space="preserve"> would only lose 3 kg/m</w:t>
      </w:r>
      <w:r>
        <w:rPr>
          <w:vertAlign w:val="superscript"/>
        </w:rPr>
        <w:t>2</w:t>
      </w:r>
      <w:r>
        <w:t xml:space="preserve"> in the overweight category.</w:t>
      </w:r>
    </w:p>
    <w:p w14:paraId="0C571B7B" w14:textId="77777777" w:rsidR="00A27547" w:rsidRDefault="00A27547" w:rsidP="00A27547">
      <w:r>
        <w:t xml:space="preserve">We then estimate the number of people in the population each person in HSE represents, assuming HSE is completely representative of the population of England and Wales (within age categories). In 2017, ONS estimated that there were 7,677,215 people aged 40-49 years, 4,129,245 people aged 50-54 years, 3,686,614 people aged 55-59 years, 3,169,875 people aged 60-64 years, and 3,079,548 people aged 65-69 years in England and Wales. In HSE, there were 1,154 people aged 40-49 years, 569 people aged 50-54 years, 620 people aged 55-59 years, 532 people aged 60-64 years, and 536 people aged 65-69 years. Within each age group, we divided the total population in England and Wales by the sample in HSE to estimate the number of people each participant of HSE represents. For example, for 40-49 years, each participant of HSE represented 6,653 people (7,677,215/1,154). </w:t>
      </w:r>
    </w:p>
    <w:p w14:paraId="04C5E433" w14:textId="77777777" w:rsidR="00A27547" w:rsidRDefault="00A27547" w:rsidP="00A27547">
      <w:r>
        <w:t>We then multiply the number of people each participant in HSE represented by the amount of BMI lost in the overweight and obese categories, and sum across age groups, to estimate the total amount of BMI that would need to be lost across each age group in England and Wales in 2017 so that no one would have a BMI above 25 kg/m</w:t>
      </w:r>
      <w:r>
        <w:rPr>
          <w:vertAlign w:val="superscript"/>
        </w:rPr>
        <w:t>2</w:t>
      </w:r>
      <w:r>
        <w:t>. For example, for people aged 40-49 years, 18,625,840 kg/m</w:t>
      </w:r>
      <w:r>
        <w:rPr>
          <w:vertAlign w:val="superscript"/>
        </w:rPr>
        <w:t>2</w:t>
      </w:r>
      <w:r>
        <w:t xml:space="preserve"> would need to be lost in the overweight category, and 12,012,948 kg/m</w:t>
      </w:r>
      <w:r>
        <w:rPr>
          <w:vertAlign w:val="superscript"/>
        </w:rPr>
        <w:t>2</w:t>
      </w:r>
      <w:r>
        <w:t xml:space="preserve"> would need to be lost in the obese category.</w:t>
      </w:r>
    </w:p>
    <w:p w14:paraId="36D039F1" w14:textId="77777777" w:rsidR="00A27547" w:rsidRPr="005F710D" w:rsidRDefault="00A27547" w:rsidP="00A27547">
      <w:r>
        <w:t>We then estimate the effect on QALYs and total healthcare costs of having this amount of BMI above 25 kg/m</w:t>
      </w:r>
      <w:r>
        <w:rPr>
          <w:vertAlign w:val="superscript"/>
        </w:rPr>
        <w:t>2</w:t>
      </w:r>
      <w:r>
        <w:t xml:space="preserve"> by multiplying the BMI amounts by the age and BMI category specific estimates from the Mendelian randomization analyses. Because the Mendelian randomization effect estimates have uncertainty, we repeat this process 10,000 times, taking the effect estimates from a random normal distribution with a mean of the effect estimate, and a SD of the SE of the estimate. For this example, we will just use the relevant effect estimates as an illustration. </w:t>
      </w:r>
    </w:p>
    <w:p w14:paraId="6D4B9BFA" w14:textId="77777777" w:rsidR="00A27547" w:rsidRDefault="00A27547" w:rsidP="00A27547">
      <w:r>
        <w:t>The effect estimate for a unit increase in BMI in the 40-49 year overweight group was -0.35% of a QALY for QALYs and £19.22 for total healthcare costs, and in the obese group was -0.23% of a QALY for QALYs and £12.60 for total healthcare costs. Multiplying these estimates with the total BMI lost in the overweight and obese groups, then adding everything together, gives us estimates of the effect of overweight and obesity in 40-49 years olds in 2017: a reduction of 92,824 QALYs and an increase of £509 million in total healthcare costs. Repeating this process for all age groups, and adding everything together, gives us the following estimates: a reduction of 579,579 QALYs and an increase of £3.58 billion in total healthcare costs.</w:t>
      </w:r>
    </w:p>
    <w:p w14:paraId="08ABC653" w14:textId="168847AD" w:rsidR="00A27547" w:rsidRDefault="00A27547" w:rsidP="00A27547">
      <w:r>
        <w:t>We repeat these calculations 10,000 times, randomly selecting different age and BMI category specific effect estimates in each simulation, and report the median effect estimates with a 95% confidence interval in each policy example.</w:t>
      </w:r>
    </w:p>
    <w:p w14:paraId="05327033" w14:textId="7B06F86A" w:rsidR="004452E9" w:rsidRDefault="004452E9">
      <w:pPr>
        <w:spacing w:line="259" w:lineRule="auto"/>
        <w:jc w:val="left"/>
      </w:pPr>
      <w:r>
        <w:br w:type="page"/>
      </w:r>
    </w:p>
    <w:p w14:paraId="5574FAEF" w14:textId="703B0722" w:rsidR="004452E9" w:rsidRDefault="004452E9" w:rsidP="004452E9">
      <w:pPr>
        <w:pStyle w:val="Heading2"/>
      </w:pPr>
      <w:r>
        <w:lastRenderedPageBreak/>
        <w:t>References</w:t>
      </w:r>
    </w:p>
    <w:p w14:paraId="3380DE46" w14:textId="6B3571B5" w:rsidR="004452E9" w:rsidRPr="004452E9" w:rsidRDefault="004452E9" w:rsidP="004452E9">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4452E9">
        <w:rPr>
          <w:rFonts w:ascii="Calibri" w:hAnsi="Calibri" w:cs="Calibri"/>
          <w:noProof/>
          <w:szCs w:val="24"/>
        </w:rPr>
        <w:t xml:space="preserve">1. </w:t>
      </w:r>
      <w:r w:rsidRPr="004452E9">
        <w:rPr>
          <w:rFonts w:ascii="Calibri" w:hAnsi="Calibri" w:cs="Calibri"/>
          <w:noProof/>
          <w:szCs w:val="24"/>
        </w:rPr>
        <w:tab/>
        <w:t xml:space="preserve">Sullivan PW, Slejko JF, Sculpher MJ, Ghushchyan V. Catalogue of EQ-5D scores for the United Kingdom. Med Decis Mak. 2011;31(6):800–4. </w:t>
      </w:r>
    </w:p>
    <w:p w14:paraId="71DC04D5"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2. </w:t>
      </w:r>
      <w:r w:rsidRPr="004452E9">
        <w:rPr>
          <w:rFonts w:ascii="Calibri" w:hAnsi="Calibri" w:cs="Calibri"/>
          <w:noProof/>
          <w:szCs w:val="24"/>
        </w:rPr>
        <w:tab/>
        <w:t xml:space="preserve">Azur MJ, Stuart EA, Frangakis C, Leaf PJ. Multiple imputation by chained equations: What is it and how does it work? Int J Methods Psychiatr Res. 2011;20(1):40–9. </w:t>
      </w:r>
    </w:p>
    <w:p w14:paraId="20B264AE"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3. </w:t>
      </w:r>
      <w:r w:rsidRPr="004452E9">
        <w:rPr>
          <w:rFonts w:ascii="Calibri" w:hAnsi="Calibri" w:cs="Calibri"/>
          <w:noProof/>
          <w:szCs w:val="24"/>
        </w:rPr>
        <w:tab/>
        <w:t xml:space="preserve">Haycock PC, Burgess S, Wade KH, Bowden J, Relton C, Smith GD. Best (but oft-forgotten) practices: The design, analysis, and interpretation of Mendelian randomization studies. Vol. 103, American Journal of Clinical Nutrition. 2016. p. 965–78. </w:t>
      </w:r>
    </w:p>
    <w:p w14:paraId="76CD2014"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4. </w:t>
      </w:r>
      <w:r w:rsidRPr="004452E9">
        <w:rPr>
          <w:rFonts w:ascii="Calibri" w:hAnsi="Calibri" w:cs="Calibri"/>
          <w:noProof/>
          <w:szCs w:val="24"/>
        </w:rPr>
        <w:tab/>
        <w:t xml:space="preserve">Burgess S, Scott RA, Timpson NJ, Smith GD, Thompson SG. Using published data in Mendelian randomization: A blueprint for efficient identification of causal risk factors. Eur J Epidemiol. 2015;30(7):543–52. </w:t>
      </w:r>
    </w:p>
    <w:p w14:paraId="36549A4C"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5. </w:t>
      </w:r>
      <w:r w:rsidRPr="004452E9">
        <w:rPr>
          <w:rFonts w:ascii="Calibri" w:hAnsi="Calibri" w:cs="Calibri"/>
          <w:noProof/>
          <w:szCs w:val="24"/>
        </w:rPr>
        <w:tab/>
        <w:t xml:space="preserve">Pierce BL, Burgess S. Efficient design for mendelian randomization studies: Subsample and 2-sample instrumental variable estimators. Am J Epidemiol. 2013;178(7):1177–84. </w:t>
      </w:r>
    </w:p>
    <w:p w14:paraId="66B03956"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6. </w:t>
      </w:r>
      <w:r w:rsidRPr="004452E9">
        <w:rPr>
          <w:rFonts w:ascii="Calibri" w:hAnsi="Calibri" w:cs="Calibri"/>
          <w:noProof/>
          <w:szCs w:val="24"/>
        </w:rPr>
        <w:tab/>
        <w:t xml:space="preserve">Greco M F Del, Minelli C, Sheehan NA, Thompson JR. Detecting pleiotropy in Mendelian randomisation studies with summary data and a continuous outcome. Stat Med. 2015;34(21):2926–40. </w:t>
      </w:r>
    </w:p>
    <w:p w14:paraId="11948F62"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7. </w:t>
      </w:r>
      <w:r w:rsidRPr="004452E9">
        <w:rPr>
          <w:rFonts w:ascii="Calibri" w:hAnsi="Calibri" w:cs="Calibri"/>
          <w:noProof/>
          <w:szCs w:val="24"/>
        </w:rPr>
        <w:tab/>
        <w:t xml:space="preserve">Hemani G, Bowden J, Davey Smith G. Evaluating the potential role of pleiotropy in Mendelian randomization studies. Hum Mol Genet. 2018;27(R2):R195–208. </w:t>
      </w:r>
    </w:p>
    <w:p w14:paraId="0B4D4EBD"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8. </w:t>
      </w:r>
      <w:r w:rsidRPr="004452E9">
        <w:rPr>
          <w:rFonts w:ascii="Calibri" w:hAnsi="Calibri" w:cs="Calibri"/>
          <w:noProof/>
          <w:szCs w:val="24"/>
        </w:rPr>
        <w:tab/>
        <w:t xml:space="preserve">Staley JR, Burgess S. Semiparametric methods for estimation of a nonlinear exposure-outcome relationship using instrumental variables with application to Mendelian randomization. Genet Epidemiol. 2017;41(4):341–52. </w:t>
      </w:r>
    </w:p>
    <w:p w14:paraId="2FD25B9D"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9. </w:t>
      </w:r>
      <w:r w:rsidRPr="004452E9">
        <w:rPr>
          <w:rFonts w:ascii="Calibri" w:hAnsi="Calibri" w:cs="Calibri"/>
          <w:noProof/>
          <w:szCs w:val="24"/>
        </w:rPr>
        <w:tab/>
        <w:t xml:space="preserve">Burgess S, Davies NM, Thompson SG. Instrumental variable analysis with a nonlinear exposure-outcome relationship. Epidemiology. 2014;25(6):877–85. </w:t>
      </w:r>
    </w:p>
    <w:p w14:paraId="34115D4B"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10. </w:t>
      </w:r>
      <w:r w:rsidRPr="004452E9">
        <w:rPr>
          <w:rFonts w:ascii="Calibri" w:hAnsi="Calibri" w:cs="Calibri"/>
          <w:noProof/>
          <w:szCs w:val="24"/>
        </w:rPr>
        <w:tab/>
        <w:t>Brumpton B, Sanderson E, Hartwig FP, Harrison S, Vie GÅ, Cho Y, et al. Within-family studies for Mendelian randomization: avoiding dynastic, assortative mating, and population stratification biases. bioRxiv [Internet]. 2019;602516. Available from: https://www.biorxiv.org/content/10.1101/602516v1?rss=1&amp;utm_source=dlvr.it&amp;utm_medium=twitter</w:t>
      </w:r>
    </w:p>
    <w:p w14:paraId="1934D61F"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11. </w:t>
      </w:r>
      <w:r w:rsidRPr="004452E9">
        <w:rPr>
          <w:rFonts w:ascii="Calibri" w:hAnsi="Calibri" w:cs="Calibri"/>
          <w:noProof/>
          <w:szCs w:val="24"/>
        </w:rPr>
        <w:tab/>
        <w:t xml:space="preserve">Kong A, Thorleifsson G, Frigge ML, Vilhjalmsson BJ, Young AI, Thorgeirsson TE, et al. The nature of nurture: Effects of parental genotypes. Science (80- ). 2018;359(6374):424–8. </w:t>
      </w:r>
    </w:p>
    <w:p w14:paraId="1B072EDE"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12. </w:t>
      </w:r>
      <w:r w:rsidRPr="004452E9">
        <w:rPr>
          <w:rFonts w:ascii="Calibri" w:hAnsi="Calibri" w:cs="Calibri"/>
          <w:noProof/>
          <w:szCs w:val="24"/>
        </w:rPr>
        <w:tab/>
        <w:t>Bycroft C, Freeman C, Petkova D, Band G, Elliott LT, Sharp K, et al. Genome-wide genetic data on ~500,000 UK Biobank participants. bioRxiv [Internet]. 2017;166298. Available from: https://www.biorxiv.org/content/early/2017/07/20/166298</w:t>
      </w:r>
    </w:p>
    <w:p w14:paraId="7D9DB8B0"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13. </w:t>
      </w:r>
      <w:r w:rsidRPr="004452E9">
        <w:rPr>
          <w:rFonts w:ascii="Calibri" w:hAnsi="Calibri" w:cs="Calibri"/>
          <w:noProof/>
          <w:szCs w:val="24"/>
        </w:rPr>
        <w:tab/>
        <w:t xml:space="preserve">Manichaikul A, Mychaleckyj JC, Rich SS, Daly K, Sale M, Chen WM. Robust relationship inference in genome-wide association studies. Bioinformatics. 2010;26(22):2867–73. </w:t>
      </w:r>
    </w:p>
    <w:p w14:paraId="26C32110"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14. </w:t>
      </w:r>
      <w:r w:rsidRPr="004452E9">
        <w:rPr>
          <w:rFonts w:ascii="Calibri" w:hAnsi="Calibri" w:cs="Calibri"/>
          <w:noProof/>
          <w:szCs w:val="24"/>
        </w:rPr>
        <w:tab/>
        <w:t xml:space="preserve">Sullivan PW. Are utilities bounded at 1.0? Implications for statistical analysis and scale development. Vol. 31, Medical Decision Making. 2011. p. 787–9. </w:t>
      </w:r>
    </w:p>
    <w:p w14:paraId="26D836A9"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15. </w:t>
      </w:r>
      <w:r w:rsidRPr="004452E9">
        <w:rPr>
          <w:rFonts w:ascii="Calibri" w:hAnsi="Calibri" w:cs="Calibri"/>
          <w:noProof/>
          <w:szCs w:val="24"/>
        </w:rPr>
        <w:tab/>
        <w:t>Office of Population Censuses and Surveys SSD. Health Survey for England, 1993 [Internet]. 2nd Editio. UK Data Service; 1997. Available from: http://doi.org/10.5255/UKDA-SN-3316-1</w:t>
      </w:r>
    </w:p>
    <w:p w14:paraId="4FB5AEAF"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16. </w:t>
      </w:r>
      <w:r w:rsidRPr="004452E9">
        <w:rPr>
          <w:rFonts w:ascii="Calibri" w:hAnsi="Calibri" w:cs="Calibri"/>
          <w:noProof/>
          <w:szCs w:val="24"/>
        </w:rPr>
        <w:tab/>
        <w:t>University College London D of E and PH, (NatCen) NC for SR. Health Survey for England, 2017 [Internet]. 2nd Editio. UK Data Service; 2019. Available from: http://doi.org/10.5255/UKDA-SN-8488-2</w:t>
      </w:r>
    </w:p>
    <w:p w14:paraId="07FB5FBF"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lastRenderedPageBreak/>
        <w:t xml:space="preserve">17. </w:t>
      </w:r>
      <w:r w:rsidRPr="004452E9">
        <w:rPr>
          <w:rFonts w:ascii="Calibri" w:hAnsi="Calibri" w:cs="Calibri"/>
          <w:noProof/>
          <w:szCs w:val="24"/>
        </w:rPr>
        <w:tab/>
        <w:t>Office For National Statistics. Estimates of the population for the UK, England and Wales, Scotland and Northern Ireland [Internet]. Mid year population estimates. 2019. Available from: https://www.ons.gov.uk/peoplepopulationandcommunity/populationandmigration/populationestimates/datasets/populationestimatesforukenglandandwalesscotlandandnorthernireland</w:t>
      </w:r>
    </w:p>
    <w:p w14:paraId="5194D2A4"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18. </w:t>
      </w:r>
      <w:r w:rsidRPr="004452E9">
        <w:rPr>
          <w:rFonts w:ascii="Calibri" w:hAnsi="Calibri" w:cs="Calibri"/>
          <w:noProof/>
          <w:szCs w:val="24"/>
        </w:rPr>
        <w:tab/>
        <w:t xml:space="preserve">National Institute for Health and Clinical Excellence. Process and methods guides; The guidelines manual. Guidel manual London. 2012;(November):147. </w:t>
      </w:r>
    </w:p>
    <w:p w14:paraId="5561B684"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19. </w:t>
      </w:r>
      <w:r w:rsidRPr="004452E9">
        <w:rPr>
          <w:rFonts w:ascii="Calibri" w:hAnsi="Calibri" w:cs="Calibri"/>
          <w:noProof/>
          <w:szCs w:val="24"/>
        </w:rPr>
        <w:tab/>
        <w:t>National Institute for Health and Care Excellence. Guide to the methods of technology appraisal 2013. Natl Inst Heal Care Excell [Internet]. 2013;(April):1–93. Available from: http://www.nice.org.uk/media/D45/1E/GuideToMethodsTechnologyAppraisal2013.pdf</w:t>
      </w:r>
    </w:p>
    <w:p w14:paraId="20A3D719"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20. </w:t>
      </w:r>
      <w:r w:rsidRPr="004452E9">
        <w:rPr>
          <w:rFonts w:ascii="Calibri" w:hAnsi="Calibri" w:cs="Calibri"/>
          <w:noProof/>
          <w:szCs w:val="24"/>
        </w:rPr>
        <w:tab/>
        <w:t xml:space="preserve">Ackroyd R, Mouiel J, Chevallier JM, Daoud F. Cost-effectiveness and budget impact of obesity surgery in patients with type-2 diabetes in three European countries. Obes Surg. 2006;16(11):1488–503. </w:t>
      </w:r>
    </w:p>
    <w:p w14:paraId="487F9833"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21. </w:t>
      </w:r>
      <w:r w:rsidRPr="004452E9">
        <w:rPr>
          <w:rFonts w:ascii="Calibri" w:hAnsi="Calibri" w:cs="Calibri"/>
          <w:noProof/>
          <w:szCs w:val="24"/>
        </w:rPr>
        <w:tab/>
        <w:t>Bank of England. Inflation calculator [Internet]. 2020 [cited 2020 Mar 10]. Available from: https://www.bankofengland.co.uk/monetary-policy/inflation/inflation-calculator</w:t>
      </w:r>
    </w:p>
    <w:p w14:paraId="61FEA641"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22. </w:t>
      </w:r>
      <w:r w:rsidRPr="004452E9">
        <w:rPr>
          <w:rFonts w:ascii="Calibri" w:hAnsi="Calibri" w:cs="Calibri"/>
          <w:noProof/>
          <w:szCs w:val="24"/>
        </w:rPr>
        <w:tab/>
        <w:t xml:space="preserve">Sjöström L, Narbro K, Sjöström CD, Karason K, Larsson B, Wedel H, et al. Effects of bariatric surgery on mortality in Swedish obese subjects. N Engl J Med. 2007;357(8):741–52. </w:t>
      </w:r>
    </w:p>
    <w:p w14:paraId="013D01A1"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23. </w:t>
      </w:r>
      <w:r w:rsidRPr="004452E9">
        <w:rPr>
          <w:rFonts w:ascii="Calibri" w:hAnsi="Calibri" w:cs="Calibri"/>
          <w:noProof/>
          <w:szCs w:val="24"/>
        </w:rPr>
        <w:tab/>
        <w:t xml:space="preserve">Sjöström L. Review of the key results from the Swedish Obese Subjects (SOS) trial - a prospective controlled intervention study of bariatric surgery. Vol. 273, Journal of Internal Medicine. 2013. p. 219–34. </w:t>
      </w:r>
    </w:p>
    <w:p w14:paraId="1C743430" w14:textId="77777777" w:rsidR="004452E9" w:rsidRPr="004452E9" w:rsidRDefault="004452E9" w:rsidP="004452E9">
      <w:pPr>
        <w:widowControl w:val="0"/>
        <w:autoSpaceDE w:val="0"/>
        <w:autoSpaceDN w:val="0"/>
        <w:adjustRightInd w:val="0"/>
        <w:ind w:left="640" w:hanging="640"/>
        <w:rPr>
          <w:rFonts w:ascii="Calibri" w:hAnsi="Calibri" w:cs="Calibri"/>
          <w:noProof/>
          <w:szCs w:val="24"/>
        </w:rPr>
      </w:pPr>
      <w:r w:rsidRPr="004452E9">
        <w:rPr>
          <w:rFonts w:ascii="Calibri" w:hAnsi="Calibri" w:cs="Calibri"/>
          <w:noProof/>
          <w:szCs w:val="24"/>
        </w:rPr>
        <w:t xml:space="preserve">24. </w:t>
      </w:r>
      <w:r w:rsidRPr="004452E9">
        <w:rPr>
          <w:rFonts w:ascii="Calibri" w:hAnsi="Calibri" w:cs="Calibri"/>
          <w:noProof/>
          <w:szCs w:val="24"/>
        </w:rPr>
        <w:tab/>
        <w:t>Department of Health and Social Care (DHSC). Restricting volume promotions for high fat, sugar, and salt (HFSS) products [Internet]. 2018. Available from: https://assets.publishing.service.gov.uk/government/uploads/system/uploads/attachment_data/file/770705/impact-assessment-for-restricting-volume-promotions-for-HFSS-products.pdf</w:t>
      </w:r>
    </w:p>
    <w:p w14:paraId="3102DFD8" w14:textId="77777777" w:rsidR="004452E9" w:rsidRPr="004452E9" w:rsidRDefault="004452E9" w:rsidP="004452E9">
      <w:pPr>
        <w:widowControl w:val="0"/>
        <w:autoSpaceDE w:val="0"/>
        <w:autoSpaceDN w:val="0"/>
        <w:adjustRightInd w:val="0"/>
        <w:ind w:left="640" w:hanging="640"/>
        <w:rPr>
          <w:rFonts w:ascii="Calibri" w:hAnsi="Calibri" w:cs="Calibri"/>
          <w:noProof/>
        </w:rPr>
      </w:pPr>
      <w:r w:rsidRPr="004452E9">
        <w:rPr>
          <w:rFonts w:ascii="Calibri" w:hAnsi="Calibri" w:cs="Calibri"/>
          <w:noProof/>
          <w:szCs w:val="24"/>
        </w:rPr>
        <w:t xml:space="preserve">25. </w:t>
      </w:r>
      <w:r w:rsidRPr="004452E9">
        <w:rPr>
          <w:rFonts w:ascii="Calibri" w:hAnsi="Calibri" w:cs="Calibri"/>
          <w:noProof/>
          <w:szCs w:val="24"/>
        </w:rPr>
        <w:tab/>
        <w:t>Global and Public Health Group/ Obesity Branch/Childhood Obesity Team/10800. Department of Health and Social Care (DHSC) Calorie Model [Internet]. 2018. Available from: https://assets.publishing.service.gov.uk/government/uploads/system/uploads/attachment_data/file/736417/dhsc-calorie-model-technical-document.pdf</w:t>
      </w:r>
    </w:p>
    <w:p w14:paraId="3268C130" w14:textId="19805479" w:rsidR="004452E9" w:rsidRDefault="004452E9" w:rsidP="00A27547">
      <w:r>
        <w:fldChar w:fldCharType="end"/>
      </w:r>
    </w:p>
    <w:p w14:paraId="40E42569" w14:textId="77777777" w:rsidR="00A27547" w:rsidRDefault="00A27547" w:rsidP="00A27547"/>
    <w:p w14:paraId="6678190F" w14:textId="77777777" w:rsidR="00A27547" w:rsidRDefault="00A27547"/>
    <w:sectPr w:rsidR="00A275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ED53B" w14:textId="77777777" w:rsidR="00A27547" w:rsidRDefault="00A27547" w:rsidP="00A27547">
      <w:pPr>
        <w:spacing w:after="0"/>
      </w:pPr>
      <w:r>
        <w:separator/>
      </w:r>
    </w:p>
  </w:endnote>
  <w:endnote w:type="continuationSeparator" w:id="0">
    <w:p w14:paraId="5B70FBE4" w14:textId="77777777" w:rsidR="00A27547" w:rsidRDefault="00A27547" w:rsidP="00A275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B6837" w14:textId="77777777" w:rsidR="00A27547" w:rsidRDefault="00A27547" w:rsidP="00A27547">
      <w:pPr>
        <w:spacing w:after="0"/>
      </w:pPr>
      <w:r>
        <w:separator/>
      </w:r>
    </w:p>
  </w:footnote>
  <w:footnote w:type="continuationSeparator" w:id="0">
    <w:p w14:paraId="10F8124C" w14:textId="77777777" w:rsidR="00A27547" w:rsidRDefault="00A27547" w:rsidP="00A275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54C0"/>
    <w:multiLevelType w:val="hybridMultilevel"/>
    <w:tmpl w:val="1F72D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9292F"/>
    <w:multiLevelType w:val="hybridMultilevel"/>
    <w:tmpl w:val="3312B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A1D2E"/>
    <w:multiLevelType w:val="hybridMultilevel"/>
    <w:tmpl w:val="5CD83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47"/>
    <w:rsid w:val="004452E9"/>
    <w:rsid w:val="00A275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668C1"/>
  <w15:chartTrackingRefBased/>
  <w15:docId w15:val="{AD8D0A03-9165-44C7-9D0C-56C1BC74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547"/>
    <w:pPr>
      <w:spacing w:line="240" w:lineRule="auto"/>
      <w:jc w:val="both"/>
    </w:pPr>
    <w:rPr>
      <w:rFonts w:eastAsiaTheme="minorHAnsi"/>
      <w:lang w:eastAsia="en-US"/>
    </w:rPr>
  </w:style>
  <w:style w:type="paragraph" w:styleId="Heading1">
    <w:name w:val="heading 1"/>
    <w:basedOn w:val="Normal"/>
    <w:next w:val="Normal"/>
    <w:link w:val="Heading1Char"/>
    <w:uiPriority w:val="9"/>
    <w:qFormat/>
    <w:rsid w:val="00A27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5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75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47"/>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A27547"/>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A27547"/>
    <w:rPr>
      <w:rFonts w:asciiTheme="majorHAnsi" w:eastAsiaTheme="majorEastAsia" w:hAnsiTheme="majorHAnsi" w:cstheme="majorBidi"/>
      <w:color w:val="1F3763" w:themeColor="accent1" w:themeShade="7F"/>
      <w:sz w:val="24"/>
      <w:szCs w:val="24"/>
      <w:lang w:eastAsia="en-US"/>
    </w:rPr>
  </w:style>
  <w:style w:type="paragraph" w:styleId="ListParagraph">
    <w:name w:val="List Paragraph"/>
    <w:basedOn w:val="Normal"/>
    <w:uiPriority w:val="34"/>
    <w:qFormat/>
    <w:rsid w:val="00A27547"/>
    <w:pPr>
      <w:ind w:left="720"/>
      <w:contextualSpacing/>
    </w:pPr>
  </w:style>
  <w:style w:type="character" w:customStyle="1" w:styleId="mjx-char">
    <w:name w:val="mjx-char"/>
    <w:basedOn w:val="DefaultParagraphFont"/>
    <w:rsid w:val="00A27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226E6-3320-4231-8825-F021E8ADB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17030</Words>
  <Characters>97076</Characters>
  <Application>Microsoft Office Word</Application>
  <DocSecurity>0</DocSecurity>
  <Lines>808</Lines>
  <Paragraphs>227</Paragraphs>
  <ScaleCrop>false</ScaleCrop>
  <Company/>
  <LinksUpToDate>false</LinksUpToDate>
  <CharactersWithSpaces>113879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2</cp:revision>
  <dcterms:created xsi:type="dcterms:W3CDTF">2021-07-29T20:36:00Z</dcterms:created>
  <dcterms:modified xsi:type="dcterms:W3CDTF">2021-08-16T18:54:00Z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http://csl.mendeley.com/styles/455877781/vancouver-2</vt:lpwstr>
  </property>
  <property fmtid="{D5CDD505-2E9C-101B-9397-08002B2CF9AE}" pid="19" name="Mendeley Recent Style Name 8_1">
    <vt:lpwstr>Vancouver - Sean Harrison</vt:lpwstr>
  </property>
  <property fmtid="{D5CDD505-2E9C-101B-9397-08002B2CF9AE}" pid="20" name="Mendeley Recent Style Id 9_1">
    <vt:lpwstr>http://www.zotero.org/styles/vancouver_square</vt:lpwstr>
  </property>
  <property fmtid="{D5CDD505-2E9C-101B-9397-08002B2CF9AE}" pid="21" name="Mendeley Recent Style Name 9_1">
    <vt:lpwstr>Vancouver_square</vt:lpwstr>
  </property>
  <property fmtid="{D5CDD505-2E9C-101B-9397-08002B2CF9AE}" pid="22" name="Mendeley Document_1">
    <vt:lpwstr>True</vt:lpwstr>
  </property>
  <property fmtid="{D5CDD505-2E9C-101B-9397-08002B2CF9AE}" pid="23" name="Mendeley Unique User Id_1">
    <vt:lpwstr>00320761-1b12-3bff-8b0f-d4c691ed52e2</vt:lpwstr>
  </property>
  <property fmtid="{D5CDD505-2E9C-101B-9397-08002B2CF9AE}" pid="24" name="Mendeley Citation Style_1">
    <vt:lpwstr>http://www.zotero.org/styles/vancouver_square</vt:lpwstr>
  </property>
</Properties>
</file>