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jpeg" ContentType="image/jpeg"/>
  <Override PartName="/word/document.xml" ContentType="application/vnd.openxmlformats-officedocument.wordprocessingml.document.main+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jc w:val="center"/>
        <w:rPr>
          <w:b/>
          <w:b/>
          <w:sz w:val="28"/>
        </w:rPr>
      </w:pPr>
      <w:r>
        <w:rPr>
          <w:b/>
          <w:sz w:val="28"/>
        </w:rPr>
        <w:t>DON26BZ03-NV059: Real-time Zero Trust Data and Access Control for Combat Systems</w:t>
      </w:r>
    </w:p>
    <w:p>
      <w:pPr>
        <w:pStyle w:val="Normal"/>
        <w:spacing w:before="0" w:after="0"/>
        <w:ind w:hanging="0"/>
        <w:jc w:val="center"/>
        <w:rPr>
          <w:b/>
          <w:b/>
          <w:sz w:val="28"/>
        </w:rPr>
      </w:pPr>
      <w:r>
        <w:rPr>
          <w:b/>
          <w:sz w:val="28"/>
        </w:rPr>
        <w:t>Volume 2: Technical Volume</w:t>
      </w:r>
    </w:p>
    <w:p>
      <w:pPr>
        <w:pStyle w:val="Normal"/>
        <w:ind w:hanging="0"/>
        <w:rPr>
          <w:b/>
          <w:b/>
          <w:sz w:val="22"/>
          <w:szCs w:val="22"/>
        </w:rPr>
      </w:pPr>
      <w:r>
        <w:rPr>
          <w:b/>
          <w:sz w:val="22"/>
          <w:szCs w:val="22"/>
        </w:rPr>
      </w:r>
    </w:p>
    <w:p>
      <w:pPr>
        <w:pStyle w:val="Normal"/>
        <w:shd w:val="clear" w:color="auto" w:fill="FFFFFF"/>
        <w:spacing w:before="0" w:after="0"/>
        <w:ind w:hanging="0"/>
        <w:rPr>
          <w:rFonts w:ascii="Courier New" w:hAnsi="Courier New" w:eastAsia="Arial Unicode MS"/>
          <w:sz w:val="20"/>
          <w:szCs w:val="20"/>
        </w:rPr>
      </w:pPr>
      <w:r>
        <w:rPr>
          <w:rFonts w:eastAsia="Arial Unicode MS"/>
          <w:sz w:val="20"/>
          <w:szCs w:val="20"/>
        </w:rPr>
        <w:t>This proposal includes data that must not be disclosed outside the Government and must not be duplicated, used, or disclosed in whole or in part for any purpose other than to evaluate this proposal. If, however, a contract is awarded to this proposing SBC as a result of, or in connection with, the submission of this data, the Government has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all pages.</w:t>
      </w:r>
    </w:p>
    <w:p>
      <w:pPr>
        <w:pStyle w:val="Normal"/>
        <w:ind w:hanging="0"/>
        <w:rPr>
          <w:b/>
          <w:b/>
          <w:sz w:val="22"/>
          <w:szCs w:val="22"/>
        </w:rPr>
      </w:pPr>
      <w:r>
        <w:rPr>
          <w:b/>
          <w:sz w:val="22"/>
          <w:szCs w:val="22"/>
        </w:rPr>
      </w:r>
    </w:p>
    <w:p>
      <w:pPr>
        <w:pStyle w:val="Normal"/>
        <w:ind w:hanging="0"/>
        <w:rPr>
          <w:b/>
          <w:b/>
          <w:sz w:val="22"/>
          <w:szCs w:val="22"/>
        </w:rPr>
      </w:pPr>
      <w:r>
        <w:rPr>
          <w:b/>
          <w:color w:val="000000"/>
          <w:sz w:val="22"/>
          <w:szCs w:val="22"/>
          <w:u w:val="single"/>
          <w:shd w:fill="FFFFFF" w:val="clear"/>
        </w:rPr>
        <w:t>AutonomousTrust: Behavior-Aware Zero Trust for Comms-Denied Combat Systems</w:t>
      </w:r>
      <w:r>
        <w:rPr>
          <w:rFonts w:ascii="monospace" w:hAnsi="monospace"/>
          <w:b/>
          <w:sz w:val="22"/>
          <w:szCs w:val="22"/>
        </w:rPr>
        <w:br/>
      </w:r>
    </w:p>
    <w:p>
      <w:pPr>
        <w:pStyle w:val="Normal"/>
        <w:ind w:hanging="0"/>
        <w:rPr>
          <w:sz w:val="20"/>
          <w:szCs w:val="20"/>
        </w:rPr>
      </w:pPr>
      <w:r>
        <w:rPr>
          <w:b/>
          <w:sz w:val="20"/>
          <w:szCs w:val="20"/>
        </w:rPr>
        <w:t>1.0</w:t>
        <w:tab/>
        <w:t>Description of Proposed Phase I Technical Effort</w:t>
      </w:r>
    </w:p>
    <w:p>
      <w:pPr>
        <w:pStyle w:val="Normal"/>
        <w:ind w:hanging="0"/>
        <w:rPr>
          <w:sz w:val="20"/>
          <w:szCs w:val="20"/>
        </w:rPr>
      </w:pPr>
      <w:r>
        <w:rPr>
          <w:b/>
          <w:sz w:val="20"/>
          <w:szCs w:val="20"/>
        </w:rPr>
        <w:t xml:space="preserve">Understanding of the Navy requirement. </w:t>
      </w:r>
      <w:r>
        <w:rPr>
          <w:sz w:val="20"/>
          <w:szCs w:val="20"/>
        </w:rPr>
        <w:t>The Navy must protect combat-system data for wartime decision-making while continuously assuring its integrity, but as the topic observes, standard security is “too slow and inflexible” for modern naval operations and a solution “is not commercially available.” The reason is structural. Zero Trust Architecture (ZTA) (NIST SP 800-207) as conventionally implemented is policy-driven, hence human-driven, and depends on a reachable central authority (CA/OCSP/CRL). This yields three failure points that matter acutely at the tactical edge:</w:t>
      </w:r>
    </w:p>
    <w:p>
      <w:pPr>
        <w:pStyle w:val="Normal"/>
        <w:spacing w:before="0" w:after="80"/>
        <w:ind w:left="360" w:hanging="259"/>
        <w:rPr>
          <w:sz w:val="20"/>
          <w:szCs w:val="20"/>
        </w:rPr>
      </w:pPr>
      <w:r>
        <w:rPr>
          <w:b/>
          <w:sz w:val="20"/>
          <w:szCs w:val="20"/>
        </w:rPr>
        <w:t xml:space="preserve">• </w:t>
      </w:r>
      <w:r>
        <w:rPr>
          <w:sz w:val="20"/>
          <w:szCs w:val="20"/>
        </w:rPr>
        <w:t xml:space="preserve"> </w:t>
      </w:r>
      <w:r>
        <w:rPr>
          <w:sz w:val="20"/>
          <w:szCs w:val="20"/>
        </w:rPr>
        <w:t>It does not survive the comms-denied edge (DDIL). SP 800-207 §5.2 states that if the policy engine/administrator are unreachable, no new connection can be approved. CRLs commonly exceed tens of megabytes, tactical SATCOM at 9.6 to 256 kbps cannot reliably pull them. In exactly the contested, jammed, and/or partitioned conditions which a peer adversary will engineer, conventional ZTA collapses to fail-open (insecure) or fail-closed (mission kill).</w:t>
      </w:r>
    </w:p>
    <w:p>
      <w:pPr>
        <w:pStyle w:val="Normal"/>
        <w:spacing w:before="0" w:after="80"/>
        <w:ind w:left="360" w:hanging="259"/>
        <w:rPr>
          <w:sz w:val="20"/>
          <w:szCs w:val="20"/>
        </w:rPr>
      </w:pPr>
      <w:r>
        <w:rPr>
          <w:b/>
          <w:sz w:val="20"/>
          <w:szCs w:val="20"/>
        </w:rPr>
        <w:t xml:space="preserve">•  </w:t>
      </w:r>
      <w:r>
        <w:rPr>
          <w:sz w:val="20"/>
          <w:szCs w:val="20"/>
        </w:rPr>
        <w:t>It cannot evaluate behavior. A credentialed, policy-compliant endpoint that has been compromised passes every certificate check. The compromised-but-authenticated asset is SP 800-207’s blind spot and the most dangerous case in a combat system.</w:t>
      </w:r>
    </w:p>
    <w:p>
      <w:pPr>
        <w:pStyle w:val="Normal"/>
        <w:spacing w:before="0" w:after="80"/>
        <w:ind w:left="360" w:hanging="259"/>
        <w:rPr>
          <w:sz w:val="20"/>
          <w:szCs w:val="20"/>
        </w:rPr>
      </w:pPr>
      <w:r>
        <w:rPr>
          <w:b/>
          <w:sz w:val="20"/>
          <w:szCs w:val="20"/>
        </w:rPr>
        <w:t xml:space="preserve">• </w:t>
      </w:r>
      <w:r>
        <w:rPr>
          <w:sz w:val="20"/>
          <w:szCs w:val="20"/>
        </w:rPr>
        <w:t xml:space="preserve"> </w:t>
      </w:r>
      <w:r>
        <w:rPr>
          <w:sz w:val="20"/>
          <w:szCs w:val="20"/>
        </w:rPr>
        <w:t>It does not scale by policy. Each new asset, data flow, and coalition partner multiplies the human policy surface combinatorially, guaranteeing either gaps or over-restriction.</w:t>
      </w:r>
    </w:p>
    <w:p>
      <w:pPr>
        <w:pStyle w:val="Normal"/>
        <w:spacing w:before="0" w:after="80"/>
        <w:rPr>
          <w:sz w:val="20"/>
          <w:szCs w:val="20"/>
        </w:rPr>
      </w:pPr>
      <w:r>
        <w:rPr>
          <w:b/>
          <w:sz w:val="20"/>
          <w:szCs w:val="20"/>
        </w:rPr>
        <w:t xml:space="preserve">The technical approach: AutonomousTrust (AT). </w:t>
      </w:r>
      <w:r>
        <w:rPr>
          <w:sz w:val="20"/>
          <w:szCs w:val="20"/>
        </w:rPr>
        <w:t xml:space="preserve">AT is an existing, working prototype that closes these gaps by extending ZTA into the territory it cannot reach: continuous, autonomous, behavioral trust evaluation operating without centralized infrastructure and, for routine evaluation, without a human in the loop (safety-critical access stays human-on-the-loop). ZTA authentication opens the door; AT behavioral enforcement then decides what happens inside the room. The production C core (embedded ARM build) is under ongoing Frama-C/WP + ACSL formal verification, currently at 54% function coverage/100% on attempted goals; a byte-for-byte Python reference (see §1.3) is the executable spec. </w:t>
      </w:r>
      <w:r>
        <w:rPr>
          <w:sz w:val="20"/>
          <w:szCs w:val="20"/>
        </w:rPr>
        <w:t>AT sits on the network stack and governs all messaging.</w:t>
      </w:r>
    </w:p>
    <w:p>
      <w:pPr>
        <w:pStyle w:val="Normal"/>
        <w:spacing w:before="0" w:after="80"/>
        <w:rPr>
          <w:sz w:val="20"/>
          <w:szCs w:val="20"/>
        </w:rPr>
      </w:pPr>
      <w:r>
        <w:rPr>
          <w:b/>
          <w:sz w:val="20"/>
          <w:szCs w:val="20"/>
        </w:rPr>
        <w:t xml:space="preserve">Where AT fits: M2M / OT. </w:t>
      </w:r>
      <w:r>
        <w:rPr>
          <w:sz w:val="20"/>
          <w:szCs w:val="20"/>
        </w:rPr>
        <w:t xml:space="preserve">The topic Q&amp;A puts Operational Technology in scope: sensors, weapons control, navigation, and mission-critical embedded systems across heterogeneous OS/device types. This is AT’s native ground: a machine-to-machine / non-person-entity (NPE) continuous-trust and authorization/enforcement fabric for exactly such embedded, intermittently-connected fleets. AT thus </w:t>
      </w:r>
      <w:r>
        <w:rPr>
          <w:color w:val="000000"/>
          <w:sz w:val="20"/>
          <w:szCs w:val="20"/>
        </w:rPr>
        <w:t xml:space="preserve">substantially advances </w:t>
      </w:r>
      <w:r>
        <w:rPr>
          <w:rFonts w:eastAsia="Calibri" w:cs="Calibri"/>
          <w:color w:val="000000"/>
          <w:sz w:val="20"/>
          <w:szCs w:val="20"/>
        </w:rPr>
        <w:t>the continuous-trust and authorization/enforcement layer of SP 800-207</w:t>
      </w:r>
      <w:r>
        <w:rPr>
          <w:color w:val="000000"/>
          <w:sz w:val="20"/>
          <w:szCs w:val="20"/>
        </w:rPr>
        <w:t>, and</w:t>
      </w:r>
      <w:r>
        <w:rPr>
          <w:sz w:val="20"/>
          <w:szCs w:val="20"/>
        </w:rPr>
        <w:t xml:space="preserve"> integrates the other pillars (ICAM identity, micro-segmentation, AI/ML, immutable logging) into one coherent system. Human-identity assurance (biometrics/MFA/CAC/PIV) is met by integrating the established DoD identity stack (DoD ICAM / DoD PKI / CAC [herein ICAM]) through AT’s pluggable credential verifier. Machine decisions stay as close to the edge as possible, echoing the human chain of command.</w:t>
      </w:r>
      <w:r>
        <w:rPr>
          <w:sz w:val="20"/>
        </w:rPr>
        <w:t xml:space="preserve"> Concretely, AT deploys as a small resident agent co-located with each combat-system/OT endpoint (or, where a device cannot host code, as a bump-in-the-wire gateway on its data bus), sitting between the mission application and the network as that node’s policy-enforcement/decision point. It is engineered to run inside a tight node budget without contending with the mission workload it protects: the bounded-memory, deterministic C core and the streaming, online anomaly layer (fixed per-peer state, no data-lake backhaul) run as a low-priority co-resident process or offload entirely to the gateway, so a compute-starved sensor or weapons controller carries little or none of the trust-evaluation cost. Phase I (O2/O4) characterizes this footprint (CPU, memory, and added latency on representative embedded ARM hardware) and reports it as a first-class result so integrators can size AT against a node’s spare budget.</w:t>
      </w:r>
    </w:p>
    <w:p>
      <w:pPr>
        <w:pStyle w:val="Normal"/>
        <w:spacing w:before="0" w:after="80"/>
        <w:rPr/>
      </w:pPr>
      <w:r>
        <w:rPr>
          <w:b/>
          <w:sz w:val="20"/>
        </w:rPr>
        <w:t xml:space="preserve">Concrete use-case (MTC-A/X kill chain). </w:t>
      </w:r>
      <w:r>
        <w:rPr>
          <w:sz w:val="20"/>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943600" cy="29806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2980690"/>
                    </a:xfrm>
                    <a:prstGeom prst="rect">
                      <a:avLst/>
                    </a:prstGeom>
                  </pic:spPr>
                </pic:pic>
              </a:graphicData>
            </a:graphic>
          </wp:anchor>
        </w:drawing>
      </w:r>
      <w:r>
        <w:rPr>
          <w:sz w:val="20"/>
        </w:rPr>
        <w:t>Consider a Maritime Targeting Cell-Afloat/Expeditionary engagement thread (see figure): multiple ISR sensors, a track-fusion/targeting node, and a fires/effects console spread across ships and disadvantaged nodes on tactical SATCOM. In steady-state, a sensor’s tracks reach the targeting node only while both endpoints hold reputation above the required tier. A sensor that is authenticated and certificate-valid but has been captured or spoofed, injecting an off-track return, drifts outside its learned behavioral envelope, loses reputation, and is autonomously slashed and tier-gated out of the fires path locally and in real time, with signed evidence, while a human-on-the-loop retains override for safety-critical fires. When the SATCOM link to the PDP and DoD PKI drops, the cohort keeps operating: the targeting node is vouched for by quorum at a capped tier, each admission is signed, and the audit reconciles on reconnect; no step in this loop waits on a reachable central authority.</w:t>
      </w:r>
    </w:p>
    <w:p>
      <w:pPr>
        <w:pStyle w:val="Normal"/>
        <w:spacing w:before="0" w:after="80"/>
        <w:rPr>
          <w:sz w:val="20"/>
          <w:szCs w:val="20"/>
        </w:rPr>
      </w:pPr>
      <w:r>
        <w:rPr>
          <w:b/>
          <w:sz w:val="20"/>
          <w:szCs w:val="20"/>
        </w:rPr>
        <w:t xml:space="preserve">The hierarchical AT network. </w:t>
      </w:r>
      <w:r>
        <w:rPr>
          <w:sz w:val="20"/>
          <w:szCs w:val="20"/>
        </w:rPr>
        <w:t>Standard DoD ICAM, like standard ZTA, puts central path-validation and revocation (OCSP round-trip or large CRL) on the login hot path. This is the same fail-open/fail-closed binary when the responder is unreachable, and is a one-shot proof conferring implicit trust thereafter. AT keeps ICAM for high-assurance proof of human user identity, but pays that step once, at console activation, bound to the local cryptographic AT identity (off the per-access hot path), replacing implicit-trust-after-login with continuous behavioral trust via nested PDPs in its hierarchical, emergent-gateway network. Where an edge console cannot reach DoD PKI, a connected gateway validates (via OCSP stapling / cached short-lived revocation, pre-staged while connected) and vouches via quorum-gated, reputation-weighted delegated verification. These are in-spec techniques AT makes autonomous so that the disconnected operator is verified through the cohort, not forced to fail open or closed. Should an adversary shrink the reachable quorum (jamming/partition) to force this fallback, AT still does not fail open. A sub-threshold quorum admits only at a capped reputation ceiling and reduced tier-gate (base-3 containment). Gated by history-independent bases 1 and 2 (cryptographic identity, hardware attestation), every admission is signed as evidence for reconnect reconciliation, yielding contained, capped access. This is precisely the edge-resident policy engine with cryptographically immutable, offline-intact audit and re-verification on reconnect that the Q&amp;A mentions.</w:t>
      </w:r>
    </w:p>
    <w:p>
      <w:pPr>
        <w:pStyle w:val="Normal"/>
        <w:spacing w:before="0" w:after="80"/>
        <w:rPr>
          <w:sz w:val="20"/>
          <w:szCs w:val="20"/>
        </w:rPr>
      </w:pPr>
      <w:r>
        <w:rPr>
          <w:b/>
          <w:sz w:val="20"/>
          <w:szCs w:val="20"/>
        </w:rPr>
        <w:t xml:space="preserve">Five bases of trust. </w:t>
      </w:r>
      <w:r>
        <w:rPr>
          <w:sz w:val="20"/>
          <w:szCs w:val="20"/>
        </w:rPr>
        <w:t>A real-time combat system must use the bases available before behavioral history exists: (1) authentication/provenance (ICAM); (2) hardware attestation for captured-asset defense (TPM / secure element, measured boot); (3) least-privilege containment; (4) delegated/transferred trust; (5) behavioral reputation. Bases 1 to 4 need no history; base 5 requires an iterated game. The challenge is to assess a never-before-seen, one-shot actor in real time. Two facts make that limit far less binding: a combat fleet is a small, persistent population of repeat players (an iterated game at identity-lifetime scale), and constraint beats detection. AT leads with the history-independent layers (1 to 4) and treats behavioral detection (base 5, including the topic's AI/ML) as a gap-filling refinement.</w:t>
      </w:r>
    </w:p>
    <w:p>
      <w:pPr>
        <w:pStyle w:val="Normal"/>
        <w:spacing w:before="0" w:after="80"/>
        <w:rPr>
          <w:sz w:val="20"/>
          <w:szCs w:val="20"/>
        </w:rPr>
      </w:pPr>
      <w:r>
        <w:rPr>
          <w:b/>
          <w:sz w:val="20"/>
          <w:szCs w:val="20"/>
        </w:rPr>
        <w:t xml:space="preserve">Deterministic consensus based on learned evidence. </w:t>
      </w:r>
      <w:r>
        <w:rPr>
          <w:sz w:val="20"/>
          <w:szCs w:val="20"/>
        </w:rPr>
        <w:t>The topic calls for AI/ML analyzing access patterns in real time. Our primary answer is AT's deterministic, evidence-gated enforcement. A lightweight in-built ML anomaly layer is a secondary, governed sensor feeding evidence to the trust algorithm. Each node models the behavioral envelope of every peer/role and emits a per-peer anomaly score with per-feature attribution; a sustained anomaly feeds reputation and, past threshold, fires AT's quorum-signed, Merkle-proof-gated slashing and tier-gate exclusion. Every decision is deterministic, reproducible, and traceable to signed evidence. The layer uses streaming Half-Space Trees and a per-feature streaming-histogram detector (HBOS/LODA, native attribution) per peer/role: unsupervised, online, bounded-memory, and deterministic under fixed seeds; it is also prototyped in Python (</w:t>
      </w:r>
      <w:r>
        <w:rPr>
          <w:color w:val="000000"/>
          <w:sz w:val="20"/>
          <w:szCs w:val="20"/>
        </w:rPr>
        <w:t xml:space="preserve">River/PyOD), and reimplemented in the formally verified C core. </w:t>
      </w:r>
      <w:r>
        <w:rPr>
          <w:rFonts w:eastAsia="Calibri" w:cs="Calibri"/>
          <w:color w:val="000000"/>
          <w:sz w:val="20"/>
          <w:szCs w:val="20"/>
        </w:rPr>
        <w:t>Enterprise UEBA platforms assume continuous backhaul to a data lake and a passive sensor model; both assumptions fail under DDIL. AT addresses this with on-device analytics on the formally-verified C core</w:t>
      </w:r>
      <w:r>
        <w:rPr>
          <w:color w:val="000000"/>
          <w:sz w:val="20"/>
          <w:szCs w:val="20"/>
        </w:rPr>
        <w:t>. Th</w:t>
      </w:r>
      <w:r>
        <w:rPr>
          <w:sz w:val="20"/>
          <w:szCs w:val="20"/>
        </w:rPr>
        <w:t>is mitigates the intrusion-detection base-rate fal</w:t>
      </w:r>
      <w:r>
        <w:rPr>
          <w:color w:val="000000"/>
          <w:sz w:val="20"/>
          <w:szCs w:val="20"/>
        </w:rPr>
        <w:t xml:space="preserve">lacy (Axelsson, </w:t>
      </w:r>
      <w:r>
        <w:rPr>
          <w:rFonts w:eastAsia="Calibri" w:cs="Calibri"/>
          <w:color w:val="000000"/>
          <w:sz w:val="20"/>
          <w:szCs w:val="20"/>
        </w:rPr>
        <w:t>The base-rate fallacy and the difficulty of intrusion detection, ACM TISSEC, 2000</w:t>
      </w:r>
      <w:r>
        <w:rPr>
          <w:color w:val="000000"/>
          <w:sz w:val="20"/>
          <w:szCs w:val="20"/>
        </w:rPr>
        <w:t xml:space="preserve">), </w:t>
      </w:r>
      <w:r>
        <w:rPr>
          <w:sz w:val="20"/>
          <w:szCs w:val="20"/>
        </w:rPr>
        <w:t>where attack rarity lets a naive detector's false positives swamp the true ones.</w:t>
      </w:r>
    </w:p>
    <w:p>
      <w:pPr>
        <w:pStyle w:val="Normal"/>
        <w:spacing w:before="0" w:after="80"/>
        <w:rPr>
          <w:sz w:val="20"/>
          <w:szCs w:val="20"/>
        </w:rPr>
      </w:pPr>
      <w:r>
        <w:rPr>
          <w:b/>
          <w:sz w:val="20"/>
          <w:szCs w:val="20"/>
        </w:rPr>
        <w:t xml:space="preserve">How AT meets each Navy Requirement (requirements traceability). </w:t>
      </w:r>
      <w:r>
        <w:rPr>
          <w:sz w:val="20"/>
          <w:szCs w:val="20"/>
        </w:rPr>
        <w:t>Each requirement below names the AT mechanism and its status: Implemented (I), Implemented-partial (IP), Phase I prototype (P), or Phase I design (D).</w:t>
      </w:r>
    </w:p>
    <w:p>
      <w:pPr>
        <w:pStyle w:val="Normal"/>
        <w:spacing w:before="0" w:after="80"/>
        <w:ind w:left="360" w:hanging="259"/>
        <w:rPr>
          <w:sz w:val="20"/>
          <w:szCs w:val="20"/>
        </w:rPr>
      </w:pPr>
      <w:r>
        <w:rPr>
          <w:sz w:val="20"/>
          <w:szCs w:val="20"/>
        </w:rPr>
        <w:t xml:space="preserve">•  </w:t>
      </w:r>
      <w:r>
        <w:rPr>
          <w:sz w:val="20"/>
          <w:szCs w:val="20"/>
        </w:rPr>
        <w:t>Adaptive Zero Trust, per-connection (I). Every authentic peer (i.e. has passed the ZTA gate) starts untrusted (no reputation) and earns trust only through behavior; all traffic is encrypted (NaCl/libsodium: X25519 + XSalsa20-Poly1305, Ed25519 signatures). Access is a continuous gradient (0.0 to 1.0) evaluated locally and continuously, satisfying SP 800-207’s “minimize implicit trust” with a behavioral notion of verification.</w:t>
      </w:r>
    </w:p>
    <w:p>
      <w:pPr>
        <w:pStyle w:val="Normal"/>
        <w:spacing w:before="0" w:after="80"/>
        <w:ind w:left="360" w:hanging="259"/>
        <w:rPr>
          <w:sz w:val="20"/>
          <w:szCs w:val="20"/>
        </w:rPr>
      </w:pPr>
      <w:r>
        <w:rPr>
          <w:sz w:val="20"/>
          <w:szCs w:val="20"/>
        </w:rPr>
        <w:t xml:space="preserve">•  </w:t>
      </w:r>
      <w:r>
        <w:rPr>
          <w:sz w:val="20"/>
          <w:szCs w:val="20"/>
        </w:rPr>
        <w:t>Advanced authentication (I + D). This consists of machine/NPE cryptographic identity (Ed25519 + X25519 + UUID in a Merkle-DAG ledger; private keys never traverse the wire); behavioral analysis as a continuous factor; human identity by integration of ICAM through the pluggable ZTA verifier (X.509 with OCSP/CRL complete, OIDC stubbed); and a Phase I CAC+MFA operator-console design plus hardware root-of-trust/attestation integration for the captured-asset case. N</w:t>
      </w:r>
      <w:r>
        <w:rPr>
          <w:color w:val="000000"/>
          <w:sz w:val="20"/>
          <w:szCs w:val="20"/>
        </w:rPr>
        <w:t>ested PDP/ICAM service exposure is determined by dynamic network hierarchy formation.</w:t>
      </w:r>
    </w:p>
    <w:p>
      <w:pPr>
        <w:pStyle w:val="Normal"/>
        <w:spacing w:before="0" w:after="80"/>
        <w:ind w:left="360" w:hanging="259"/>
        <w:rPr>
          <w:sz w:val="20"/>
          <w:szCs w:val="20"/>
        </w:rPr>
      </w:pPr>
      <w:r>
        <w:rPr>
          <w:b/>
          <w:sz w:val="20"/>
          <w:szCs w:val="20"/>
        </w:rPr>
        <w:t xml:space="preserve">•  </w:t>
      </w:r>
      <w:r>
        <w:rPr>
          <w:sz w:val="20"/>
          <w:szCs w:val="20"/>
        </w:rPr>
        <w:t>Micro-segmentation (I; compartment labels D). This is achieved by per-group encrypted channels and keys, capability tier-gating (required_tier 0-4: network → communication → services → data-sharing), task-specific resource access, and mid-message early-cutoff. Compartmented data control adds the non-hierarchical axis the tier ladder lacks: each datum/capability and peer grant carries an access class = (required_tier, compartment-set), and access requires both tier dominance (peer tier ≥ required_tier) and need-to-know containment (peer set ⊇ object set). This is the classic lattice/dominance semantics of compartmented access control (Bell-LaPadula / lattice-based access control), layered atop the existing tier-gate without modifying it. The two axes are orthogonal and separately sourced: a planning-time mission-impact/dependency mapping (defined with the NAVSEA TPOC from the MTC-A/X CONOPS) sets the hierarchical tier floor and safety-critical flag (criticality), while compartment/need-to-know tags derive from the authoritative classification guide / community-of-interest marking (confidentiality), since a datum may be mission-critical yet uncompartmented or low-impact yet tightly compartmented. Mission-impact labels are configured once at planning time; AutonomousTrust enforces the conjunction at runtime.</w:t>
      </w:r>
    </w:p>
    <w:p>
      <w:pPr>
        <w:pStyle w:val="Normal"/>
        <w:spacing w:before="0" w:after="80"/>
        <w:ind w:left="360" w:hanging="259"/>
        <w:rPr>
          <w:sz w:val="20"/>
          <w:szCs w:val="20"/>
        </w:rPr>
      </w:pPr>
      <w:r>
        <w:rPr>
          <w:b/>
          <w:sz w:val="20"/>
          <w:szCs w:val="20"/>
        </w:rPr>
        <w:t xml:space="preserve">•  </w:t>
      </w:r>
      <w:r>
        <w:rPr>
          <w:sz w:val="20"/>
          <w:szCs w:val="20"/>
        </w:rPr>
        <w:t>AI/ML behavioral anomaly detection + adaptation (P over I). The all-new, in-built ML layer described above is built in Phase I as a lightweight Python prototype (using a HBOS/LODA engine) feeding the implemented deterministic enforcement (reputation, evidence-gated slashing, autonomous tier-gate exclusion); the formally verified C reimplementation is deferred to the Option/Phase II. Cross-source physical-consistency fusion is already implemented for corroborable data. Both cross-source and single-source/non-corroborable data are also governed by pre-configured hardware bounds and documented service needs. Safety-critical access runs human-on-the-loop with a fail-safe default and manual override (grant or denial) by an accountable decision-maker. Which capabilities are flagged as safety-critical is itself a mission-impact judgment, supplied by the planning-time mission-impact mapping defined with the NAVSEA TPOC.</w:t>
      </w:r>
    </w:p>
    <w:p>
      <w:pPr>
        <w:pStyle w:val="Normal"/>
        <w:spacing w:before="0" w:after="80"/>
        <w:ind w:left="360" w:hanging="259"/>
        <w:rPr>
          <w:sz w:val="20"/>
          <w:szCs w:val="20"/>
        </w:rPr>
      </w:pPr>
      <w:r>
        <w:rPr>
          <w:b/>
          <w:sz w:val="20"/>
          <w:szCs w:val="20"/>
        </w:rPr>
        <w:t xml:space="preserve">•  </w:t>
      </w:r>
      <w:r>
        <w:rPr>
          <w:sz w:val="20"/>
          <w:szCs w:val="20"/>
        </w:rPr>
        <w:t>Blockchain / immutable record (I). AT is a purpose-built permissioned DLT: a Merkle/StepDAG identity ledger, a hash-linked, RFC 6962 Merkle-checkpointed, slashing-capable reputation ledger, and an append-only JSONL audit log. It declines a single global chain, Proof-of-Work, and unbounded history as the wrong CAP/resource choices for a small-memory intermittently-connected mesh, and thus is a blockchain tuned for the domain.</w:t>
      </w:r>
    </w:p>
    <w:p>
      <w:pPr>
        <w:pStyle w:val="Normal"/>
        <w:spacing w:before="0" w:after="80"/>
        <w:ind w:left="360" w:hanging="259"/>
        <w:rPr>
          <w:sz w:val="20"/>
          <w:szCs w:val="20"/>
        </w:rPr>
      </w:pPr>
      <w:r>
        <w:rPr>
          <w:b/>
          <w:sz w:val="20"/>
          <w:szCs w:val="20"/>
        </w:rPr>
        <w:t xml:space="preserve">•  </w:t>
      </w:r>
      <w:r>
        <w:rPr>
          <w:sz w:val="20"/>
          <w:szCs w:val="20"/>
        </w:rPr>
        <w:t>NIST evaluation (I + D). An existing compliance matrix maps AT to SP 800-207, SP 800-160 Vol. 2, CSF 2.0, the DoD Zero Trust Strategy, the CISA ZT Maturity Model, and OMB M-22-09; Phase I formalizes a standards-traceability matrix and the compartmented-data-control design. Formal verification of the C core is machine-checked assurance toward ATO, scoped to memory-safety and ACSL conformance. Reputation-manipulation (Sybil/collusion, whitewashing, on-off) is raised in cost by cryptographic identity, evidence-gated slashing, and reputation-weighting, but any adversary mounting it already holds the credentialed foothold at which conventional ZTA has implicitly failed, where AT still raises cost and leaves signed, auditable evidence.</w:t>
      </w:r>
    </w:p>
    <w:p>
      <w:pPr>
        <w:pStyle w:val="Normal"/>
        <w:spacing w:before="0" w:after="80"/>
        <w:rPr>
          <w:sz w:val="20"/>
          <w:szCs w:val="20"/>
        </w:rPr>
      </w:pPr>
      <w:r>
        <w:rPr>
          <w:b/>
          <w:sz w:val="20"/>
          <w:szCs w:val="20"/>
        </w:rPr>
        <w:t xml:space="preserve">Real-time performance targets as substantiated by Phase I M&amp;S. </w:t>
      </w:r>
      <w:r>
        <w:rPr>
          <w:sz w:val="20"/>
          <w:szCs w:val="20"/>
        </w:rPr>
        <w:t>The four quantitative goals, the AT basis for each, and the M&amp;S method are summarized below, each method tagged measured (on the subscale build) or modeled/analytic, and substantiated against an externally-anchored standard-ZTA baseline and a pre-registered, MITRE ATT&amp;CK-mapped attack corpus delivered as reproducible Government artifacts. The topic’s “average authentication time” is the recurring steady-state case; AT’s one-time behavioral enrollment is off the hot path and reported separately, so the average is not conflated with provisioning.</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2805"/>
        <w:gridCol w:w="3435"/>
        <w:gridCol w:w="3120"/>
      </w:tblGrid>
      <w:tr>
        <w:trPr/>
        <w:tc>
          <w:tcPr>
            <w:tcW w:w="2805" w:type="dxa"/>
            <w:tcBorders/>
          </w:tcPr>
          <w:p>
            <w:pPr>
              <w:pStyle w:val="Normal"/>
              <w:widowControl w:val="false"/>
              <w:suppressAutoHyphens w:val="true"/>
              <w:spacing w:before="0" w:after="120"/>
              <w:jc w:val="left"/>
              <w:rPr>
                <w:rFonts w:cs=""/>
                <w:kern w:val="0"/>
                <w:lang w:val="en-US" w:eastAsia="en-US" w:bidi="ar-SA"/>
              </w:rPr>
            </w:pPr>
            <w:r>
              <w:rPr>
                <w:rFonts w:cs=""/>
                <w:b/>
                <w:kern w:val="0"/>
                <w:sz w:val="20"/>
                <w:szCs w:val="20"/>
                <w:lang w:val="en-US" w:eastAsia="en-US" w:bidi="ar-SA"/>
              </w:rPr>
              <w:t>Target</w:t>
            </w:r>
          </w:p>
        </w:tc>
        <w:tc>
          <w:tcPr>
            <w:tcW w:w="3435" w:type="dxa"/>
            <w:tcBorders/>
          </w:tcPr>
          <w:p>
            <w:pPr>
              <w:pStyle w:val="Normal"/>
              <w:widowControl w:val="false"/>
              <w:suppressAutoHyphens w:val="true"/>
              <w:spacing w:before="0" w:after="120"/>
              <w:jc w:val="left"/>
              <w:rPr>
                <w:sz w:val="20"/>
                <w:szCs w:val="20"/>
              </w:rPr>
            </w:pPr>
            <w:r>
              <w:rPr>
                <w:rFonts w:cs=""/>
                <w:b/>
                <w:kern w:val="0"/>
                <w:sz w:val="20"/>
                <w:szCs w:val="20"/>
                <w:lang w:val="en-US" w:eastAsia="en-US" w:bidi="ar-SA"/>
              </w:rPr>
              <w:t>AT basis</w:t>
            </w:r>
          </w:p>
        </w:tc>
        <w:tc>
          <w:tcPr>
            <w:tcW w:w="3120" w:type="dxa"/>
            <w:tcBorders/>
          </w:tcPr>
          <w:p>
            <w:pPr>
              <w:pStyle w:val="Normal"/>
              <w:widowControl w:val="false"/>
              <w:suppressAutoHyphens w:val="true"/>
              <w:spacing w:before="0" w:after="120"/>
              <w:jc w:val="left"/>
              <w:rPr>
                <w:sz w:val="20"/>
                <w:szCs w:val="20"/>
              </w:rPr>
            </w:pPr>
            <w:r>
              <w:rPr>
                <w:rFonts w:cs=""/>
                <w:b/>
                <w:kern w:val="0"/>
                <w:sz w:val="20"/>
                <w:szCs w:val="20"/>
                <w:lang w:val="en-US" w:eastAsia="en-US" w:bidi="ar-SA"/>
              </w:rPr>
              <w:t>M&amp;S approach</w:t>
            </w:r>
          </w:p>
        </w:tc>
      </w:tr>
      <w:tr>
        <w:trPr/>
        <w:tc>
          <w:tcPr>
            <w:tcW w:w="2805" w:type="dxa"/>
            <w:tcBorders/>
          </w:tcPr>
          <w:p>
            <w:pPr>
              <w:pStyle w:val="Normal"/>
              <w:widowControl w:val="false"/>
              <w:suppressAutoHyphens w:val="true"/>
              <w:spacing w:before="0" w:after="120"/>
              <w:ind w:hanging="0"/>
              <w:jc w:val="left"/>
              <w:rPr>
                <w:rFonts w:cs=""/>
                <w:kern w:val="0"/>
                <w:lang w:val="en-US" w:eastAsia="en-US" w:bidi="ar-SA"/>
              </w:rPr>
            </w:pPr>
            <w:r>
              <w:rPr>
                <w:rFonts w:cs=""/>
                <w:kern w:val="0"/>
                <w:sz w:val="20"/>
                <w:szCs w:val="20"/>
                <w:lang w:val="en-US" w:eastAsia="en-US" w:bidi="ar-SA"/>
              </w:rPr>
              <w:t>Auth time 15 s → ≤ 5 s</w:t>
            </w:r>
          </w:p>
        </w:tc>
        <w:tc>
          <w:tcPr>
            <w:tcW w:w="3435"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Average auth time is the recurring steady-state case: an enrolled entity re-verifies locally (crypto identity + stapled revocation + existing reputation), no central round-trip: sub-second-to-seconds, under 5 s. One-time enrollme</w:t>
            </w:r>
            <w:r>
              <w:rPr>
                <w:rFonts w:cs=""/>
                <w:color w:val="000000"/>
                <w:kern w:val="0"/>
                <w:sz w:val="20"/>
                <w:szCs w:val="20"/>
                <w:lang w:val="en-US" w:eastAsia="en-US" w:bidi="ar-SA"/>
              </w:rPr>
              <w:t>nt (</w:t>
            </w:r>
            <w:r>
              <w:rPr>
                <w:rFonts w:eastAsia="Calibri" w:cs="Calibri"/>
                <w:color w:val="000000"/>
                <w:kern w:val="0"/>
                <w:sz w:val="20"/>
                <w:szCs w:val="20"/>
                <w:lang w:val="en-US" w:eastAsia="en-US" w:bidi="ar-SA"/>
              </w:rPr>
              <w:t xml:space="preserve">≤ 5 </w:t>
            </w:r>
            <w:r>
              <w:rPr>
                <w:rFonts w:cs=""/>
                <w:color w:val="000000"/>
                <w:kern w:val="0"/>
                <w:sz w:val="20"/>
                <w:szCs w:val="20"/>
                <w:lang w:val="en-US" w:eastAsia="en-US" w:bidi="ar-SA"/>
              </w:rPr>
              <w:t>minutes</w:t>
            </w:r>
            <w:r>
              <w:rPr>
                <w:rFonts w:cs=""/>
                <w:kern w:val="0"/>
                <w:sz w:val="20"/>
                <w:szCs w:val="20"/>
                <w:lang w:val="en-US" w:eastAsia="en-US" w:bidi="ar-SA"/>
              </w:rPr>
              <w:t>) happens once at provisioning, off the hot path, amortized to ≈ 0 per access. Degraded-edge first contact is admitted in seconds at a capped tier via bases 1 to 4. The 15 s baseline is itself a stea</w:t>
            </w:r>
            <w:r>
              <w:rPr>
                <w:rFonts w:cs=""/>
                <w:color w:val="000000"/>
                <w:kern w:val="0"/>
                <w:sz w:val="20"/>
                <w:szCs w:val="20"/>
                <w:lang w:val="en-US" w:eastAsia="en-US" w:bidi="ar-SA"/>
              </w:rPr>
              <w:t>dy-state average → like-for-like. R</w:t>
            </w:r>
            <w:r>
              <w:rPr>
                <w:rFonts w:eastAsia="Calibri" w:cs="Calibri"/>
                <w:color w:val="000000"/>
                <w:kern w:val="0"/>
                <w:sz w:val="20"/>
                <w:szCs w:val="20"/>
                <w:lang w:val="en-US" w:eastAsia="en-US" w:bidi="ar-SA"/>
              </w:rPr>
              <w:t>e-enrollment frequency modeled at ≤ N per node-year.</w:t>
            </w:r>
          </w:p>
        </w:tc>
        <w:tc>
          <w:tcPr>
            <w:tcW w:w="3120" w:type="dxa"/>
            <w:tcBorders/>
          </w:tcPr>
          <w:p>
            <w:pPr>
              <w:pStyle w:val="Normal"/>
              <w:widowControl w:val="false"/>
              <w:suppressAutoHyphens w:val="true"/>
              <w:spacing w:before="0" w:after="120"/>
              <w:ind w:hanging="0"/>
              <w:jc w:val="left"/>
              <w:rPr>
                <w:sz w:val="20"/>
                <w:szCs w:val="20"/>
              </w:rPr>
            </w:pPr>
            <w:r>
              <w:rPr>
                <w:rFonts w:cs=""/>
                <w:b/>
                <w:kern w:val="0"/>
                <w:sz w:val="20"/>
                <w:szCs w:val="20"/>
                <w:lang w:val="en-US" w:eastAsia="en-US" w:bidi="ar-SA"/>
              </w:rPr>
              <w:t xml:space="preserve">Measured on subscale; basic ICAM/CAC path to be built. </w:t>
            </w:r>
            <w:r>
              <w:rPr>
                <w:rFonts w:cs=""/>
                <w:kern w:val="0"/>
                <w:sz w:val="20"/>
                <w:szCs w:val="20"/>
                <w:lang w:val="en-US" w:eastAsia="en-US" w:bidi="ar-SA"/>
              </w:rPr>
              <w:t>Report two distributions, separated: (1) steady-state enrolled-node re-authentication latency vs cohort size and contention, gated against 5 s; and (2) one-time enrollment duration, characterized but not gated (amortization made explicit). Also report degraded-edge first-contact admission under bases 1, 3 and 4 (base-2 attestation modeled; no reachable enrollment infrastructure) against 5 s.</w:t>
            </w:r>
          </w:p>
        </w:tc>
      </w:tr>
      <w:tr>
        <w:trPr/>
        <w:tc>
          <w:tcPr>
            <w:tcW w:w="2805" w:type="dxa"/>
            <w:tcBorders/>
          </w:tcPr>
          <w:p>
            <w:pPr>
              <w:pStyle w:val="Normal"/>
              <w:widowControl w:val="false"/>
              <w:suppressAutoHyphens w:val="true"/>
              <w:spacing w:before="0" w:after="120"/>
              <w:ind w:hanging="0"/>
              <w:jc w:val="left"/>
              <w:rPr>
                <w:rFonts w:cs=""/>
                <w:kern w:val="0"/>
                <w:lang w:val="en-US" w:eastAsia="en-US" w:bidi="ar-SA"/>
              </w:rPr>
            </w:pPr>
            <w:r>
              <w:rPr>
                <w:rFonts w:cs=""/>
                <w:kern w:val="0"/>
                <w:sz w:val="20"/>
                <w:szCs w:val="20"/>
                <w:lang w:val="en-US" w:eastAsia="en-US" w:bidi="ar-SA"/>
              </w:rPr>
              <w:t>Access latency −50%</w:t>
            </w:r>
          </w:p>
        </w:tc>
        <w:tc>
          <w:tcPr>
            <w:tcW w:w="3435"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No central PDP/OCSP/CRL round-trip on the hot path, trust evaluated locally; compact reputation gossip vs 50 MB CRLs.</w:t>
            </w:r>
          </w:p>
        </w:tc>
        <w:tc>
          <w:tcPr>
            <w:tcW w:w="3120" w:type="dxa"/>
            <w:tcBorders/>
          </w:tcPr>
          <w:p>
            <w:pPr>
              <w:pStyle w:val="Normal"/>
              <w:widowControl w:val="false"/>
              <w:suppressAutoHyphens w:val="true"/>
              <w:spacing w:before="0" w:after="120"/>
              <w:ind w:hanging="0"/>
              <w:jc w:val="left"/>
              <w:rPr>
                <w:sz w:val="20"/>
                <w:szCs w:val="20"/>
              </w:rPr>
            </w:pPr>
            <w:r>
              <w:rPr>
                <w:rFonts w:cs=""/>
                <w:b/>
                <w:kern w:val="0"/>
                <w:sz w:val="20"/>
                <w:szCs w:val="20"/>
                <w:lang w:val="en-US" w:eastAsia="en-US" w:bidi="ar-SA"/>
              </w:rPr>
              <w:t xml:space="preserve">AT path measured on subscale; ZTA baseline modeled/anchored. </w:t>
            </w:r>
            <w:r>
              <w:rPr>
                <w:rFonts w:cs=""/>
                <w:kern w:val="0"/>
                <w:sz w:val="20"/>
                <w:szCs w:val="20"/>
                <w:lang w:val="en-US" w:eastAsia="en-US" w:bidi="ar-SA"/>
              </w:rPr>
              <w:t>Compare end-to-end decision latency: AT-local vs ZTA-PDP round-trip over a modeled tactical link.</w:t>
            </w:r>
          </w:p>
        </w:tc>
      </w:tr>
      <w:tr>
        <w:trPr/>
        <w:tc>
          <w:tcPr>
            <w:tcW w:w="2805" w:type="dxa"/>
            <w:tcBorders/>
          </w:tcPr>
          <w:p>
            <w:pPr>
              <w:pStyle w:val="Normal"/>
              <w:widowControl w:val="false"/>
              <w:suppressAutoHyphens w:val="true"/>
              <w:spacing w:before="0" w:after="120"/>
              <w:ind w:hanging="0"/>
              <w:jc w:val="left"/>
              <w:rPr>
                <w:rFonts w:cs=""/>
                <w:kern w:val="0"/>
                <w:lang w:val="en-US" w:eastAsia="en-US" w:bidi="ar-SA"/>
              </w:rPr>
            </w:pPr>
            <w:r>
              <w:rPr>
                <w:rFonts w:cs=""/>
                <w:kern w:val="0"/>
                <w:sz w:val="20"/>
                <w:szCs w:val="20"/>
                <w:lang w:val="en-US" w:eastAsia="en-US" w:bidi="ar-SA"/>
              </w:rPr>
              <w:t>Unauthorized access −90%</w:t>
            </w:r>
          </w:p>
        </w:tc>
        <w:tc>
          <w:tcPr>
            <w:tcW w:w="3435"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Cryptographic identity + per-connection encryption + tier-gating + behavioral exclusion of compromised-but-credentialed assets + Sybil/replay resistance.</w:t>
            </w:r>
          </w:p>
        </w:tc>
        <w:tc>
          <w:tcPr>
            <w:tcW w:w="3120" w:type="dxa"/>
            <w:tcBorders/>
          </w:tcPr>
          <w:p>
            <w:pPr>
              <w:pStyle w:val="Normal"/>
              <w:widowControl w:val="false"/>
              <w:suppressAutoHyphens w:val="true"/>
              <w:spacing w:before="0" w:after="120"/>
              <w:ind w:hanging="0"/>
              <w:jc w:val="left"/>
              <w:rPr>
                <w:sz w:val="20"/>
                <w:szCs w:val="20"/>
              </w:rPr>
            </w:pPr>
            <w:r>
              <w:rPr>
                <w:rFonts w:cs=""/>
                <w:b/>
                <w:kern w:val="0"/>
                <w:sz w:val="20"/>
                <w:szCs w:val="20"/>
                <w:lang w:val="en-US" w:eastAsia="en-US" w:bidi="ar-SA"/>
              </w:rPr>
              <w:t xml:space="preserve">Measured via red-team harness. </w:t>
            </w:r>
            <w:r>
              <w:rPr>
                <w:rFonts w:cs=""/>
                <w:kern w:val="0"/>
                <w:sz w:val="20"/>
                <w:szCs w:val="20"/>
                <w:lang w:val="en-US" w:eastAsia="en-US" w:bidi="ar-SA"/>
              </w:rPr>
              <w:t>Red-team suite counting successful unauthorized-access events with vs without AT; attempt population fixed by the pre-registered ATT&amp;CK-mapped taxonomy.</w:t>
            </w:r>
          </w:p>
        </w:tc>
      </w:tr>
      <w:tr>
        <w:trPr/>
        <w:tc>
          <w:tcPr>
            <w:tcW w:w="2805" w:type="dxa"/>
            <w:tcBorders/>
          </w:tcPr>
          <w:p>
            <w:pPr>
              <w:pStyle w:val="Normal"/>
              <w:widowControl w:val="false"/>
              <w:suppressAutoHyphens w:val="true"/>
              <w:spacing w:before="0" w:after="120"/>
              <w:ind w:hanging="0"/>
              <w:jc w:val="left"/>
              <w:rPr>
                <w:rFonts w:cs=""/>
                <w:kern w:val="0"/>
                <w:lang w:val="en-US" w:eastAsia="en-US" w:bidi="ar-SA"/>
              </w:rPr>
            </w:pPr>
            <w:r>
              <w:rPr>
                <w:rFonts w:cs=""/>
                <w:kern w:val="0"/>
                <w:sz w:val="20"/>
                <w:szCs w:val="20"/>
                <w:lang w:val="en-US" w:eastAsia="en-US" w:bidi="ar-SA"/>
              </w:rPr>
              <w:t>Admin overhead −25% (net)</w:t>
            </w:r>
          </w:p>
        </w:tc>
        <w:tc>
          <w:tcPr>
            <w:tcW w:w="3435"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Autonomous trust eliminates per-flow policy authoring and CRL distribution; net of added CAC enrollment, OT-adapter and label configuration. Mission-impact-derived labels further cut label-authoring vs ad-hoc policy.</w:t>
            </w:r>
          </w:p>
        </w:tc>
        <w:tc>
          <w:tcPr>
            <w:tcW w:w="3120" w:type="dxa"/>
            <w:tcBorders/>
          </w:tcPr>
          <w:p>
            <w:pPr>
              <w:pStyle w:val="Normal"/>
              <w:widowControl w:val="false"/>
              <w:suppressAutoHyphens w:val="true"/>
              <w:spacing w:before="0" w:after="120"/>
              <w:ind w:hanging="0"/>
              <w:jc w:val="left"/>
              <w:rPr>
                <w:sz w:val="20"/>
                <w:szCs w:val="20"/>
              </w:rPr>
            </w:pPr>
            <w:r>
              <w:rPr>
                <w:rFonts w:cs=""/>
                <w:b/>
                <w:kern w:val="0"/>
                <w:sz w:val="20"/>
                <w:szCs w:val="20"/>
                <w:lang w:val="en-US" w:eastAsia="en-US" w:bidi="ar-SA"/>
              </w:rPr>
              <w:t xml:space="preserve">Modeled/analytic. </w:t>
            </w:r>
            <w:r>
              <w:rPr>
                <w:rFonts w:cs=""/>
                <w:kern w:val="0"/>
                <w:sz w:val="20"/>
                <w:szCs w:val="20"/>
                <w:lang w:val="en-US" w:eastAsia="en-US" w:bidi="ar-SA"/>
              </w:rPr>
              <w:t>Count operator acti</w:t>
            </w:r>
            <w:r>
              <w:rPr>
                <w:rFonts w:cs=""/>
                <w:color w:val="000000"/>
                <w:kern w:val="0"/>
                <w:sz w:val="20"/>
                <w:szCs w:val="20"/>
                <w:lang w:val="en-US" w:eastAsia="en-US" w:bidi="ar-SA"/>
              </w:rPr>
              <w:t xml:space="preserve">ons eliminated minus actions added per modeled operational day </w:t>
            </w:r>
            <w:r>
              <w:rPr>
                <w:rFonts w:eastAsia="Calibri" w:cs="Calibri"/>
                <w:color w:val="000000"/>
                <w:kern w:val="0"/>
                <w:sz w:val="20"/>
                <w:szCs w:val="20"/>
                <w:lang w:val="en-US" w:eastAsia="en-US" w:bidi="ar-SA"/>
              </w:rPr>
              <w:t>based on a proposer-defined MTC-A/X CONOPS day with NAVSEA TPOC review</w:t>
            </w:r>
            <w:r>
              <w:rPr>
                <w:rFonts w:cs=""/>
                <w:color w:val="000000"/>
                <w:kern w:val="0"/>
                <w:sz w:val="20"/>
                <w:szCs w:val="20"/>
                <w:lang w:val="en-US" w:eastAsia="en-US" w:bidi="ar-SA"/>
              </w:rPr>
              <w:t>; report the net.</w:t>
            </w:r>
          </w:p>
        </w:tc>
      </w:tr>
    </w:tbl>
    <w:p>
      <w:pPr>
        <w:pStyle w:val="Normal"/>
        <w:ind w:hanging="0"/>
        <w:rPr>
          <w:sz w:val="22"/>
          <w:szCs w:val="22"/>
        </w:rPr>
      </w:pPr>
      <w:r>
        <w:rPr>
          <w:sz w:val="22"/>
          <w:szCs w:val="22"/>
        </w:rPr>
      </w:r>
    </w:p>
    <w:p>
      <w:pPr>
        <w:pStyle w:val="Normal"/>
        <w:ind w:hanging="0"/>
        <w:rPr>
          <w:sz w:val="20"/>
          <w:szCs w:val="20"/>
        </w:rPr>
      </w:pPr>
      <w:r>
        <w:rPr>
          <w:b/>
          <w:sz w:val="20"/>
          <w:szCs w:val="20"/>
        </w:rPr>
        <w:t>1.1</w:t>
        <w:tab/>
        <w:t xml:space="preserve">Phase I Technical Objectives </w:t>
      </w:r>
    </w:p>
    <w:p>
      <w:pPr>
        <w:pStyle w:val="Normal"/>
        <w:spacing w:before="0" w:after="0"/>
        <w:ind w:hanging="0"/>
        <w:rPr>
          <w:sz w:val="20"/>
          <w:szCs w:val="20"/>
        </w:rPr>
      </w:pPr>
      <w:r>
        <w:rPr>
          <w:sz w:val="20"/>
          <w:szCs w:val="20"/>
        </w:rPr>
        <w:t>Phase I delivers a concept and a feasibility demonstration for a real-time Zero Trust data-access control system for combat systems, addressing NIST standards for compartmented data control, with detailed architecture (technologies, algorithms, data-flow diagrams) and modeling &amp; simulation (M&amp;S) showing the potential to meet the Navy’s quantitative goa</w:t>
      </w:r>
      <w:r>
        <w:rPr>
          <w:color w:val="000000"/>
          <w:sz w:val="20"/>
          <w:szCs w:val="20"/>
        </w:rPr>
        <w:t xml:space="preserve">ls. </w:t>
      </w:r>
      <w:r>
        <w:rPr>
          <w:rFonts w:eastAsia="Calibri" w:cs="Calibri"/>
          <w:color w:val="000000"/>
          <w:sz w:val="20"/>
          <w:szCs w:val="20"/>
        </w:rPr>
        <w:t xml:space="preserve">We use M&amp;S to feasibility-test latency comparisons, attack outcomes, and admin overhead because these are well-modeled in simulation. We use the existing subscale C prototype on embedded ARM hardware to feasibility-test authentication latency on representative hardware, because M&amp;S cannot substitute for actual silicon timing. </w:t>
      </w:r>
      <w:r>
        <w:rPr>
          <w:sz w:val="20"/>
          <w:szCs w:val="20"/>
        </w:rPr>
        <w:t>Phase I has five objectives:</w:t>
      </w:r>
    </w:p>
    <w:p>
      <w:pPr>
        <w:pStyle w:val="Normal"/>
        <w:spacing w:before="0" w:after="80"/>
        <w:ind w:left="360" w:hanging="259"/>
        <w:rPr>
          <w:sz w:val="20"/>
          <w:szCs w:val="20"/>
        </w:rPr>
      </w:pPr>
      <w:r>
        <w:rPr>
          <w:b/>
          <w:sz w:val="20"/>
          <w:szCs w:val="20"/>
        </w:rPr>
        <w:t xml:space="preserve">•  </w:t>
      </w:r>
      <w:r>
        <w:rPr>
          <w:b/>
          <w:sz w:val="20"/>
          <w:szCs w:val="20"/>
        </w:rPr>
        <w:t>O1:</w:t>
      </w:r>
      <w:r>
        <w:rPr>
          <w:sz w:val="20"/>
          <w:szCs w:val="20"/>
        </w:rPr>
        <w:t xml:space="preserve"> Architecture &amp; NIST mapping. Produce the detailed system architecture (components, algorithms, message/data-flow diagrams) for AT-as-ZTA-overlay; map every SP 800-207 tenet and DoD ZT RA v2.0 pillar to concrete AT mechanisms, including a compartmented-data-control design.</w:t>
      </w:r>
    </w:p>
    <w:p>
      <w:pPr>
        <w:pStyle w:val="Normal"/>
        <w:spacing w:before="0" w:after="80"/>
        <w:ind w:left="360" w:hanging="259"/>
        <w:rPr>
          <w:sz w:val="20"/>
          <w:szCs w:val="20"/>
        </w:rPr>
      </w:pPr>
      <w:r>
        <w:rPr>
          <w:b/>
          <w:sz w:val="20"/>
          <w:szCs w:val="20"/>
        </w:rPr>
        <w:t xml:space="preserve">•  </w:t>
      </w:r>
      <w:r>
        <w:rPr>
          <w:b/>
          <w:sz w:val="20"/>
          <w:szCs w:val="20"/>
        </w:rPr>
        <w:t>O2:</w:t>
      </w:r>
      <w:r>
        <w:rPr>
          <w:sz w:val="20"/>
          <w:szCs w:val="20"/>
        </w:rPr>
        <w:t xml:space="preserve"> Performance feasibility by M&amp;S. Build a simulation harness quantifying the four targets (auth ≤ 5 s; latency −50%; unauthorized access −90%; admin overhead −25%) against an externally-anchored ZTA-only baseline and a pre-registered ATT&amp;CK-mapped attack corpus, delivered as reproducible Government artifacts.</w:t>
      </w:r>
    </w:p>
    <w:p>
      <w:pPr>
        <w:pStyle w:val="Normal"/>
        <w:spacing w:before="0" w:after="80"/>
        <w:ind w:left="360" w:hanging="259"/>
        <w:rPr>
          <w:sz w:val="20"/>
          <w:szCs w:val="20"/>
        </w:rPr>
      </w:pPr>
      <w:r>
        <w:rPr>
          <w:b/>
          <w:sz w:val="20"/>
          <w:szCs w:val="20"/>
        </w:rPr>
        <w:t xml:space="preserve">•  </w:t>
      </w:r>
      <w:r>
        <w:rPr>
          <w:b/>
          <w:sz w:val="20"/>
          <w:szCs w:val="20"/>
        </w:rPr>
        <w:t>O3:</w:t>
      </w:r>
      <w:r>
        <w:rPr>
          <w:sz w:val="20"/>
          <w:szCs w:val="20"/>
        </w:rPr>
        <w:t xml:space="preserve"> Behavioral-ML anomaly layer &amp; resilience feasibility by M&amp;S. Integrate (as a Python prototype) the in-built ML behavioral-anomaly layer and its governed path into reputation/slashing/tier-gating, then demonstrate detection of a compromised-but-credentialed asset and autonomous exclusion under simulated cyberattack (Sybil, Byzantine, compromised-credential, partition, DDIL with no reachable infrastructure). Report the false-exclusion rate against a realistic attack base rate. (C reimplementation deferred to the Option/Phase II.)</w:t>
      </w:r>
    </w:p>
    <w:p>
      <w:pPr>
        <w:pStyle w:val="Normal"/>
        <w:spacing w:before="0" w:after="80"/>
        <w:ind w:left="360" w:hanging="259"/>
        <w:rPr>
          <w:sz w:val="20"/>
          <w:szCs w:val="20"/>
        </w:rPr>
      </w:pPr>
      <w:r>
        <w:rPr>
          <w:b/>
          <w:sz w:val="20"/>
          <w:szCs w:val="20"/>
        </w:rPr>
        <w:t xml:space="preserve">•  </w:t>
      </w:r>
      <w:r>
        <w:rPr>
          <w:b/>
          <w:sz w:val="20"/>
          <w:szCs w:val="20"/>
        </w:rPr>
        <w:t>O4:</w:t>
      </w:r>
      <w:r>
        <w:rPr>
          <w:sz w:val="20"/>
          <w:szCs w:val="20"/>
        </w:rPr>
        <w:t xml:space="preserve"> Subscale prototype where M&amp;S is insufficient. Where simulation cannot establish feasibility, e.g. real-time authentication latency on representative hardware and combat-system integration, demonstrate using the existing AT C subscale prototype on embedded/surrogate targets.</w:t>
      </w:r>
    </w:p>
    <w:p>
      <w:pPr>
        <w:pStyle w:val="Normal"/>
        <w:spacing w:before="0" w:after="80"/>
        <w:ind w:left="360" w:hanging="259"/>
        <w:rPr>
          <w:sz w:val="20"/>
          <w:szCs w:val="20"/>
        </w:rPr>
      </w:pPr>
      <w:r>
        <w:rPr>
          <w:b/>
          <w:sz w:val="20"/>
          <w:szCs w:val="20"/>
        </w:rPr>
        <w:t xml:space="preserve">•  </w:t>
      </w:r>
      <w:r>
        <w:rPr>
          <w:b/>
          <w:sz w:val="20"/>
          <w:szCs w:val="20"/>
        </w:rPr>
        <w:t>O</w:t>
      </w:r>
      <w:r>
        <w:rPr>
          <w:b/>
          <w:bCs/>
          <w:sz w:val="20"/>
          <w:szCs w:val="20"/>
        </w:rPr>
        <w:t>5:</w:t>
      </w:r>
      <w:r>
        <w:rPr>
          <w:sz w:val="20"/>
          <w:szCs w:val="20"/>
        </w:rPr>
        <w:t xml:space="preserve"> </w:t>
      </w:r>
      <w:r>
        <w:rPr>
          <w:rFonts w:eastAsia="Calibri" w:cs="Calibri"/>
          <w:color w:val="262626"/>
          <w:sz w:val="20"/>
          <w:szCs w:val="20"/>
        </w:rPr>
        <w:t>Phase II readiness g</w:t>
      </w:r>
      <w:r>
        <w:rPr>
          <w:sz w:val="20"/>
          <w:szCs w:val="20"/>
        </w:rPr>
        <w:t>ap-closure plan. I</w:t>
      </w:r>
      <w:r>
        <w:rPr>
          <w:rFonts w:eastAsia="Calibri" w:cs="Calibri"/>
          <w:color w:val="000000"/>
          <w:sz w:val="20"/>
          <w:szCs w:val="20"/>
        </w:rPr>
        <w:t>dentify capabilities not yet implemented (compartment-label runtime, OT protocol adapters, full ICAM CAC+MFA console, FV coverage of the reputation/consensus modules, &gt;100-node scaling, etc.); produce the closure plan tied to specific Phase II tasks.</w:t>
      </w:r>
    </w:p>
    <w:p>
      <w:pPr>
        <w:pStyle w:val="Normal"/>
        <w:spacing w:before="0" w:after="0"/>
        <w:ind w:hanging="0"/>
        <w:rPr>
          <w:sz w:val="20"/>
          <w:szCs w:val="20"/>
        </w:rPr>
      </w:pPr>
      <w:r>
        <w:rPr>
          <w:sz w:val="20"/>
          <w:szCs w:val="20"/>
        </w:rPr>
      </w:r>
    </w:p>
    <w:p>
      <w:pPr>
        <w:pStyle w:val="Normal"/>
        <w:spacing w:before="0" w:after="0"/>
        <w:ind w:hanging="0"/>
        <w:rPr>
          <w:sz w:val="20"/>
          <w:szCs w:val="20"/>
        </w:rPr>
      </w:pPr>
      <w:r>
        <w:rPr>
          <w:sz w:val="20"/>
          <w:szCs w:val="20"/>
        </w:rPr>
      </w:r>
    </w:p>
    <w:p>
      <w:pPr>
        <w:pStyle w:val="Normal"/>
        <w:ind w:hanging="0"/>
        <w:rPr>
          <w:sz w:val="20"/>
          <w:szCs w:val="20"/>
        </w:rPr>
      </w:pPr>
      <w:r>
        <w:rPr>
          <w:b/>
          <w:sz w:val="20"/>
          <w:szCs w:val="20"/>
        </w:rPr>
        <w:t>1.2</w:t>
        <w:tab/>
        <w:t>Phase I (Base and Option) Statement of Work</w:t>
      </w:r>
    </w:p>
    <w:p>
      <w:pPr>
        <w:pStyle w:val="Normal"/>
        <w:ind w:hanging="0"/>
        <w:rPr>
          <w:sz w:val="20"/>
          <w:szCs w:val="20"/>
        </w:rPr>
      </w:pPr>
      <w:r>
        <w:rPr>
          <w:color w:val="000000"/>
          <w:sz w:val="20"/>
          <w:szCs w:val="20"/>
          <w:shd w:fill="FFFFFF" w:val="clear"/>
        </w:rPr>
        <w:t>Phase I work is performed by TekFive at its CONUS facilities (U.S. persons only). As a small business, TekFive performs at least two-thirds of the Phase I effort as required; a focused subcontract to Sentar provides operational-technology (OT) requirements, independent gate review, and DoW subject-matter expertise. T</w:t>
      </w:r>
      <w:r>
        <w:rPr>
          <w:sz w:val="20"/>
          <w:szCs w:val="20"/>
        </w:rPr>
        <w:t>he Phase I Base is exactly six (6) months and the Phase I Option exactly six (6) months; task-level milestones and performers are in the SOW table below, and schedule follows. The work extends an existing C/Python codebase, simulator, and conformance corpus with external ML libraries, reducing Phase I risk to characterization, design, integration, and bounded prototyping. Phase I coordinates with NAVSEA TPOC guidance on the combat-system-representative environment, prioritized OT protocols, and ZTA-only baseline. Final products: AT proof-of-concept/demo (enhanced under Phase I Option), Phase I Final Report (architecture, algorithms, data-flow diagrams, NIST/compartmented-control traceability), M&amp;S results package, subscale-prototype demonstration record, and the Phase I Option design specification &amp; capabilities description. The Statement of Work tasks are:</w:t>
      </w:r>
    </w:p>
    <w:tbl>
      <w:tblPr>
        <w:tblStyle w:val="TableGrid"/>
        <w:tblW w:w="94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824"/>
        <w:gridCol w:w="2303"/>
        <w:gridCol w:w="4628"/>
        <w:gridCol w:w="1694"/>
      </w:tblGrid>
      <w:tr>
        <w:trPr>
          <w:trHeight w:val="20" w:hRule="atLeast"/>
        </w:trPr>
        <w:tc>
          <w:tcPr>
            <w:tcW w:w="9449" w:type="dxa"/>
            <w:gridSpan w:val="4"/>
            <w:tcBorders/>
            <w:shd w:color="auto" w:fill="BDD6EE" w:themeFill="accent1" w:themeFillTint="66" w:val="clear"/>
            <w:vAlign w:val="center"/>
          </w:tcPr>
          <w:p>
            <w:pPr>
              <w:pStyle w:val="Normal"/>
              <w:widowControl w:val="false"/>
              <w:suppressAutoHyphens w:val="true"/>
              <w:spacing w:before="0" w:after="0"/>
              <w:ind w:hanging="0"/>
              <w:jc w:val="center"/>
              <w:rPr>
                <w:sz w:val="20"/>
                <w:szCs w:val="20"/>
              </w:rPr>
            </w:pPr>
            <w:r>
              <w:rPr>
                <w:rFonts w:cs=""/>
                <w:b/>
                <w:kern w:val="0"/>
                <w:sz w:val="20"/>
                <w:szCs w:val="20"/>
                <w:lang w:val="en-US" w:eastAsia="en-US" w:bidi="ar-SA"/>
              </w:rPr>
              <w:t>SOW</w:t>
            </w:r>
          </w:p>
        </w:tc>
      </w:tr>
      <w:tr>
        <w:trPr>
          <w:trHeight w:val="20" w:hRule="atLeast"/>
        </w:trPr>
        <w:tc>
          <w:tcPr>
            <w:tcW w:w="824" w:type="dxa"/>
            <w:tcBorders/>
            <w:shd w:color="auto" w:fill="D9D9D9" w:themeFill="background1" w:themeFillShade="d9" w:val="clear"/>
            <w:vAlign w:val="center"/>
          </w:tcPr>
          <w:p>
            <w:pPr>
              <w:pStyle w:val="Normal"/>
              <w:widowControl w:val="false"/>
              <w:suppressAutoHyphens w:val="true"/>
              <w:spacing w:before="0" w:after="120"/>
              <w:ind w:hanging="0"/>
              <w:jc w:val="center"/>
              <w:rPr>
                <w:sz w:val="20"/>
                <w:szCs w:val="20"/>
              </w:rPr>
            </w:pPr>
            <w:r>
              <w:rPr>
                <w:rFonts w:cs=""/>
                <w:b/>
                <w:kern w:val="0"/>
                <w:sz w:val="20"/>
                <w:szCs w:val="20"/>
                <w:lang w:val="en-US" w:eastAsia="en-US" w:bidi="ar-SA"/>
              </w:rPr>
              <w:t>Task No.</w:t>
            </w:r>
          </w:p>
        </w:tc>
        <w:tc>
          <w:tcPr>
            <w:tcW w:w="2303" w:type="dxa"/>
            <w:tcBorders/>
            <w:shd w:color="auto" w:fill="D9D9D9" w:themeFill="background1" w:themeFillShade="d9" w:val="clear"/>
            <w:vAlign w:val="center"/>
          </w:tcPr>
          <w:p>
            <w:pPr>
              <w:pStyle w:val="Normal"/>
              <w:widowControl w:val="false"/>
              <w:suppressAutoHyphens w:val="true"/>
              <w:spacing w:before="0" w:after="120"/>
              <w:ind w:hanging="0"/>
              <w:jc w:val="center"/>
              <w:rPr>
                <w:sz w:val="20"/>
                <w:szCs w:val="20"/>
              </w:rPr>
            </w:pPr>
            <w:r>
              <w:rPr>
                <w:rFonts w:cs=""/>
                <w:b/>
                <w:kern w:val="0"/>
                <w:sz w:val="20"/>
                <w:szCs w:val="20"/>
                <w:lang w:val="en-US" w:eastAsia="en-US" w:bidi="ar-SA"/>
              </w:rPr>
              <w:t>Title</w:t>
            </w:r>
          </w:p>
        </w:tc>
        <w:tc>
          <w:tcPr>
            <w:tcW w:w="4628" w:type="dxa"/>
            <w:tcBorders/>
            <w:shd w:color="auto" w:fill="D9D9D9" w:themeFill="background1" w:themeFillShade="d9" w:val="clear"/>
            <w:vAlign w:val="center"/>
          </w:tcPr>
          <w:p>
            <w:pPr>
              <w:pStyle w:val="Normal"/>
              <w:widowControl w:val="false"/>
              <w:suppressAutoHyphens w:val="true"/>
              <w:spacing w:before="0" w:after="120"/>
              <w:ind w:hanging="0"/>
              <w:jc w:val="center"/>
              <w:rPr>
                <w:sz w:val="20"/>
                <w:szCs w:val="20"/>
              </w:rPr>
            </w:pPr>
            <w:r>
              <w:rPr>
                <w:rFonts w:cs=""/>
                <w:b/>
                <w:kern w:val="0"/>
                <w:sz w:val="20"/>
                <w:szCs w:val="20"/>
                <w:lang w:val="en-US" w:eastAsia="en-US" w:bidi="ar-SA"/>
              </w:rPr>
              <w:t>Description</w:t>
            </w:r>
          </w:p>
        </w:tc>
        <w:tc>
          <w:tcPr>
            <w:tcW w:w="1694" w:type="dxa"/>
            <w:tcBorders/>
            <w:shd w:color="auto" w:fill="D9D9D9" w:themeFill="background1" w:themeFillShade="d9" w:val="clear"/>
          </w:tcPr>
          <w:p>
            <w:pPr>
              <w:pStyle w:val="Normal"/>
              <w:widowControl w:val="false"/>
              <w:suppressAutoHyphens w:val="true"/>
              <w:spacing w:before="240" w:after="120"/>
              <w:ind w:hanging="0"/>
              <w:jc w:val="center"/>
              <w:rPr>
                <w:sz w:val="20"/>
                <w:szCs w:val="20"/>
              </w:rPr>
            </w:pPr>
            <w:r>
              <w:rPr>
                <w:rFonts w:cs=""/>
                <w:b/>
                <w:kern w:val="0"/>
                <w:sz w:val="20"/>
                <w:szCs w:val="20"/>
                <w:lang w:val="en-US" w:eastAsia="en-US" w:bidi="ar-SA"/>
              </w:rPr>
              <w:t>Performer or Subcontractor</w:t>
            </w:r>
          </w:p>
        </w:tc>
      </w:tr>
      <w:tr>
        <w:trPr/>
        <w:tc>
          <w:tcPr>
            <w:tcW w:w="824"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1</w:t>
            </w:r>
          </w:p>
        </w:tc>
        <w:tc>
          <w:tcPr>
            <w:tcW w:w="2303"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Detailed architecture &amp; NIST / compartmented-control design (O1)</w:t>
            </w:r>
          </w:p>
        </w:tc>
        <w:tc>
          <w:tcPr>
            <w:tcW w:w="4628" w:type="dxa"/>
            <w:tcBorders/>
          </w:tcPr>
          <w:p>
            <w:pPr>
              <w:pStyle w:val="Normal"/>
              <w:widowControl w:val="false"/>
              <w:suppressAutoHyphens w:val="true"/>
              <w:spacing w:before="0" w:after="120"/>
              <w:ind w:hanging="0"/>
              <w:jc w:val="left"/>
              <w:rPr>
                <w:sz w:val="20"/>
                <w:szCs w:val="20"/>
              </w:rPr>
            </w:pPr>
            <w:r>
              <w:rPr>
                <w:rFonts w:cs=""/>
                <w:color w:val="000000"/>
                <w:kern w:val="0"/>
                <w:sz w:val="20"/>
                <w:szCs w:val="20"/>
                <w:lang w:val="en-US" w:eastAsia="en-US" w:bidi="ar-SA"/>
              </w:rPr>
              <w:t>Consolidated architecture package: component diagram, algorithm specs (identity admission, reputation consensus, negotiation/tier-gating, ZTA verifier, slashing), data-flow diagrams for an afloat scenario instantiating the six Q&amp;A use cases (targeting access, C2 sharing, sensor-track/targeting, tactical messaging, degraded ops, maintenance/logistics); compartment-label design atop the capability/tier model; SP 800-207 / DoD ZT RA v2.0 / compartmented-control traceability matrix. Mission-impact-driven tier/criticality is defined with the NAVSEA TPOC from the MTC-A/X CONOPS (mission-impact mapping → required_tier floor / safety-critical flag); compartment/need-to-know labels come from the authoritative classification / community-of-interest source as a separate lattice axis. TekFive also builds a planning-time mission-impact→AT label mock enabling the Task-2 admin-overhead count (actions eliminated vs added).</w:t>
            </w:r>
          </w:p>
        </w:tc>
        <w:tc>
          <w:tcPr>
            <w:tcW w:w="1694" w:type="dxa"/>
            <w:tcBorders/>
          </w:tcPr>
          <w:p>
            <w:pPr>
              <w:pStyle w:val="Normal"/>
              <w:widowControl w:val="false"/>
              <w:suppressAutoHyphens w:val="true"/>
              <w:spacing w:before="0" w:after="120"/>
              <w:ind w:hanging="0"/>
              <w:jc w:val="center"/>
              <w:rPr>
                <w:sz w:val="20"/>
                <w:szCs w:val="20"/>
              </w:rPr>
            </w:pPr>
            <w:r>
              <w:rPr>
                <w:rFonts w:cs=""/>
                <w:color w:val="000000"/>
                <w:kern w:val="0"/>
                <w:sz w:val="20"/>
                <w:szCs w:val="20"/>
                <w:lang w:val="en-US" w:eastAsia="en-US" w:bidi="ar-SA"/>
              </w:rPr>
              <w:t>TekFive</w:t>
            </w:r>
            <w:r>
              <w:rPr>
                <w:rFonts w:cs=""/>
                <w:color w:val="000000"/>
                <w:kern w:val="0"/>
                <w:sz w:val="20"/>
                <w:szCs w:val="20"/>
                <w:shd w:fill="FFFFFF" w:val="clear"/>
                <w:lang w:val="en-US" w:eastAsia="en-US" w:bidi="ar-SA"/>
              </w:rPr>
              <w:t>; Sentar (OT requirements, DoW SME)</w:t>
            </w:r>
            <w:r>
              <w:rPr>
                <w:rFonts w:cs=""/>
                <w:kern w:val="0"/>
                <w:sz w:val="20"/>
                <w:szCs w:val="20"/>
                <w:lang w:val="en-US" w:eastAsia="en-US" w:bidi="ar-SA"/>
              </w:rPr>
              <w:br/>
            </w:r>
          </w:p>
        </w:tc>
      </w:tr>
      <w:tr>
        <w:trPr/>
        <w:tc>
          <w:tcPr>
            <w:tcW w:w="824"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2</w:t>
            </w:r>
          </w:p>
        </w:tc>
        <w:tc>
          <w:tcPr>
            <w:tcW w:w="2303"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M&amp;S harness &amp; performance feasibility (O2)</w:t>
            </w:r>
          </w:p>
        </w:tc>
        <w:tc>
          <w:tcPr>
            <w:tcW w:w="4628" w:type="dxa"/>
            <w:tcBorders/>
          </w:tcPr>
          <w:p>
            <w:pPr>
              <w:pStyle w:val="Normal"/>
              <w:widowControl w:val="false"/>
              <w:suppressAutoHyphens w:val="true"/>
              <w:spacing w:before="0" w:after="120"/>
              <w:ind w:hanging="0"/>
              <w:jc w:val="left"/>
              <w:rPr>
                <w:sz w:val="20"/>
                <w:szCs w:val="20"/>
              </w:rPr>
            </w:pPr>
            <w:r>
              <w:rPr>
                <w:rFonts w:cs=""/>
                <w:color w:val="000000"/>
                <w:kern w:val="0"/>
                <w:sz w:val="20"/>
                <w:szCs w:val="20"/>
                <w:lang w:val="en-US" w:eastAsia="en-US" w:bidi="ar-SA"/>
              </w:rPr>
              <w:t>Extend the existing simulator/scale harness to a combat-system-representative topology; define the ZTA-only baseline: a reference PDP/PEP with emulated OCSP / large-CRL revocation over the modeled tactical link, or one anchored to published DoD-PKI figures if a stand-up is infeasible, and pre-register it. Define the threat/normal model and the ATT&amp;CK-mapped attack corpus with the NAVSEA TPOC before measurement; run the four-target suite and report distributions vs targets; deliver reproducible Government artifacts; run the 100-node scaling test.</w:t>
            </w:r>
          </w:p>
        </w:tc>
        <w:tc>
          <w:tcPr>
            <w:tcW w:w="1694" w:type="dxa"/>
            <w:tcBorders/>
          </w:tcPr>
          <w:p>
            <w:pPr>
              <w:pStyle w:val="Normal"/>
              <w:widowControl w:val="false"/>
              <w:suppressAutoHyphens w:val="true"/>
              <w:spacing w:before="0" w:after="120"/>
              <w:ind w:hanging="0"/>
              <w:jc w:val="center"/>
              <w:rPr>
                <w:sz w:val="20"/>
                <w:szCs w:val="20"/>
              </w:rPr>
            </w:pPr>
            <w:r>
              <w:rPr>
                <w:rFonts w:cs=""/>
                <w:kern w:val="0"/>
                <w:sz w:val="20"/>
                <w:szCs w:val="20"/>
                <w:lang w:val="en-US" w:eastAsia="en-US" w:bidi="ar-SA"/>
              </w:rPr>
              <w:t>TekFive</w:t>
            </w:r>
          </w:p>
        </w:tc>
      </w:tr>
      <w:tr>
        <w:trPr/>
        <w:tc>
          <w:tcPr>
            <w:tcW w:w="824"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3</w:t>
            </w:r>
          </w:p>
        </w:tc>
        <w:tc>
          <w:tcPr>
            <w:tcW w:w="2303"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Behavioral-ML anomaly layer design &amp; resilience/threat M&amp;S (O3)</w:t>
            </w:r>
          </w:p>
        </w:tc>
        <w:tc>
          <w:tcPr>
            <w:tcW w:w="4628" w:type="dxa"/>
            <w:tcBorders/>
          </w:tcPr>
          <w:p>
            <w:pPr>
              <w:pStyle w:val="Normal"/>
              <w:widowControl w:val="false"/>
              <w:suppressAutoHyphens w:val="true"/>
              <w:spacing w:before="0" w:after="120"/>
              <w:ind w:hanging="0"/>
              <w:jc w:val="left"/>
              <w:rPr>
                <w:sz w:val="20"/>
                <w:szCs w:val="20"/>
              </w:rPr>
            </w:pPr>
            <w:r>
              <w:rPr>
                <w:rFonts w:cs=""/>
                <w:color w:val="000000"/>
                <w:kern w:val="0"/>
                <w:sz w:val="20"/>
                <w:szCs w:val="20"/>
                <w:lang w:val="en-US" w:eastAsia="en-US" w:bidi="ar-SA"/>
              </w:rPr>
              <w:t>Design and prototype in Python the access-stream feature set, lightweight on-device online model with per-feature attribution, learned acceptable-parameter envelope, and the governed path to reputation/slashing/tier-gating; run the red-team suite (Sybil, Byzantine, compromised-credential, partition, DDIL-no-infrastructure) and quantify detection latency, exclusion correctness, false-exclusion rate against a realistic base rate, and convergence on reconnect, vs a static-policy baseline.</w:t>
            </w:r>
          </w:p>
        </w:tc>
        <w:tc>
          <w:tcPr>
            <w:tcW w:w="1694" w:type="dxa"/>
            <w:tcBorders/>
          </w:tcPr>
          <w:p>
            <w:pPr>
              <w:pStyle w:val="Normal"/>
              <w:widowControl w:val="false"/>
              <w:suppressAutoHyphens w:val="true"/>
              <w:spacing w:before="0" w:after="120"/>
              <w:ind w:hanging="0"/>
              <w:jc w:val="center"/>
              <w:rPr>
                <w:sz w:val="20"/>
                <w:szCs w:val="20"/>
              </w:rPr>
            </w:pPr>
            <w:r>
              <w:rPr>
                <w:rFonts w:cs=""/>
                <w:kern w:val="0"/>
                <w:sz w:val="20"/>
                <w:szCs w:val="20"/>
                <w:lang w:val="en-US" w:eastAsia="en-US" w:bidi="ar-SA"/>
              </w:rPr>
              <w:t>TekFive</w:t>
            </w:r>
          </w:p>
        </w:tc>
      </w:tr>
      <w:tr>
        <w:trPr/>
        <w:tc>
          <w:tcPr>
            <w:tcW w:w="824"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4</w:t>
            </w:r>
          </w:p>
        </w:tc>
        <w:tc>
          <w:tcPr>
            <w:tcW w:w="2303"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Subscale prototype on surrogate hardware (O4)</w:t>
            </w:r>
          </w:p>
        </w:tc>
        <w:tc>
          <w:tcPr>
            <w:tcW w:w="4628" w:type="dxa"/>
            <w:tcBorders/>
          </w:tcPr>
          <w:p>
            <w:pPr>
              <w:pStyle w:val="Normal"/>
              <w:widowControl w:val="false"/>
              <w:suppressAutoHyphens w:val="true"/>
              <w:spacing w:before="0" w:after="120"/>
              <w:ind w:hanging="0"/>
              <w:jc w:val="left"/>
              <w:rPr>
                <w:sz w:val="20"/>
                <w:szCs w:val="20"/>
              </w:rPr>
            </w:pPr>
            <w:r>
              <w:rPr>
                <w:rFonts w:cs=""/>
                <w:color w:val="000000"/>
                <w:kern w:val="0"/>
                <w:sz w:val="20"/>
                <w:szCs w:val="20"/>
                <w:lang w:val="en-US" w:eastAsia="en-US" w:bidi="ar-SA"/>
              </w:rPr>
              <w:t xml:space="preserve">Exercise the existing C subscale prototype: the at_demo ARM daemon on an embedded/surrogate node </w:t>
            </w:r>
            <w:r>
              <w:rPr>
                <w:rFonts w:eastAsia="Calibri" w:cs="Calibri"/>
                <w:color w:val="000000"/>
                <w:kern w:val="0"/>
                <w:sz w:val="20"/>
                <w:szCs w:val="20"/>
                <w:lang w:val="en-US" w:eastAsia="en-US" w:bidi="ar-SA"/>
              </w:rPr>
              <w:t xml:space="preserve">(e.g., Cortex-A53 / Cortex-A72) </w:t>
            </w:r>
            <w:r>
              <w:rPr>
                <w:rFonts w:cs=""/>
                <w:color w:val="000000"/>
                <w:kern w:val="0"/>
                <w:sz w:val="20"/>
                <w:szCs w:val="20"/>
                <w:lang w:val="en-US" w:eastAsia="en-US" w:bidi="ar-SA"/>
              </w:rPr>
              <w:t>interoperating on-wire with a Python cohort, plus the ZTA 4-peer demo (command-post / squad-leader / revoked-cert drone / DDIL drone). This captures the real-time authentication-latency and surrogate combat-system-component feasibility evidence.</w:t>
            </w:r>
          </w:p>
        </w:tc>
        <w:tc>
          <w:tcPr>
            <w:tcW w:w="1694" w:type="dxa"/>
            <w:tcBorders/>
          </w:tcPr>
          <w:p>
            <w:pPr>
              <w:pStyle w:val="Normal"/>
              <w:widowControl w:val="false"/>
              <w:suppressAutoHyphens w:val="true"/>
              <w:spacing w:before="0" w:after="120"/>
              <w:ind w:hanging="0"/>
              <w:jc w:val="center"/>
              <w:rPr>
                <w:sz w:val="20"/>
                <w:szCs w:val="20"/>
              </w:rPr>
            </w:pPr>
            <w:r>
              <w:rPr>
                <w:rFonts w:cs=""/>
                <w:kern w:val="0"/>
                <w:sz w:val="20"/>
                <w:szCs w:val="20"/>
                <w:lang w:val="en-US" w:eastAsia="en-US" w:bidi="ar-SA"/>
              </w:rPr>
              <w:t>TekFive</w:t>
            </w:r>
          </w:p>
        </w:tc>
      </w:tr>
      <w:tr>
        <w:trPr/>
        <w:tc>
          <w:tcPr>
            <w:tcW w:w="824"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5</w:t>
            </w:r>
          </w:p>
        </w:tc>
        <w:tc>
          <w:tcPr>
            <w:tcW w:w="2303"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Gap-closure plan (O5)</w:t>
            </w:r>
          </w:p>
        </w:tc>
        <w:tc>
          <w:tcPr>
            <w:tcW w:w="4628" w:type="dxa"/>
            <w:tcBorders/>
          </w:tcPr>
          <w:p>
            <w:pPr>
              <w:pStyle w:val="Normal"/>
              <w:widowControl w:val="false"/>
              <w:suppressAutoHyphens w:val="true"/>
              <w:spacing w:before="0" w:after="120"/>
              <w:ind w:hanging="0"/>
              <w:jc w:val="left"/>
              <w:rPr>
                <w:sz w:val="20"/>
                <w:szCs w:val="20"/>
              </w:rPr>
            </w:pPr>
            <w:r>
              <w:rPr>
                <w:rFonts w:cs=""/>
                <w:color w:val="000000"/>
                <w:kern w:val="0"/>
                <w:sz w:val="20"/>
                <w:szCs w:val="20"/>
                <w:lang w:val="en-US" w:eastAsia="en-US" w:bidi="ar-SA"/>
              </w:rPr>
              <w:t>Deliver the gap analysis with a closure plan.</w:t>
            </w:r>
          </w:p>
        </w:tc>
        <w:tc>
          <w:tcPr>
            <w:tcW w:w="1694" w:type="dxa"/>
            <w:tcBorders/>
          </w:tcPr>
          <w:p>
            <w:pPr>
              <w:pStyle w:val="Normal"/>
              <w:widowControl w:val="false"/>
              <w:suppressAutoHyphens w:val="true"/>
              <w:spacing w:before="0" w:after="120"/>
              <w:ind w:hanging="0"/>
              <w:jc w:val="center"/>
              <w:rPr>
                <w:sz w:val="20"/>
                <w:szCs w:val="20"/>
              </w:rPr>
            </w:pPr>
            <w:r>
              <w:rPr>
                <w:rFonts w:cs=""/>
                <w:kern w:val="0"/>
                <w:sz w:val="20"/>
                <w:szCs w:val="20"/>
                <w:lang w:val="en-US" w:eastAsia="en-US" w:bidi="ar-SA"/>
              </w:rPr>
              <w:t>TekFive</w:t>
            </w:r>
          </w:p>
        </w:tc>
      </w:tr>
      <w:tr>
        <w:trPr/>
        <w:tc>
          <w:tcPr>
            <w:tcW w:w="824"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Option</w:t>
            </w:r>
          </w:p>
        </w:tc>
        <w:tc>
          <w:tcPr>
            <w:tcW w:w="2303"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Phase I Option: Phase II design specifications &amp; capabilities description</w:t>
            </w:r>
          </w:p>
        </w:tc>
        <w:tc>
          <w:tcPr>
            <w:tcW w:w="4628" w:type="dxa"/>
            <w:tcBorders/>
          </w:tcPr>
          <w:p>
            <w:pPr>
              <w:pStyle w:val="Normal"/>
              <w:widowControl w:val="false"/>
              <w:suppressAutoHyphens w:val="true"/>
              <w:spacing w:before="0" w:after="120"/>
              <w:ind w:hanging="0"/>
              <w:jc w:val="left"/>
              <w:rPr>
                <w:sz w:val="20"/>
                <w:szCs w:val="20"/>
              </w:rPr>
            </w:pPr>
            <w:r>
              <w:rPr>
                <w:rFonts w:cs=""/>
                <w:color w:val="000000"/>
                <w:kern w:val="0"/>
                <w:sz w:val="20"/>
                <w:szCs w:val="20"/>
                <w:lang w:val="en-US" w:eastAsia="en-US" w:bidi="ar-SA"/>
              </w:rPr>
              <w:t xml:space="preserve">Initial </w:t>
            </w:r>
            <w:r>
              <w:rPr>
                <w:rFonts w:cs=""/>
                <w:i/>
                <w:iCs/>
                <w:color w:val="000000"/>
                <w:kern w:val="0"/>
                <w:sz w:val="20"/>
                <w:szCs w:val="20"/>
                <w:lang w:val="en-US" w:eastAsia="en-US" w:bidi="ar-SA"/>
              </w:rPr>
              <w:t>design specifications</w:t>
            </w:r>
            <w:r>
              <w:rPr>
                <w:rFonts w:cs=""/>
                <w:color w:val="000000"/>
                <w:kern w:val="0"/>
                <w:sz w:val="20"/>
                <w:szCs w:val="20"/>
                <w:lang w:val="en-US" w:eastAsia="en-US" w:bidi="ar-SA"/>
              </w:rPr>
              <w:t xml:space="preserve"> and capabilities description for: ICAM operator-console (CAC+MFA) integration, hardware root-of-trust/attestation integration, explicit compartment labels, end-to-end signature-enforcement, the formally verified C reimplementation of the ML behavioral-anomaly layer, increase ACSL coverage to </w:t>
            </w:r>
            <w:r>
              <w:rPr>
                <w:rFonts w:eastAsia="Calibri" w:cs="Calibri"/>
                <w:color w:val="000000"/>
                <w:kern w:val="0"/>
                <w:sz w:val="20"/>
                <w:szCs w:val="20"/>
                <w:lang w:val="en-US" w:eastAsia="en-US" w:bidi="ar-SA"/>
              </w:rPr>
              <w:t>≥75%,</w:t>
            </w:r>
            <w:r>
              <w:rPr>
                <w:rFonts w:cs=""/>
                <w:color w:val="000000"/>
                <w:kern w:val="0"/>
                <w:sz w:val="20"/>
                <w:szCs w:val="20"/>
                <w:lang w:val="en-US" w:eastAsia="en-US" w:bidi="ar-SA"/>
              </w:rPr>
              <w:t xml:space="preserve"> OT protocol-aware enforcement adapters (Modbus TCP / DNP3 / OPC-UA / BACnet), &gt;100-node scaling, combat-system integration interface, the production mission-impact→AT policy interface, and a classified-work (NISPOM/clearance) transition-readiness plan.</w:t>
            </w:r>
          </w:p>
        </w:tc>
        <w:tc>
          <w:tcPr>
            <w:tcW w:w="1694" w:type="dxa"/>
            <w:tcBorders/>
          </w:tcPr>
          <w:p>
            <w:pPr>
              <w:pStyle w:val="Normal"/>
              <w:widowControl w:val="false"/>
              <w:suppressAutoHyphens w:val="true"/>
              <w:spacing w:before="0" w:after="120"/>
              <w:ind w:hanging="0"/>
              <w:jc w:val="center"/>
              <w:rPr>
                <w:sz w:val="20"/>
                <w:szCs w:val="20"/>
              </w:rPr>
            </w:pPr>
            <w:r>
              <w:rPr>
                <w:rFonts w:cs=""/>
                <w:color w:val="000000"/>
                <w:kern w:val="0"/>
                <w:sz w:val="20"/>
                <w:szCs w:val="20"/>
                <w:lang w:val="en-US" w:eastAsia="en-US" w:bidi="ar-SA"/>
              </w:rPr>
              <w:t>TekFive</w:t>
            </w:r>
            <w:r>
              <w:rPr>
                <w:rFonts w:cs=""/>
                <w:color w:val="000000"/>
                <w:kern w:val="0"/>
                <w:sz w:val="20"/>
                <w:szCs w:val="20"/>
                <w:shd w:fill="FFFFFF" w:val="clear"/>
                <w:lang w:val="en-US" w:eastAsia="en-US" w:bidi="ar-SA"/>
              </w:rPr>
              <w:t>; Sentar (OT SME)</w:t>
            </w:r>
          </w:p>
        </w:tc>
      </w:tr>
    </w:tbl>
    <w:p>
      <w:pPr>
        <w:pStyle w:val="Normal"/>
        <w:spacing w:before="0" w:after="0"/>
        <w:ind w:hanging="0"/>
        <w:rPr>
          <w:b/>
          <w:b/>
        </w:rPr>
      </w:pPr>
      <w:r>
        <w:rPr>
          <w:b/>
        </w:rPr>
      </w:r>
    </w:p>
    <w:p>
      <w:pPr>
        <w:pStyle w:val="Normal"/>
        <w:spacing w:before="0" w:after="0"/>
        <w:ind w:hanging="0"/>
        <w:rPr/>
      </w:pPr>
      <w:r>
        <w:rPr>
          <w:b/>
          <w:sz w:val="20"/>
          <w:szCs w:val="20"/>
        </w:rPr>
        <w:t xml:space="preserve">Schedule of major events. </w:t>
      </w:r>
      <w:r>
        <w:rPr>
          <w:sz w:val="20"/>
        </w:rPr>
        <w:t>The Phase I schedule is milestone-driven across the six-month Base and six-month Option, as summarized below.</w:t>
      </w:r>
    </w:p>
    <w:tbl>
      <w:tblPr>
        <w:tblStyle w:val="TableGrid"/>
        <w:tblW w:w="94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150"/>
        <w:gridCol w:w="2300"/>
        <w:gridCol w:w="6000"/>
      </w:tblGrid>
      <w:tr>
        <w:trPr/>
        <w:tc>
          <w:tcPr>
            <w:tcW w:w="9450" w:type="dxa"/>
            <w:gridSpan w:val="3"/>
            <w:tcBorders/>
            <w:shd w:color="auto" w:fill="BDD6EE" w:val="clear"/>
            <w:vAlign w:val="center"/>
          </w:tcPr>
          <w:p>
            <w:pPr>
              <w:pStyle w:val="Normal"/>
              <w:widowControl w:val="false"/>
              <w:suppressAutoHyphens w:val="true"/>
              <w:spacing w:before="0" w:after="0"/>
              <w:jc w:val="center"/>
              <w:rPr>
                <w:rFonts w:cs=""/>
                <w:kern w:val="0"/>
                <w:lang w:val="en-US" w:eastAsia="en-US" w:bidi="ar-SA"/>
              </w:rPr>
            </w:pPr>
            <w:r>
              <w:rPr>
                <w:rFonts w:cs=""/>
                <w:b/>
                <w:kern w:val="0"/>
                <w:sz w:val="20"/>
                <w:lang w:val="en-US" w:eastAsia="en-US" w:bidi="ar-SA"/>
              </w:rPr>
              <w:t>SCHEDULE OF MAJOR EVENTS</w:t>
            </w:r>
          </w:p>
        </w:tc>
      </w:tr>
      <w:tr>
        <w:trPr/>
        <w:tc>
          <w:tcPr>
            <w:tcW w:w="1150" w:type="dxa"/>
            <w:tcBorders/>
            <w:shd w:color="auto" w:fill="D9D9D9" w:val="clear"/>
            <w:vAlign w:val="center"/>
          </w:tcPr>
          <w:p>
            <w:pPr>
              <w:pStyle w:val="Normal"/>
              <w:widowControl w:val="false"/>
              <w:suppressAutoHyphens w:val="true"/>
              <w:spacing w:before="0" w:after="0"/>
              <w:ind w:hanging="0"/>
              <w:jc w:val="center"/>
              <w:rPr>
                <w:rFonts w:cs=""/>
                <w:kern w:val="0"/>
                <w:lang w:val="en-US" w:eastAsia="en-US" w:bidi="ar-SA"/>
              </w:rPr>
            </w:pPr>
            <w:r>
              <w:rPr>
                <w:rFonts w:cs=""/>
                <w:b/>
                <w:kern w:val="0"/>
                <w:sz w:val="20"/>
                <w:lang w:val="en-US" w:eastAsia="en-US" w:bidi="ar-SA"/>
              </w:rPr>
              <w:t>Milestone</w:t>
            </w:r>
          </w:p>
        </w:tc>
        <w:tc>
          <w:tcPr>
            <w:tcW w:w="2300" w:type="dxa"/>
            <w:tcBorders/>
            <w:shd w:color="auto" w:fill="D9D9D9" w:val="clear"/>
            <w:vAlign w:val="center"/>
          </w:tcPr>
          <w:p>
            <w:pPr>
              <w:pStyle w:val="Normal"/>
              <w:widowControl w:val="false"/>
              <w:suppressAutoHyphens w:val="true"/>
              <w:spacing w:before="0" w:after="0"/>
              <w:ind w:hanging="0"/>
              <w:jc w:val="center"/>
              <w:rPr>
                <w:rFonts w:cs=""/>
                <w:kern w:val="0"/>
                <w:lang w:val="en-US" w:eastAsia="en-US" w:bidi="ar-SA"/>
              </w:rPr>
            </w:pPr>
            <w:r>
              <w:rPr>
                <w:rFonts w:cs=""/>
                <w:b/>
                <w:kern w:val="0"/>
                <w:sz w:val="20"/>
                <w:lang w:val="en-US" w:eastAsia="en-US" w:bidi="ar-SA"/>
              </w:rPr>
              <w:t>Timing</w:t>
            </w:r>
          </w:p>
        </w:tc>
        <w:tc>
          <w:tcPr>
            <w:tcW w:w="6000" w:type="dxa"/>
            <w:tcBorders/>
            <w:shd w:color="auto" w:fill="D9D9D9" w:val="clear"/>
            <w:vAlign w:val="center"/>
          </w:tcPr>
          <w:p>
            <w:pPr>
              <w:pStyle w:val="Normal"/>
              <w:widowControl w:val="false"/>
              <w:suppressAutoHyphens w:val="true"/>
              <w:spacing w:before="0" w:after="0"/>
              <w:ind w:hanging="0"/>
              <w:jc w:val="center"/>
              <w:rPr>
                <w:rFonts w:cs=""/>
                <w:kern w:val="0"/>
                <w:lang w:val="en-US" w:eastAsia="en-US" w:bidi="ar-SA"/>
              </w:rPr>
            </w:pPr>
            <w:r>
              <w:rPr>
                <w:rFonts w:cs=""/>
                <w:b/>
                <w:kern w:val="0"/>
                <w:sz w:val="20"/>
                <w:lang w:val="en-US" w:eastAsia="en-US" w:bidi="ar-SA"/>
              </w:rPr>
              <w:t>Major events &amp; deliverables</w:t>
            </w:r>
          </w:p>
        </w:tc>
      </w:tr>
      <w:tr>
        <w:trPr/>
        <w:tc>
          <w:tcPr>
            <w:tcW w:w="1150" w:type="dxa"/>
            <w:tcBorders/>
          </w:tcPr>
          <w:p>
            <w:pPr>
              <w:pStyle w:val="Normal"/>
              <w:widowControl w:val="false"/>
              <w:suppressAutoHyphens w:val="true"/>
              <w:spacing w:before="0" w:after="0"/>
              <w:ind w:hanging="0"/>
              <w:jc w:val="center"/>
              <w:rPr>
                <w:rFonts w:cs=""/>
                <w:kern w:val="0"/>
                <w:lang w:val="en-US" w:eastAsia="en-US" w:bidi="ar-SA"/>
              </w:rPr>
            </w:pPr>
            <w:r>
              <w:rPr>
                <w:rFonts w:cs=""/>
                <w:b/>
                <w:kern w:val="0"/>
                <w:sz w:val="20"/>
                <w:lang w:val="en-US" w:eastAsia="en-US" w:bidi="ar-SA"/>
              </w:rPr>
              <w:t>M1</w:t>
            </w:r>
          </w:p>
        </w:tc>
        <w:tc>
          <w:tcPr>
            <w:tcW w:w="2300" w:type="dxa"/>
            <w:tcBorders/>
          </w:tcPr>
          <w:p>
            <w:pPr>
              <w:pStyle w:val="Normal"/>
              <w:widowControl w:val="false"/>
              <w:suppressAutoHyphens w:val="true"/>
              <w:spacing w:before="0" w:after="0"/>
              <w:ind w:hanging="0"/>
              <w:jc w:val="left"/>
              <w:rPr>
                <w:rFonts w:cs=""/>
                <w:kern w:val="0"/>
                <w:lang w:val="en-US" w:eastAsia="en-US" w:bidi="ar-SA"/>
              </w:rPr>
            </w:pPr>
            <w:r>
              <w:rPr>
                <w:rFonts w:cs=""/>
                <w:kern w:val="0"/>
                <w:sz w:val="20"/>
                <w:lang w:val="en-US" w:eastAsia="en-US" w:bidi="ar-SA"/>
              </w:rPr>
              <w:t>Base · Month 1</w:t>
            </w:r>
          </w:p>
        </w:tc>
        <w:tc>
          <w:tcPr>
            <w:tcW w:w="6000" w:type="dxa"/>
            <w:tcBorders/>
          </w:tcPr>
          <w:p>
            <w:pPr>
              <w:pStyle w:val="Normal"/>
              <w:widowControl w:val="false"/>
              <w:suppressAutoHyphens w:val="true"/>
              <w:spacing w:before="0" w:after="0"/>
              <w:ind w:hanging="0"/>
              <w:jc w:val="left"/>
              <w:rPr>
                <w:rFonts w:cs=""/>
                <w:kern w:val="0"/>
                <w:lang w:val="en-US" w:eastAsia="en-US" w:bidi="ar-SA"/>
              </w:rPr>
            </w:pPr>
            <w:r>
              <w:rPr>
                <w:rFonts w:cs=""/>
                <w:kern w:val="0"/>
                <w:sz w:val="20"/>
                <w:lang w:val="en-US" w:eastAsia="en-US" w:bidi="ar-SA"/>
              </w:rPr>
              <w:t>Project kickoff with the NAVSEA TPOC; pre-registration of the ZTA-only baseline and the ATT&amp;CK-mapped attack corpus.</w:t>
            </w:r>
          </w:p>
        </w:tc>
      </w:tr>
      <w:tr>
        <w:trPr/>
        <w:tc>
          <w:tcPr>
            <w:tcW w:w="1150" w:type="dxa"/>
            <w:tcBorders/>
          </w:tcPr>
          <w:p>
            <w:pPr>
              <w:pStyle w:val="Normal"/>
              <w:widowControl w:val="false"/>
              <w:suppressAutoHyphens w:val="true"/>
              <w:spacing w:before="0" w:after="0"/>
              <w:ind w:hanging="0"/>
              <w:jc w:val="center"/>
              <w:rPr>
                <w:rFonts w:cs=""/>
                <w:kern w:val="0"/>
                <w:lang w:val="en-US" w:eastAsia="en-US" w:bidi="ar-SA"/>
              </w:rPr>
            </w:pPr>
            <w:r>
              <w:rPr>
                <w:rFonts w:cs=""/>
                <w:b/>
                <w:kern w:val="0"/>
                <w:sz w:val="20"/>
                <w:lang w:val="en-US" w:eastAsia="en-US" w:bidi="ar-SA"/>
              </w:rPr>
              <w:t>M3</w:t>
            </w:r>
          </w:p>
        </w:tc>
        <w:tc>
          <w:tcPr>
            <w:tcW w:w="2300" w:type="dxa"/>
            <w:tcBorders/>
          </w:tcPr>
          <w:p>
            <w:pPr>
              <w:pStyle w:val="Normal"/>
              <w:widowControl w:val="false"/>
              <w:suppressAutoHyphens w:val="true"/>
              <w:spacing w:before="0" w:after="0"/>
              <w:ind w:hanging="0"/>
              <w:jc w:val="left"/>
              <w:rPr>
                <w:rFonts w:cs=""/>
                <w:kern w:val="0"/>
                <w:lang w:val="en-US" w:eastAsia="en-US" w:bidi="ar-SA"/>
              </w:rPr>
            </w:pPr>
            <w:r>
              <w:rPr>
                <w:rFonts w:cs=""/>
                <w:kern w:val="0"/>
                <w:sz w:val="20"/>
                <w:lang w:val="en-US" w:eastAsia="en-US" w:bidi="ar-SA"/>
              </w:rPr>
              <w:t>Base · Month 3</w:t>
            </w:r>
          </w:p>
        </w:tc>
        <w:tc>
          <w:tcPr>
            <w:tcW w:w="6000" w:type="dxa"/>
            <w:tcBorders/>
          </w:tcPr>
          <w:p>
            <w:pPr>
              <w:pStyle w:val="Normal"/>
              <w:widowControl w:val="false"/>
              <w:suppressAutoHyphens w:val="true"/>
              <w:spacing w:before="0" w:after="0"/>
              <w:ind w:hanging="0"/>
              <w:jc w:val="left"/>
              <w:rPr>
                <w:rFonts w:cs=""/>
                <w:kern w:val="0"/>
                <w:lang w:val="en-US" w:eastAsia="en-US" w:bidi="ar-SA"/>
              </w:rPr>
            </w:pPr>
            <w:r>
              <w:rPr>
                <w:rFonts w:cs=""/>
                <w:kern w:val="0"/>
                <w:sz w:val="20"/>
                <w:lang w:val="en-US" w:eastAsia="en-US" w:bidi="ar-SA"/>
              </w:rPr>
              <w:t>Task 1 architecture and traceability matrix complete; M&amp;S/scale harness stood up; interim progress review (independent Sentar gate review).</w:t>
            </w:r>
          </w:p>
        </w:tc>
      </w:tr>
      <w:tr>
        <w:trPr/>
        <w:tc>
          <w:tcPr>
            <w:tcW w:w="1150" w:type="dxa"/>
            <w:tcBorders/>
          </w:tcPr>
          <w:p>
            <w:pPr>
              <w:pStyle w:val="Normal"/>
              <w:widowControl w:val="false"/>
              <w:suppressAutoHyphens w:val="true"/>
              <w:spacing w:before="0" w:after="0"/>
              <w:ind w:hanging="0"/>
              <w:jc w:val="center"/>
              <w:rPr>
                <w:rFonts w:cs=""/>
                <w:kern w:val="0"/>
                <w:lang w:val="en-US" w:eastAsia="en-US" w:bidi="ar-SA"/>
              </w:rPr>
            </w:pPr>
            <w:r>
              <w:rPr>
                <w:rFonts w:cs=""/>
                <w:b/>
                <w:kern w:val="0"/>
                <w:sz w:val="20"/>
                <w:lang w:val="en-US" w:eastAsia="en-US" w:bidi="ar-SA"/>
              </w:rPr>
              <w:t>M6</w:t>
            </w:r>
          </w:p>
        </w:tc>
        <w:tc>
          <w:tcPr>
            <w:tcW w:w="2300" w:type="dxa"/>
            <w:tcBorders/>
          </w:tcPr>
          <w:p>
            <w:pPr>
              <w:pStyle w:val="Normal"/>
              <w:widowControl w:val="false"/>
              <w:suppressAutoHyphens w:val="true"/>
              <w:spacing w:before="0" w:after="0"/>
              <w:ind w:hanging="0"/>
              <w:jc w:val="left"/>
              <w:rPr>
                <w:rFonts w:cs=""/>
                <w:kern w:val="0"/>
                <w:lang w:val="en-US" w:eastAsia="en-US" w:bidi="ar-SA"/>
              </w:rPr>
            </w:pPr>
            <w:r>
              <w:rPr>
                <w:rFonts w:cs=""/>
                <w:kern w:val="0"/>
                <w:sz w:val="20"/>
                <w:lang w:val="en-US" w:eastAsia="en-US" w:bidi="ar-SA"/>
              </w:rPr>
              <w:t>Base · Month 6 — Base complete</w:t>
            </w:r>
          </w:p>
        </w:tc>
        <w:tc>
          <w:tcPr>
            <w:tcW w:w="6000" w:type="dxa"/>
            <w:tcBorders/>
          </w:tcPr>
          <w:p>
            <w:pPr>
              <w:pStyle w:val="Normal"/>
              <w:widowControl w:val="false"/>
              <w:suppressAutoHyphens w:val="true"/>
              <w:spacing w:before="0" w:after="0"/>
              <w:ind w:hanging="0"/>
              <w:jc w:val="left"/>
              <w:rPr>
                <w:rFonts w:cs=""/>
                <w:kern w:val="0"/>
                <w:lang w:val="en-US" w:eastAsia="en-US" w:bidi="ar-SA"/>
              </w:rPr>
            </w:pPr>
            <w:r>
              <w:rPr>
                <w:rFonts w:cs=""/>
                <w:kern w:val="0"/>
                <w:sz w:val="20"/>
                <w:lang w:val="en-US" w:eastAsia="en-US" w:bidi="ar-SA"/>
              </w:rPr>
              <w:t>Tasks 2–5 deliverables in hand; Phase I Final Report submitted.</w:t>
            </w:r>
          </w:p>
        </w:tc>
      </w:tr>
      <w:tr>
        <w:trPr/>
        <w:tc>
          <w:tcPr>
            <w:tcW w:w="1150" w:type="dxa"/>
            <w:tcBorders/>
          </w:tcPr>
          <w:p>
            <w:pPr>
              <w:pStyle w:val="Normal"/>
              <w:widowControl w:val="false"/>
              <w:suppressAutoHyphens w:val="true"/>
              <w:spacing w:before="0" w:after="0"/>
              <w:ind w:hanging="0"/>
              <w:jc w:val="center"/>
              <w:rPr>
                <w:rFonts w:cs=""/>
                <w:kern w:val="0"/>
                <w:lang w:val="en-US" w:eastAsia="en-US" w:bidi="ar-SA"/>
              </w:rPr>
            </w:pPr>
            <w:r>
              <w:rPr>
                <w:rFonts w:cs=""/>
                <w:b/>
                <w:kern w:val="0"/>
                <w:sz w:val="20"/>
                <w:lang w:val="en-US" w:eastAsia="en-US" w:bidi="ar-SA"/>
              </w:rPr>
              <w:t>Option-M3</w:t>
            </w:r>
          </w:p>
        </w:tc>
        <w:tc>
          <w:tcPr>
            <w:tcW w:w="2300" w:type="dxa"/>
            <w:tcBorders/>
          </w:tcPr>
          <w:p>
            <w:pPr>
              <w:pStyle w:val="Normal"/>
              <w:widowControl w:val="false"/>
              <w:suppressAutoHyphens w:val="true"/>
              <w:spacing w:before="0" w:after="0"/>
              <w:ind w:hanging="0"/>
              <w:jc w:val="left"/>
              <w:rPr>
                <w:rFonts w:cs=""/>
                <w:kern w:val="0"/>
                <w:lang w:val="en-US" w:eastAsia="en-US" w:bidi="ar-SA"/>
              </w:rPr>
            </w:pPr>
            <w:r>
              <w:rPr>
                <w:rFonts w:cs=""/>
                <w:kern w:val="0"/>
                <w:sz w:val="20"/>
                <w:lang w:val="en-US" w:eastAsia="en-US" w:bidi="ar-SA"/>
              </w:rPr>
              <w:t>Option · Month 3</w:t>
            </w:r>
          </w:p>
        </w:tc>
        <w:tc>
          <w:tcPr>
            <w:tcW w:w="6000" w:type="dxa"/>
            <w:tcBorders/>
          </w:tcPr>
          <w:p>
            <w:pPr>
              <w:pStyle w:val="Normal"/>
              <w:widowControl w:val="false"/>
              <w:suppressAutoHyphens w:val="true"/>
              <w:spacing w:before="0" w:after="0"/>
              <w:ind w:hanging="0"/>
              <w:jc w:val="left"/>
              <w:rPr>
                <w:rFonts w:cs=""/>
                <w:kern w:val="0"/>
                <w:lang w:val="en-US" w:eastAsia="en-US" w:bidi="ar-SA"/>
              </w:rPr>
            </w:pPr>
            <w:r>
              <w:rPr>
                <w:rFonts w:cs=""/>
                <w:kern w:val="0"/>
                <w:sz w:val="20"/>
                <w:lang w:val="en-US" w:eastAsia="en-US" w:bidi="ar-SA"/>
              </w:rPr>
              <w:t>Interim review of the Options 1–4 design-specification drafts (independent Sentar gate review).</w:t>
            </w:r>
          </w:p>
        </w:tc>
      </w:tr>
      <w:tr>
        <w:trPr/>
        <w:tc>
          <w:tcPr>
            <w:tcW w:w="1150" w:type="dxa"/>
            <w:tcBorders/>
          </w:tcPr>
          <w:p>
            <w:pPr>
              <w:pStyle w:val="Normal"/>
              <w:widowControl w:val="false"/>
              <w:suppressAutoHyphens w:val="true"/>
              <w:spacing w:before="0" w:after="0"/>
              <w:ind w:hanging="0"/>
              <w:jc w:val="center"/>
              <w:rPr>
                <w:rFonts w:cs=""/>
                <w:kern w:val="0"/>
                <w:lang w:val="en-US" w:eastAsia="en-US" w:bidi="ar-SA"/>
              </w:rPr>
            </w:pPr>
            <w:r>
              <w:rPr>
                <w:rFonts w:cs=""/>
                <w:b/>
                <w:kern w:val="0"/>
                <w:sz w:val="20"/>
                <w:lang w:val="en-US" w:eastAsia="en-US" w:bidi="ar-SA"/>
              </w:rPr>
              <w:t>Option-M6</w:t>
            </w:r>
          </w:p>
        </w:tc>
        <w:tc>
          <w:tcPr>
            <w:tcW w:w="2300" w:type="dxa"/>
            <w:tcBorders/>
          </w:tcPr>
          <w:p>
            <w:pPr>
              <w:pStyle w:val="Normal"/>
              <w:widowControl w:val="false"/>
              <w:suppressAutoHyphens w:val="true"/>
              <w:spacing w:before="0" w:after="0"/>
              <w:ind w:hanging="0"/>
              <w:jc w:val="left"/>
              <w:rPr>
                <w:rFonts w:cs=""/>
                <w:kern w:val="0"/>
                <w:lang w:val="en-US" w:eastAsia="en-US" w:bidi="ar-SA"/>
              </w:rPr>
            </w:pPr>
            <w:r>
              <w:rPr>
                <w:rFonts w:cs=""/>
                <w:kern w:val="0"/>
                <w:sz w:val="20"/>
                <w:lang w:val="en-US" w:eastAsia="en-US" w:bidi="ar-SA"/>
              </w:rPr>
              <w:t>Option · Month 6 — Option complete</w:t>
            </w:r>
          </w:p>
        </w:tc>
        <w:tc>
          <w:tcPr>
            <w:tcW w:w="6000" w:type="dxa"/>
            <w:tcBorders/>
          </w:tcPr>
          <w:p>
            <w:pPr>
              <w:pStyle w:val="Normal"/>
              <w:widowControl w:val="false"/>
              <w:suppressAutoHyphens w:val="true"/>
              <w:spacing w:before="0" w:after="0"/>
              <w:ind w:hanging="0"/>
              <w:jc w:val="left"/>
              <w:rPr>
                <w:rFonts w:cs=""/>
                <w:kern w:val="0"/>
                <w:lang w:val="en-US" w:eastAsia="en-US" w:bidi="ar-SA"/>
              </w:rPr>
            </w:pPr>
            <w:r>
              <w:rPr>
                <w:rFonts w:cs=""/>
                <w:kern w:val="0"/>
                <w:sz w:val="20"/>
                <w:lang w:val="en-US" w:eastAsia="en-US" w:bidi="ar-SA"/>
              </w:rPr>
              <w:t>Options 1–4 design specifications and capabilities descriptions delivered; consolidated Phase II prototype plan delivered.</w:t>
            </w:r>
          </w:p>
        </w:tc>
      </w:tr>
    </w:tbl>
    <w:p>
      <w:pPr>
        <w:pStyle w:val="Normal"/>
        <w:spacing w:before="0" w:after="0"/>
        <w:ind w:hanging="0"/>
        <w:rPr>
          <w:sz w:val="20"/>
          <w:szCs w:val="20"/>
        </w:rPr>
      </w:pPr>
      <w:r>
        <w:rPr>
          <w:sz w:val="20"/>
          <w:szCs w:val="20"/>
        </w:rPr>
      </w:r>
    </w:p>
    <w:p>
      <w:pPr>
        <w:pStyle w:val="Normal"/>
        <w:spacing w:before="0" w:after="0"/>
        <w:ind w:hanging="0"/>
        <w:rPr>
          <w:sz w:val="20"/>
          <w:szCs w:val="20"/>
        </w:rPr>
      </w:pPr>
      <w:r>
        <w:rPr>
          <w:sz w:val="20"/>
          <w:szCs w:val="20"/>
        </w:rPr>
      </w:r>
    </w:p>
    <w:p>
      <w:pPr>
        <w:pStyle w:val="Normal"/>
        <w:ind w:hanging="0"/>
        <w:rPr>
          <w:sz w:val="20"/>
          <w:szCs w:val="20"/>
        </w:rPr>
      </w:pPr>
      <w:r>
        <w:rPr>
          <w:b/>
          <w:sz w:val="20"/>
          <w:szCs w:val="20"/>
        </w:rPr>
        <w:t>1.3</w:t>
        <w:tab/>
        <w:t>Related Work.</w:t>
      </w:r>
    </w:p>
    <w:p>
      <w:pPr>
        <w:pStyle w:val="Normal"/>
        <w:ind w:hanging="0"/>
        <w:rPr>
          <w:sz w:val="20"/>
          <w:szCs w:val="20"/>
        </w:rPr>
      </w:pPr>
      <w:r>
        <w:rPr>
          <w:b/>
          <w:sz w:val="20"/>
          <w:szCs w:val="20"/>
        </w:rPr>
        <w:t xml:space="preserve">AutonomousTrust prototype (TekFive). </w:t>
      </w:r>
      <w:r>
        <w:rPr>
          <w:sz w:val="20"/>
          <w:szCs w:val="20"/>
        </w:rPr>
        <w:t>The proposed effort builds directly on AT, an existing working prototype developed by the proposing firm. It features a decentralized, behavioral Zero Trust fabric with cryptographic identity, a Merkle-DAG identity ledger, reputation-weighted indirect reciprocity, leaderless Byzantine Multi-Paxos consensus, evidence-gated Merkle-proof slashing, capability tier-gating, a ZTA overlay (X.509 verifier with OCSP/CRL, DDIL fallback, delegated verification, immutable JSONL audit), and partition detection/recovery. Previously demonstrated cohorts up to 25 peers form and detect anomalies cleanly; this limit is an emulation-fidelity ceiling. The Phase I 100-node study runs on a compute cluster (TekFive AWS GovCloud) under O2.</w:t>
      </w:r>
    </w:p>
    <w:p>
      <w:pPr>
        <w:pStyle w:val="Normal"/>
        <w:ind w:hanging="0"/>
        <w:rPr>
          <w:sz w:val="20"/>
          <w:szCs w:val="20"/>
        </w:rPr>
      </w:pPr>
      <w:r>
        <w:rPr>
          <w:b/>
          <w:sz w:val="20"/>
          <w:szCs w:val="20"/>
        </w:rPr>
        <w:t xml:space="preserve">Production C core under formal verification. </w:t>
      </w:r>
      <w:r>
        <w:rPr>
          <w:sz w:val="20"/>
          <w:szCs w:val="20"/>
        </w:rPr>
        <w:t>The library is an embedded ARM build written in C, under ongoing Frama-C/WP + ACSL formal verification (100% proof on attempted goals, 4,262/4,262; ~54% function coverage; documented skips). A Python implementation is the development/reference runtime, pinned byte-for-byte to the C core by a cross-language conformance corpus.</w:t>
      </w:r>
    </w:p>
    <w:p>
      <w:pPr>
        <w:pStyle w:val="Normal"/>
        <w:ind w:hanging="0"/>
        <w:rPr>
          <w:sz w:val="20"/>
          <w:szCs w:val="20"/>
        </w:rPr>
      </w:pPr>
      <w:r>
        <w:rPr>
          <w:b/>
          <w:sz w:val="20"/>
          <w:szCs w:val="20"/>
        </w:rPr>
        <w:t xml:space="preserve">Prior demonstration &amp; supporting design. </w:t>
      </w:r>
      <w:r>
        <w:rPr>
          <w:sz w:val="20"/>
          <w:szCs w:val="20"/>
        </w:rPr>
        <w:t>A prior TekFive demonstration wires an ML ISR pipeline (YOLOv8-OBB) into AT as a trust-scored</w:t>
      </w:r>
      <w:r>
        <w:rPr>
          <w:color w:val="000000"/>
          <w:sz w:val="20"/>
          <w:szCs w:val="20"/>
        </w:rPr>
        <w:t xml:space="preserve"> capability, exercising cross-source physical-consistency fusion (the 97.5 m compromised-drone detection). </w:t>
      </w:r>
      <w:r>
        <w:rPr>
          <w:rFonts w:eastAsia="Calibri" w:cs="Calibri"/>
          <w:color w:val="000000"/>
          <w:sz w:val="20"/>
          <w:szCs w:val="20"/>
        </w:rPr>
        <w:t>Phase I formalizes this design baseline against the existing internal architecture documentation.</w:t>
      </w:r>
    </w:p>
    <w:p>
      <w:pPr>
        <w:pStyle w:val="Normal"/>
        <w:spacing w:before="0" w:after="0"/>
        <w:ind w:hanging="0"/>
        <w:rPr>
          <w:b/>
          <w:b/>
          <w:sz w:val="20"/>
          <w:szCs w:val="20"/>
        </w:rPr>
      </w:pPr>
      <w:r>
        <w:rPr>
          <w:b/>
          <w:sz w:val="20"/>
          <w:szCs w:val="20"/>
        </w:rPr>
      </w:r>
    </w:p>
    <w:p>
      <w:pPr>
        <w:pStyle w:val="Normal"/>
        <w:spacing w:before="0" w:after="0"/>
        <w:ind w:hanging="0"/>
        <w:rPr>
          <w:b/>
          <w:b/>
          <w:sz w:val="20"/>
          <w:szCs w:val="20"/>
        </w:rPr>
      </w:pPr>
      <w:r>
        <w:rPr>
          <w:b/>
          <w:sz w:val="20"/>
          <w:szCs w:val="20"/>
        </w:rPr>
      </w:r>
    </w:p>
    <w:p>
      <w:pPr>
        <w:pStyle w:val="Normal"/>
        <w:ind w:hanging="0"/>
        <w:rPr>
          <w:sz w:val="20"/>
          <w:szCs w:val="20"/>
        </w:rPr>
      </w:pPr>
      <w:r>
        <w:rPr>
          <w:b/>
          <w:sz w:val="20"/>
          <w:szCs w:val="20"/>
        </w:rPr>
        <w:t>2.0</w:t>
        <w:tab/>
        <w:t xml:space="preserve">Key Personnel </w:t>
      </w:r>
    </w:p>
    <w:p>
      <w:pPr>
        <w:pStyle w:val="Normal"/>
        <w:spacing w:before="0" w:after="0"/>
        <w:ind w:hanging="0"/>
        <w:rPr>
          <w:sz w:val="20"/>
          <w:szCs w:val="20"/>
        </w:rPr>
      </w:pPr>
      <w:r>
        <w:rPr>
          <w:sz w:val="20"/>
          <w:szCs w:val="20"/>
        </w:rPr>
        <w:t xml:space="preserve">The team is TekFive (prime; AutonomousTrust development &amp; integration), with mentoring from Sentar in the form of OT requirements, gate review, and DoW SME. Key personnel are listed in the Key Personnel Summary below. </w:t>
      </w:r>
      <w:r>
        <w:rPr>
          <w:color w:val="000000"/>
          <w:sz w:val="20"/>
          <w:szCs w:val="20"/>
        </w:rPr>
        <w:t xml:space="preserve">Current SPRS self-assessment on file to satisfy CMMC L2. </w:t>
      </w:r>
      <w:r>
        <w:rPr>
          <w:sz w:val="20"/>
          <w:szCs w:val="20"/>
        </w:rPr>
        <w:t xml:space="preserve">In addition to named colleagues, the PI is supported by TekFive’s senior engineering bench (including four cleared engineers). No Foreign Persons are proposed for any Phase. </w:t>
      </w:r>
    </w:p>
    <w:p>
      <w:pPr>
        <w:pStyle w:val="Normal"/>
        <w:spacing w:before="0" w:after="0"/>
        <w:ind w:hanging="0"/>
        <w:rPr>
          <w:sz w:val="22"/>
          <w:szCs w:val="22"/>
        </w:rPr>
      </w:pPr>
      <w:r>
        <w:rPr>
          <w:sz w:val="22"/>
          <w:szCs w:val="22"/>
        </w:rPr>
      </w:r>
    </w:p>
    <w:tbl>
      <w:tblPr>
        <w:tblStyle w:val="TableGrid"/>
        <w:tblW w:w="94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615"/>
        <w:gridCol w:w="1099"/>
        <w:gridCol w:w="3226"/>
        <w:gridCol w:w="984"/>
        <w:gridCol w:w="2526"/>
      </w:tblGrid>
      <w:tr>
        <w:trPr>
          <w:trHeight w:val="20" w:hRule="atLeast"/>
        </w:trPr>
        <w:tc>
          <w:tcPr>
            <w:tcW w:w="9450" w:type="dxa"/>
            <w:gridSpan w:val="5"/>
            <w:tcBorders/>
            <w:shd w:color="auto" w:fill="D5DCE4" w:themeFill="text2" w:themeFillTint="33" w:val="clear"/>
          </w:tcPr>
          <w:p>
            <w:pPr>
              <w:pStyle w:val="Normal"/>
              <w:widowControl w:val="false"/>
              <w:suppressAutoHyphens w:val="true"/>
              <w:spacing w:before="0" w:after="0"/>
              <w:ind w:hanging="0"/>
              <w:jc w:val="center"/>
              <w:rPr>
                <w:sz w:val="20"/>
                <w:szCs w:val="20"/>
              </w:rPr>
            </w:pPr>
            <w:r>
              <w:rPr>
                <w:rFonts w:cs=""/>
                <w:b/>
                <w:kern w:val="0"/>
                <w:sz w:val="20"/>
                <w:szCs w:val="20"/>
                <w:lang w:val="en-US" w:eastAsia="en-US" w:bidi="ar-SA"/>
              </w:rPr>
              <w:t>KEY PERSONNEL SUMMARY</w:t>
            </w:r>
          </w:p>
        </w:tc>
      </w:tr>
      <w:tr>
        <w:trPr>
          <w:trHeight w:val="20" w:hRule="atLeast"/>
        </w:trPr>
        <w:tc>
          <w:tcPr>
            <w:tcW w:w="1615" w:type="dxa"/>
            <w:tcBorders/>
            <w:shd w:color="auto" w:fill="D9D9D9" w:themeFill="background1" w:themeFillShade="d9" w:val="clear"/>
            <w:vAlign w:val="center"/>
          </w:tcPr>
          <w:p>
            <w:pPr>
              <w:pStyle w:val="Normal"/>
              <w:widowControl w:val="false"/>
              <w:suppressAutoHyphens w:val="true"/>
              <w:spacing w:before="0" w:after="0"/>
              <w:ind w:hanging="0"/>
              <w:jc w:val="center"/>
              <w:rPr>
                <w:sz w:val="20"/>
                <w:szCs w:val="20"/>
              </w:rPr>
            </w:pPr>
            <w:r>
              <w:rPr>
                <w:rFonts w:cs=""/>
                <w:b/>
                <w:kern w:val="0"/>
                <w:sz w:val="20"/>
                <w:szCs w:val="20"/>
                <w:lang w:val="en-US" w:eastAsia="en-US" w:bidi="ar-SA"/>
              </w:rPr>
              <w:t>Name and Title</w:t>
            </w:r>
          </w:p>
        </w:tc>
        <w:tc>
          <w:tcPr>
            <w:tcW w:w="1099" w:type="dxa"/>
            <w:tcBorders/>
            <w:shd w:color="auto" w:fill="D9D9D9" w:themeFill="background1" w:themeFillShade="d9" w:val="clear"/>
            <w:vAlign w:val="center"/>
          </w:tcPr>
          <w:p>
            <w:pPr>
              <w:pStyle w:val="Normal"/>
              <w:widowControl w:val="false"/>
              <w:suppressAutoHyphens w:val="true"/>
              <w:spacing w:before="0" w:after="0"/>
              <w:ind w:hanging="0"/>
              <w:jc w:val="center"/>
              <w:rPr>
                <w:sz w:val="20"/>
                <w:szCs w:val="20"/>
              </w:rPr>
            </w:pPr>
            <w:r>
              <w:rPr>
                <w:rFonts w:cs=""/>
                <w:b/>
                <w:kern w:val="0"/>
                <w:sz w:val="20"/>
                <w:szCs w:val="20"/>
                <w:lang w:val="en-US" w:eastAsia="en-US" w:bidi="ar-SA"/>
              </w:rPr>
              <w:t>Employer</w:t>
            </w:r>
          </w:p>
        </w:tc>
        <w:tc>
          <w:tcPr>
            <w:tcW w:w="3226" w:type="dxa"/>
            <w:tcBorders/>
            <w:shd w:color="auto" w:fill="D9D9D9" w:themeFill="background1" w:themeFillShade="d9" w:val="clear"/>
            <w:vAlign w:val="center"/>
          </w:tcPr>
          <w:p>
            <w:pPr>
              <w:pStyle w:val="Normal"/>
              <w:widowControl w:val="false"/>
              <w:suppressAutoHyphens w:val="true"/>
              <w:spacing w:before="0" w:after="0"/>
              <w:ind w:hanging="0"/>
              <w:jc w:val="center"/>
              <w:rPr>
                <w:sz w:val="20"/>
                <w:szCs w:val="20"/>
              </w:rPr>
            </w:pPr>
            <w:r>
              <w:rPr>
                <w:rFonts w:cs=""/>
                <w:b/>
                <w:kern w:val="0"/>
                <w:sz w:val="20"/>
                <w:szCs w:val="20"/>
                <w:lang w:val="en-US" w:eastAsia="en-US" w:bidi="ar-SA"/>
              </w:rPr>
              <w:t>Qualifications</w:t>
            </w:r>
          </w:p>
        </w:tc>
        <w:tc>
          <w:tcPr>
            <w:tcW w:w="984" w:type="dxa"/>
            <w:tcBorders/>
            <w:shd w:color="auto" w:fill="D9D9D9" w:themeFill="background1" w:themeFillShade="d9" w:val="clear"/>
            <w:vAlign w:val="center"/>
          </w:tcPr>
          <w:p>
            <w:pPr>
              <w:pStyle w:val="Normal"/>
              <w:widowControl w:val="false"/>
              <w:suppressAutoHyphens w:val="true"/>
              <w:spacing w:before="0" w:after="0"/>
              <w:ind w:hanging="0"/>
              <w:jc w:val="center"/>
              <w:rPr>
                <w:sz w:val="20"/>
                <w:szCs w:val="20"/>
              </w:rPr>
            </w:pPr>
            <w:r>
              <w:rPr>
                <w:rFonts w:cs=""/>
                <w:b/>
                <w:kern w:val="0"/>
                <w:sz w:val="20"/>
                <w:szCs w:val="20"/>
                <w:lang w:val="en-US" w:eastAsia="en-US" w:bidi="ar-SA"/>
              </w:rPr>
              <w:t>*Foreign Person</w:t>
            </w:r>
          </w:p>
          <w:p>
            <w:pPr>
              <w:pStyle w:val="Normal"/>
              <w:widowControl w:val="false"/>
              <w:suppressAutoHyphens w:val="true"/>
              <w:spacing w:before="0" w:after="0"/>
              <w:ind w:hanging="0"/>
              <w:jc w:val="center"/>
              <w:rPr>
                <w:sz w:val="20"/>
                <w:szCs w:val="20"/>
              </w:rPr>
            </w:pPr>
            <w:r>
              <w:rPr>
                <w:rFonts w:cs=""/>
                <w:b/>
                <w:kern w:val="0"/>
                <w:sz w:val="20"/>
                <w:szCs w:val="20"/>
                <w:lang w:val="en-US" w:eastAsia="en-US" w:bidi="ar-SA"/>
              </w:rPr>
              <w:t>(Y/N)</w:t>
            </w:r>
          </w:p>
        </w:tc>
        <w:tc>
          <w:tcPr>
            <w:tcW w:w="2526" w:type="dxa"/>
            <w:tcBorders/>
            <w:shd w:color="auto" w:fill="D9D9D9" w:themeFill="background1" w:themeFillShade="d9" w:val="clear"/>
            <w:vAlign w:val="center"/>
          </w:tcPr>
          <w:p>
            <w:pPr>
              <w:pStyle w:val="Normal"/>
              <w:widowControl w:val="false"/>
              <w:suppressAutoHyphens w:val="true"/>
              <w:spacing w:before="0" w:after="0"/>
              <w:ind w:hanging="0"/>
              <w:jc w:val="center"/>
              <w:rPr>
                <w:sz w:val="20"/>
                <w:szCs w:val="20"/>
              </w:rPr>
            </w:pPr>
            <w:r>
              <w:rPr>
                <w:rFonts w:cs=""/>
                <w:b/>
                <w:kern w:val="0"/>
                <w:sz w:val="20"/>
                <w:szCs w:val="20"/>
                <w:lang w:val="en-US" w:eastAsia="en-US" w:bidi="ar-SA"/>
              </w:rPr>
              <w:t>Publications</w:t>
            </w:r>
          </w:p>
        </w:tc>
      </w:tr>
      <w:tr>
        <w:trPr/>
        <w:tc>
          <w:tcPr>
            <w:tcW w:w="1615"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Sean M. Brennan</w:t>
            </w:r>
          </w:p>
          <w:p>
            <w:pPr>
              <w:pStyle w:val="Normal"/>
              <w:widowControl w:val="false"/>
              <w:suppressAutoHyphens w:val="true"/>
              <w:spacing w:before="0" w:after="120"/>
              <w:ind w:hanging="0"/>
              <w:jc w:val="left"/>
              <w:rPr>
                <w:sz w:val="20"/>
                <w:szCs w:val="20"/>
              </w:rPr>
            </w:pPr>
            <w:r>
              <w:rPr>
                <w:rFonts w:cs=""/>
                <w:kern w:val="0"/>
                <w:sz w:val="20"/>
                <w:szCs w:val="20"/>
                <w:lang w:val="en-US" w:eastAsia="en-US" w:bidi="ar-SA"/>
              </w:rPr>
              <w:t>Senior Software Engineer</w:t>
            </w:r>
          </w:p>
          <w:p>
            <w:pPr>
              <w:pStyle w:val="Normal"/>
              <w:widowControl w:val="false"/>
              <w:suppressAutoHyphens w:val="true"/>
              <w:spacing w:before="0" w:after="120"/>
              <w:ind w:hanging="0"/>
              <w:jc w:val="left"/>
              <w:rPr>
                <w:sz w:val="20"/>
                <w:szCs w:val="20"/>
              </w:rPr>
            </w:pPr>
            <w:r>
              <w:rPr>
                <w:rFonts w:cs=""/>
                <w:kern w:val="0"/>
                <w:sz w:val="20"/>
                <w:szCs w:val="20"/>
                <w:lang w:val="en-US" w:eastAsia="en-US" w:bidi="ar-SA"/>
              </w:rPr>
              <w:t>Principal Investigator</w:t>
            </w:r>
          </w:p>
        </w:tc>
        <w:tc>
          <w:tcPr>
            <w:tcW w:w="1099" w:type="dxa"/>
            <w:tcBorders/>
          </w:tcPr>
          <w:p>
            <w:pPr>
              <w:pStyle w:val="Normal"/>
              <w:widowControl w:val="false"/>
              <w:suppressAutoHyphens w:val="true"/>
              <w:spacing w:before="0" w:after="120"/>
              <w:ind w:hanging="0"/>
              <w:jc w:val="center"/>
              <w:rPr>
                <w:sz w:val="20"/>
                <w:szCs w:val="20"/>
              </w:rPr>
            </w:pPr>
            <w:r>
              <w:rPr>
                <w:rFonts w:cs=""/>
                <w:kern w:val="0"/>
                <w:sz w:val="20"/>
                <w:szCs w:val="20"/>
                <w:lang w:val="en-US" w:eastAsia="en-US" w:bidi="ar-SA"/>
              </w:rPr>
              <w:t>TekFive</w:t>
            </w:r>
          </w:p>
        </w:tc>
        <w:tc>
          <w:tcPr>
            <w:tcW w:w="3226" w:type="dxa"/>
            <w:tcBorders/>
          </w:tcPr>
          <w:p>
            <w:pPr>
              <w:pStyle w:val="Normal"/>
              <w:widowControl w:val="false"/>
              <w:suppressAutoHyphens w:val="true"/>
              <w:spacing w:before="0" w:after="40"/>
              <w:ind w:hanging="0"/>
              <w:jc w:val="left"/>
              <w:rPr>
                <w:sz w:val="20"/>
                <w:szCs w:val="20"/>
              </w:rPr>
            </w:pPr>
            <w:r>
              <w:rPr>
                <w:rFonts w:cs=""/>
                <w:kern w:val="0"/>
                <w:sz w:val="20"/>
                <w:szCs w:val="20"/>
                <w:lang w:val="en-US" w:eastAsia="en-US" w:bidi="ar-SA"/>
              </w:rPr>
              <w:t>Software engineer, architect, and research scientist with 20+ years experience building secure, real-time autonomous distributed systems from the resource-constrained edge to the data-fusion core, across unclassified and classified networks, with a career-long emphasis on formal software-development lifecycle (SDLC) and verification. Direct experience in machine-to-machine trust modeling, network and data security, embedded/flight software, and modeling &amp; simulation of large-scale distributed networks. Proposal-writing Principal Investigator with prior funding- and staffing-management responsibility. Holds a Ph.D. in Computer Science (2009).</w:t>
            </w:r>
          </w:p>
          <w:p>
            <w:pPr>
              <w:pStyle w:val="Normal"/>
              <w:widowControl w:val="false"/>
              <w:suppressAutoHyphens w:val="true"/>
              <w:spacing w:before="0" w:after="40"/>
              <w:ind w:hanging="0"/>
              <w:jc w:val="left"/>
              <w:rPr>
                <w:sz w:val="20"/>
                <w:szCs w:val="20"/>
              </w:rPr>
            </w:pPr>
            <w:r>
              <w:rPr>
                <w:rFonts w:cs=""/>
                <w:kern w:val="0"/>
                <w:sz w:val="20"/>
                <w:szCs w:val="20"/>
                <w:lang w:val="en-US" w:eastAsia="en-US" w:bidi="ar-SA"/>
              </w:rPr>
              <w:t>Author of AutonomousTrust.</w:t>
            </w:r>
          </w:p>
        </w:tc>
        <w:tc>
          <w:tcPr>
            <w:tcW w:w="984" w:type="dxa"/>
            <w:tcBorders/>
          </w:tcPr>
          <w:p>
            <w:pPr>
              <w:pStyle w:val="Normal"/>
              <w:widowControl w:val="false"/>
              <w:suppressAutoHyphens w:val="true"/>
              <w:spacing w:before="0" w:after="120"/>
              <w:ind w:hanging="0"/>
              <w:jc w:val="center"/>
              <w:rPr>
                <w:sz w:val="20"/>
                <w:szCs w:val="20"/>
              </w:rPr>
            </w:pPr>
            <w:r>
              <w:rPr>
                <w:rFonts w:cs=""/>
                <w:kern w:val="0"/>
                <w:sz w:val="20"/>
                <w:szCs w:val="20"/>
                <w:lang w:val="en-US" w:eastAsia="en-US" w:bidi="ar-SA"/>
              </w:rPr>
              <w:t>N</w:t>
            </w:r>
          </w:p>
        </w:tc>
        <w:tc>
          <w:tcPr>
            <w:tcW w:w="2526" w:type="dxa"/>
            <w:tcBorders/>
          </w:tcPr>
          <w:p>
            <w:pPr>
              <w:pStyle w:val="Normal"/>
              <w:widowControl w:val="false"/>
              <w:suppressAutoHyphens w:val="true"/>
              <w:spacing w:before="0" w:after="120"/>
              <w:ind w:hanging="0"/>
              <w:jc w:val="left"/>
              <w:rPr>
                <w:sz w:val="20"/>
                <w:szCs w:val="20"/>
              </w:rPr>
            </w:pPr>
            <w:r>
              <w:rPr>
                <w:rFonts w:cs=""/>
                <w:color w:val="000000"/>
                <w:kern w:val="0"/>
                <w:sz w:val="20"/>
                <w:szCs w:val="20"/>
                <w:lang w:val="en-US" w:eastAsia="en-US" w:bidi="ar-SA"/>
              </w:rPr>
              <w:t>Brennan, S. “AutonomousTrust: High-trust systems for secure cooperation.” TekFive whitepaper. May 3, 2023.</w:t>
            </w:r>
          </w:p>
          <w:p>
            <w:pPr>
              <w:pStyle w:val="Normal"/>
              <w:widowControl w:val="false"/>
              <w:suppressAutoHyphens w:val="true"/>
              <w:spacing w:before="0" w:after="120"/>
              <w:ind w:hanging="0"/>
              <w:jc w:val="left"/>
              <w:rPr>
                <w:sz w:val="20"/>
                <w:szCs w:val="20"/>
              </w:rPr>
            </w:pPr>
            <w:r>
              <w:rPr>
                <w:rStyle w:val="Emphasis"/>
                <w:rFonts w:cs=""/>
                <w:i w:val="false"/>
                <w:iCs w:val="false"/>
                <w:color w:val="000000"/>
                <w:kern w:val="0"/>
                <w:sz w:val="20"/>
                <w:szCs w:val="20"/>
                <w:lang w:val="en-US" w:eastAsia="en-US" w:bidi="ar-SA"/>
              </w:rPr>
              <w:t xml:space="preserve">Vestrand, W., et al. </w:t>
            </w:r>
            <w:r>
              <w:rPr>
                <w:rFonts w:cs=""/>
                <w:color w:val="000000"/>
                <w:kern w:val="0"/>
                <w:sz w:val="20"/>
                <w:szCs w:val="20"/>
                <w:lang w:val="en-US" w:eastAsia="en-US" w:bidi="ar-SA"/>
              </w:rPr>
              <w:t xml:space="preserve">“Artificial Intelligence Enabled Dynamic Coalition Architecture for Space Traffic Management.” </w:t>
            </w:r>
            <w:r>
              <w:rPr>
                <w:rFonts w:cs=""/>
                <w:i/>
                <w:iCs/>
                <w:color w:val="000000"/>
                <w:kern w:val="0"/>
                <w:sz w:val="20"/>
                <w:szCs w:val="20"/>
                <w:lang w:val="en-US" w:eastAsia="en-US" w:bidi="ar-SA"/>
              </w:rPr>
              <w:t>Advanced Maui Optical and Space Surveillance Technologies Conference (AMOS 2021).</w:t>
            </w:r>
            <w:r>
              <w:rPr>
                <w:rFonts w:cs=""/>
                <w:color w:val="000000"/>
                <w:kern w:val="0"/>
                <w:sz w:val="20"/>
                <w:szCs w:val="20"/>
                <w:lang w:val="en-US" w:eastAsia="en-US" w:bidi="ar-SA"/>
              </w:rPr>
              <w:t xml:space="preserve"> Sep 8, 2021.</w:t>
            </w:r>
          </w:p>
        </w:tc>
      </w:tr>
      <w:tr>
        <w:trPr/>
        <w:tc>
          <w:tcPr>
            <w:tcW w:w="1615" w:type="dxa"/>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J. Mark Norris</w:t>
            </w:r>
          </w:p>
          <w:p>
            <w:pPr>
              <w:pStyle w:val="Normal"/>
              <w:widowControl w:val="false"/>
              <w:suppressAutoHyphens w:val="true"/>
              <w:spacing w:before="0" w:after="120"/>
              <w:ind w:hanging="0"/>
              <w:jc w:val="left"/>
              <w:rPr>
                <w:sz w:val="20"/>
                <w:szCs w:val="20"/>
              </w:rPr>
            </w:pPr>
            <w:r>
              <w:rPr>
                <w:rFonts w:cs=""/>
                <w:kern w:val="0"/>
                <w:sz w:val="20"/>
                <w:szCs w:val="20"/>
                <w:lang w:val="en-US" w:eastAsia="en-US" w:bidi="ar-SA"/>
              </w:rPr>
              <w:t>Senior Principal Systems Engineer</w:t>
            </w:r>
          </w:p>
          <w:p>
            <w:pPr>
              <w:pStyle w:val="Normal"/>
              <w:widowControl w:val="false"/>
              <w:suppressAutoHyphens w:val="true"/>
              <w:spacing w:before="0" w:after="120"/>
              <w:ind w:hanging="0"/>
              <w:jc w:val="left"/>
              <w:rPr>
                <w:sz w:val="20"/>
                <w:szCs w:val="20"/>
              </w:rPr>
            </w:pPr>
            <w:r>
              <w:rPr>
                <w:rFonts w:cs=""/>
                <w:kern w:val="0"/>
                <w:sz w:val="20"/>
                <w:szCs w:val="20"/>
                <w:lang w:val="en-US" w:eastAsia="en-US" w:bidi="ar-SA"/>
              </w:rPr>
              <w:t>Zero Trust Architecture Lead</w:t>
            </w:r>
          </w:p>
        </w:tc>
        <w:tc>
          <w:tcPr>
            <w:tcW w:w="1099" w:type="dxa"/>
            <w:tcBorders/>
          </w:tcPr>
          <w:p>
            <w:pPr>
              <w:pStyle w:val="Normal"/>
              <w:widowControl w:val="false"/>
              <w:suppressAutoHyphens w:val="true"/>
              <w:spacing w:before="0" w:after="120"/>
              <w:ind w:hanging="0"/>
              <w:jc w:val="center"/>
              <w:rPr>
                <w:sz w:val="20"/>
                <w:szCs w:val="20"/>
              </w:rPr>
            </w:pPr>
            <w:r>
              <w:rPr>
                <w:rFonts w:cs=""/>
                <w:kern w:val="0"/>
                <w:sz w:val="20"/>
                <w:szCs w:val="20"/>
                <w:lang w:val="en-US" w:eastAsia="en-US" w:bidi="ar-SA"/>
              </w:rPr>
              <w:t>TekFive</w:t>
            </w:r>
          </w:p>
        </w:tc>
        <w:tc>
          <w:tcPr>
            <w:tcW w:w="3226" w:type="dxa"/>
            <w:tcBorders/>
          </w:tcPr>
          <w:p>
            <w:pPr>
              <w:pStyle w:val="Normal"/>
              <w:widowControl w:val="false"/>
              <w:suppressAutoHyphens w:val="true"/>
              <w:spacing w:before="0" w:after="40"/>
              <w:ind w:hanging="0"/>
              <w:jc w:val="left"/>
              <w:rPr>
                <w:sz w:val="20"/>
                <w:szCs w:val="20"/>
              </w:rPr>
            </w:pPr>
            <w:r>
              <w:rPr>
                <w:rFonts w:cs=""/>
                <w:kern w:val="0"/>
                <w:sz w:val="20"/>
                <w:szCs w:val="20"/>
                <w:lang w:val="en-US" w:eastAsia="en-US" w:bidi="ar-SA"/>
              </w:rPr>
              <w:t>Enterprise and systems architect with 40+ years in networking, IT modernization, and zero trust architecture (ZTA). Delivered network access control, device-identity, and closed-network security across U.S. Government enterprise networks, and leads early-field-trial evaluation of ZTA, software-defined networking, and AIOps components. Systems-engineering discipline in requirements development and traceability, engineering design packages, and program management, directly applicable to the Zero Trust data-access-control architecture and NIST mapping proposed here. Holds a B.S. in Business Administration (Management Information Systems).</w:t>
            </w:r>
          </w:p>
        </w:tc>
        <w:tc>
          <w:tcPr>
            <w:tcW w:w="984" w:type="dxa"/>
            <w:tcBorders/>
          </w:tcPr>
          <w:p>
            <w:pPr>
              <w:pStyle w:val="Normal"/>
              <w:widowControl w:val="false"/>
              <w:suppressAutoHyphens w:val="true"/>
              <w:spacing w:before="0" w:after="120"/>
              <w:ind w:hanging="0"/>
              <w:jc w:val="center"/>
              <w:rPr>
                <w:sz w:val="20"/>
                <w:szCs w:val="20"/>
              </w:rPr>
            </w:pPr>
            <w:r>
              <w:rPr>
                <w:rFonts w:cs=""/>
                <w:kern w:val="0"/>
                <w:sz w:val="20"/>
                <w:szCs w:val="20"/>
                <w:lang w:val="en-US" w:eastAsia="en-US" w:bidi="ar-SA"/>
              </w:rPr>
              <w:t>N</w:t>
            </w:r>
          </w:p>
        </w:tc>
        <w:tc>
          <w:tcPr>
            <w:tcW w:w="2526" w:type="dxa"/>
            <w:tcBorders/>
          </w:tcPr>
          <w:p>
            <w:pPr>
              <w:pStyle w:val="Normal"/>
              <w:widowControl w:val="false"/>
              <w:suppressAutoHyphens w:val="true"/>
              <w:spacing w:before="0" w:after="120"/>
              <w:jc w:val="left"/>
              <w:rPr>
                <w:sz w:val="20"/>
                <w:szCs w:val="20"/>
              </w:rPr>
            </w:pPr>
            <w:r>
              <w:rPr>
                <w:rFonts w:cs=""/>
                <w:kern w:val="0"/>
                <w:sz w:val="20"/>
                <w:szCs w:val="20"/>
                <w:lang w:val="en-US" w:eastAsia="en-US" w:bidi="ar-SA"/>
              </w:rPr>
              <w:t>None</w:t>
            </w:r>
          </w:p>
        </w:tc>
      </w:tr>
      <w:tr>
        <w:trPr/>
        <w:tc>
          <w:tcPr>
            <w:tcW w:w="1615" w:type="dxa"/>
            <w:tcBorders>
              <w:top w:val="nil"/>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Justin D. Brown</w:t>
            </w:r>
          </w:p>
          <w:p>
            <w:pPr>
              <w:pStyle w:val="Normal"/>
              <w:widowControl w:val="false"/>
              <w:suppressAutoHyphens w:val="true"/>
              <w:spacing w:before="0" w:after="120"/>
              <w:ind w:hanging="0"/>
              <w:jc w:val="left"/>
              <w:rPr>
                <w:sz w:val="20"/>
                <w:szCs w:val="20"/>
              </w:rPr>
            </w:pPr>
            <w:r>
              <w:rPr>
                <w:rFonts w:cs=""/>
                <w:kern w:val="0"/>
                <w:sz w:val="20"/>
                <w:szCs w:val="20"/>
                <w:lang w:val="en-US" w:eastAsia="en-US" w:bidi="ar-SA"/>
              </w:rPr>
              <w:t>R&amp;D Operations Lead</w:t>
            </w:r>
          </w:p>
        </w:tc>
        <w:tc>
          <w:tcPr>
            <w:tcW w:w="1099" w:type="dxa"/>
            <w:tcBorders>
              <w:top w:val="nil"/>
            </w:tcBorders>
          </w:tcPr>
          <w:p>
            <w:pPr>
              <w:pStyle w:val="Normal"/>
              <w:widowControl w:val="false"/>
              <w:suppressAutoHyphens w:val="true"/>
              <w:spacing w:before="0" w:after="120"/>
              <w:ind w:hanging="0"/>
              <w:jc w:val="center"/>
              <w:rPr>
                <w:sz w:val="20"/>
                <w:szCs w:val="20"/>
              </w:rPr>
            </w:pPr>
            <w:r>
              <w:rPr>
                <w:rFonts w:cs=""/>
                <w:kern w:val="0"/>
                <w:sz w:val="20"/>
                <w:szCs w:val="20"/>
                <w:lang w:val="en-US" w:eastAsia="en-US" w:bidi="ar-SA"/>
              </w:rPr>
              <w:t>Sentar</w:t>
            </w:r>
          </w:p>
        </w:tc>
        <w:tc>
          <w:tcPr>
            <w:tcW w:w="3226" w:type="dxa"/>
            <w:tcBorders>
              <w:top w:val="nil"/>
            </w:tcBorders>
          </w:tcPr>
          <w:p>
            <w:pPr>
              <w:pStyle w:val="Normal"/>
              <w:widowControl w:val="false"/>
              <w:suppressAutoHyphens w:val="true"/>
              <w:spacing w:before="0" w:after="120"/>
              <w:ind w:hanging="0"/>
              <w:jc w:val="left"/>
              <w:rPr>
                <w:sz w:val="20"/>
                <w:szCs w:val="20"/>
              </w:rPr>
            </w:pPr>
            <w:r>
              <w:rPr>
                <w:rFonts w:cs=""/>
                <w:kern w:val="0"/>
                <w:sz w:val="20"/>
                <w:szCs w:val="20"/>
                <w:lang w:val="en-US" w:eastAsia="en-US" w:bidi="ar-SA"/>
              </w:rPr>
              <w:t>Research and Development Lead at Sentar with experience leading cybersecurity R&amp;D involving Zero Trust, operational technology, digital engineering, mission-based cyber risk, and resilient defense systems. Retired Air Force veteran with 21 years of service in the Alabama Air National Guard. Holds a B.S. in Applied Mathematics, an Executive MBA, and is a Ph.D. candidate in Engineering Management. Active Top Secret clearance.</w:t>
            </w:r>
          </w:p>
        </w:tc>
        <w:tc>
          <w:tcPr>
            <w:tcW w:w="984" w:type="dxa"/>
            <w:tcBorders>
              <w:top w:val="nil"/>
            </w:tcBorders>
          </w:tcPr>
          <w:p>
            <w:pPr>
              <w:pStyle w:val="Normal"/>
              <w:widowControl w:val="false"/>
              <w:suppressAutoHyphens w:val="true"/>
              <w:spacing w:before="0" w:after="120"/>
              <w:ind w:hanging="0"/>
              <w:jc w:val="center"/>
              <w:rPr>
                <w:sz w:val="20"/>
                <w:szCs w:val="20"/>
              </w:rPr>
            </w:pPr>
            <w:r>
              <w:rPr>
                <w:rFonts w:cs=""/>
                <w:kern w:val="0"/>
                <w:sz w:val="20"/>
                <w:szCs w:val="20"/>
                <w:lang w:val="en-US" w:eastAsia="en-US" w:bidi="ar-SA"/>
              </w:rPr>
              <w:t>N</w:t>
            </w:r>
          </w:p>
        </w:tc>
        <w:tc>
          <w:tcPr>
            <w:tcW w:w="2526" w:type="dxa"/>
            <w:tcBorders>
              <w:top w:val="nil"/>
            </w:tcBorders>
          </w:tcPr>
          <w:p>
            <w:pPr>
              <w:pStyle w:val="Normal"/>
              <w:widowControl w:val="false"/>
              <w:suppressAutoHyphens w:val="true"/>
              <w:spacing w:before="0" w:after="120"/>
              <w:jc w:val="left"/>
              <w:rPr>
                <w:sz w:val="20"/>
                <w:szCs w:val="20"/>
              </w:rPr>
            </w:pPr>
            <w:r>
              <w:rPr>
                <w:rFonts w:cs=""/>
                <w:kern w:val="0"/>
                <w:sz w:val="20"/>
                <w:szCs w:val="20"/>
                <w:lang w:val="en-US" w:eastAsia="en-US" w:bidi="ar-SA"/>
              </w:rPr>
              <w:t>None</w:t>
            </w:r>
          </w:p>
        </w:tc>
      </w:tr>
    </w:tbl>
    <w:p>
      <w:pPr>
        <w:pStyle w:val="Normal"/>
        <w:shd w:val="clear" w:color="auto" w:fill="FFFFFF"/>
        <w:spacing w:before="0" w:after="0"/>
        <w:ind w:hanging="0"/>
        <w:jc w:val="both"/>
        <w:rPr>
          <w:sz w:val="22"/>
          <w:szCs w:val="22"/>
        </w:rPr>
      </w:pPr>
      <w:r>
        <w:rPr>
          <w:sz w:val="22"/>
          <w:szCs w:val="22"/>
        </w:rPr>
      </w:r>
    </w:p>
    <w:p>
      <w:pPr>
        <w:pStyle w:val="Normal"/>
        <w:spacing w:before="0" w:after="0"/>
        <w:ind w:hanging="0"/>
        <w:rPr>
          <w:sz w:val="22"/>
          <w:szCs w:val="22"/>
        </w:rPr>
      </w:pPr>
      <w:r>
        <w:rPr>
          <w:color w:val="00B050"/>
          <w:sz w:val="22"/>
          <w:szCs w:val="22"/>
        </w:rPr>
        <w:tab/>
      </w:r>
    </w:p>
    <w:p>
      <w:pPr>
        <w:pStyle w:val="Normal"/>
        <w:ind w:hanging="0"/>
        <w:rPr>
          <w:sz w:val="20"/>
          <w:szCs w:val="20"/>
        </w:rPr>
      </w:pPr>
      <w:r>
        <w:rPr>
          <w:b/>
          <w:sz w:val="20"/>
          <w:szCs w:val="20"/>
        </w:rPr>
        <w:t>3.0</w:t>
        <w:tab/>
        <w:t>Commercialization/Transition Plan Summary</w:t>
      </w:r>
    </w:p>
    <w:p>
      <w:pPr>
        <w:pStyle w:val="Normal"/>
        <w:spacing w:before="0" w:after="0"/>
        <w:ind w:hanging="0"/>
        <w:jc w:val="both"/>
        <w:rPr>
          <w:sz w:val="20"/>
          <w:szCs w:val="20"/>
        </w:rPr>
      </w:pPr>
      <w:r>
        <w:rPr>
          <w:b/>
          <w:sz w:val="20"/>
          <w:szCs w:val="20"/>
        </w:rPr>
        <w:t xml:space="preserve">DoW transition. </w:t>
      </w:r>
      <w:r>
        <w:rPr>
          <w:sz w:val="20"/>
          <w:szCs w:val="20"/>
        </w:rPr>
        <w:t xml:space="preserve">The primary transition target is the Maritime Targeting Cell-Afloat/Expeditionary (MTC-A/X): the Phase II prototype transitions into an operational continuous-trust plus authorization/enforcement capability for combat-system data access, with the formally verified C core as the ATO/accreditation asset. Phase II shifts from justifying feasibility to hardening the combat-system corner-cases in denied environments, i.e. full nested DoD ICAM, nested ZTA PDP, and the ML anomaly layer, under extensive testing. Beyond MTC-A/X the same fabric applies to other Navy/DoW embedded and OT programs (sensors, weapons control, navigation) and to Federal agencies pursuing SP 800-207 Zero Trust at the tactical edge. </w:t>
      </w:r>
    </w:p>
    <w:p>
      <w:pPr>
        <w:pStyle w:val="Normal"/>
        <w:spacing w:before="0" w:after="0"/>
        <w:ind w:hanging="0"/>
        <w:jc w:val="both"/>
        <w:rPr>
          <w:sz w:val="20"/>
          <w:szCs w:val="20"/>
        </w:rPr>
      </w:pPr>
      <w:r>
        <w:rPr>
          <w:sz w:val="20"/>
          <w:szCs w:val="20"/>
        </w:rPr>
        <w:t>TekFive holds an active Top Secret Facility Clearance issued by DCSA and maintains an approved FSO, an Insider Threat Program, and full NISPOM compliance per 32 CFR § 2004.20. The team includes 8 personnel with active TS clearances (4 with TS/SCI eligibility) and 23 with active Secret clearances. TekFive is 100% U.S.-owned and operated with no Foreign Ownership, Control, or Influence (FOCI) as defined by DoD 5220.22-M, and is well positioned to execute the classified components anticipated in NV059 Phase II without a transition-clearance ramp.</w:t>
      </w:r>
    </w:p>
    <w:p>
      <w:pPr>
        <w:pStyle w:val="Normal"/>
        <w:spacing w:before="0" w:after="80"/>
        <w:rPr>
          <w:sz w:val="20"/>
          <w:szCs w:val="20"/>
        </w:rPr>
      </w:pPr>
      <w:r>
        <w:rPr>
          <w:b/>
          <w:sz w:val="20"/>
        </w:rPr>
        <w:t xml:space="preserve">Private-sector dual-use. </w:t>
      </w:r>
      <w:r>
        <w:rPr>
          <w:sz w:val="20"/>
        </w:rPr>
        <w:t>The problem AutonomousTrust solves for the Navy, proving trust when the link back to a central authority is gone, shows up well beyond defense. Wherever machines outnumber people and the network cannot be assumed, a PKI round-trip to a central CA becomes a single point of failure. AT removes that dependency by deciding trust at the node: continuous, behavioral, and cryptographically auditable, working while disconnected and reconciling on reconnect, with no data-lake backhaul and a footprint small enough for a microcontroller-class device. That is the property conventional Zero Trust cannot provide, and it carries across every market below.</w:t>
      </w:r>
    </w:p>
    <w:p>
      <w:pPr>
        <w:pStyle w:val="Normal"/>
        <w:numPr>
          <w:ilvl w:val="0"/>
          <w:numId w:val="1"/>
        </w:numPr>
        <w:spacing w:before="0" w:after="80"/>
        <w:rPr/>
      </w:pPr>
      <w:r>
        <w:rPr>
          <w:sz w:val="20"/>
        </w:rPr>
        <w:t>Industrial &amp; critical infrastructure. Operators run thousands of long-lived controllers on flat networks where a stolen certificate opens every door. AT gives each PLC or sensor a behavioral envelope, so a valid but hijacked device that starts issuing off-profile commands loses reputation and is gated out locally, in milliseconds, without waiting on a security operations center that may itself be cut off. That directly limits ransomware lateral movement.</w:t>
      </w:r>
    </w:p>
    <w:p>
      <w:pPr>
        <w:pStyle w:val="Normal"/>
        <w:numPr>
          <w:ilvl w:val="0"/>
          <w:numId w:val="1"/>
        </w:numPr>
        <w:spacing w:before="0" w:after="80"/>
        <w:rPr/>
      </w:pPr>
      <w:r>
        <w:rPr>
          <w:sz w:val="20"/>
        </w:rPr>
        <w:t>Space &amp; delay-tolerant networks. These live in permanent DDIL, where light-lag makes a central check impractical. AT was built for this case: cohorts vouch for one another, admit peers at capped tiers under partition, and carry signed evidence back for reconciliation. Constellations, cislunar relays, and deep-space assets need trust that survives a twenty-minute round-trip.</w:t>
      </w:r>
    </w:p>
    <w:p>
      <w:pPr>
        <w:pStyle w:val="Normal"/>
        <w:numPr>
          <w:ilvl w:val="0"/>
          <w:numId w:val="1"/>
        </w:numPr>
        <w:spacing w:before="0" w:after="80"/>
        <w:rPr/>
      </w:pPr>
      <w:r>
        <w:rPr>
          <w:sz w:val="20"/>
        </w:rPr>
        <w:t>Financial services. These need machine-to-machine trust that survives a data-center partition and still produce a tamper-evident record for regulators. Inter-institution settlement, ATM and point-of-sale fleets, and automated trading systems fit AT's Merkle-checkpointed ledgers, which give immutability and distributed agreement without the cost and latency of a global blockchain.</w:t>
      </w:r>
    </w:p>
    <w:p>
      <w:pPr>
        <w:pStyle w:val="Normal"/>
        <w:numPr>
          <w:ilvl w:val="0"/>
          <w:numId w:val="1"/>
        </w:numPr>
        <w:spacing w:before="0" w:after="80"/>
        <w:rPr/>
      </w:pPr>
      <w:r>
        <w:rPr>
          <w:sz w:val="20"/>
        </w:rPr>
        <w:t>Healthcare. Devices such as infusion pumps, imaging systems, and home telemetry must keep operating and stay verifiable when the hospital uplink drops. AT protects device and data-exchange integrity at the edge and leaves an auditable trail for safety and HIPAA review.</w:t>
      </w:r>
    </w:p>
    <w:p>
      <w:pPr>
        <w:pStyle w:val="Normal"/>
        <w:numPr>
          <w:ilvl w:val="0"/>
          <w:numId w:val="1"/>
        </w:numPr>
        <w:spacing w:before="0" w:after="80"/>
        <w:rPr/>
      </w:pPr>
      <w:r>
        <w:rPr>
          <w:sz w:val="20"/>
        </w:rPr>
        <w:t>Agentic AI. This is the clearest emerging market. As autonomous software agents proliferate and act on our behalf, the question is no longer whether an identity is valid but whether an agent is still behaving as it should. AT evaluates exactly that, continuously and without a human in the loop, which makes it a practical trust layer for multi-agent systems.</w:t>
      </w:r>
    </w:p>
    <w:p>
      <w:pPr>
        <w:pStyle w:val="Normal"/>
        <w:spacing w:before="0" w:after="80"/>
        <w:rPr>
          <w:sz w:val="20"/>
          <w:szCs w:val="20"/>
        </w:rPr>
      </w:pPr>
      <w:r>
        <w:rPr>
          <w:sz w:val="20"/>
        </w:rPr>
        <w:t>The common thread across these markets is one capability: keep Zero Trust guarantees when the central authority is unreachable, at OT scale and cost. The addressable market is every fleet of machines that cannot afford to fail open or fail closed.</w:t>
      </w:r>
    </w:p>
    <w:p>
      <w:pPr>
        <w:pStyle w:val="Normal"/>
        <w:spacing w:before="0" w:after="80"/>
        <w:rPr/>
      </w:pPr>
      <w:r>
        <w:rPr>
          <w:b/>
          <w:sz w:val="20"/>
          <w:szCs w:val="20"/>
        </w:rPr>
        <w:t xml:space="preserve">Path to Phase III. </w:t>
      </w:r>
      <w:r>
        <w:rPr>
          <w:sz w:val="20"/>
          <w:szCs w:val="20"/>
        </w:rPr>
        <w:t xml:space="preserve">Transition to Phase III, into acquisition, and to Navy use are pursued via integration into the MTC-A/X platform in a representative environment, supported by the Phase II prototype, the reproducible Government M&amp;S artifacts, and the formal-verification evidence package. </w:t>
      </w:r>
      <w:r>
        <w:rPr>
          <w:color w:val="000000"/>
          <w:sz w:val="20"/>
          <w:szCs w:val="20"/>
          <w:shd w:fill="FFFFFF" w:val="clear"/>
        </w:rPr>
        <w:t>To reach the operational platform, TekFive anticipates teaming with General Dynamics (GDMS) (for combat-system/mission-systems integration) and Sentar (for cybersecurity and Zero Trust engineering); these teaming relationships and associated transition-partner commitments will be formalized as the Phase II prototype and accreditation evidence mature. Market sizing across the dual-use segments above will be quantified in the Phase II Commercialization Plan, prioritizing DoW/Navy embedded and OT programs as the near-term beachhead.</w:t>
      </w:r>
      <w:r>
        <w:rPr>
          <w:rFonts w:ascii="monospace" w:hAnsi="monospace"/>
        </w:rPr>
        <w:br/>
      </w:r>
    </w:p>
    <w:p>
      <w:pPr>
        <w:pStyle w:val="Normal"/>
        <w:spacing w:before="0" w:after="0"/>
        <w:ind w:hanging="0"/>
        <w:rPr>
          <w:sz w:val="20"/>
          <w:szCs w:val="20"/>
        </w:rPr>
      </w:pPr>
      <w:r>
        <w:rPr>
          <w:sz w:val="20"/>
          <w:szCs w:val="20"/>
        </w:rPr>
      </w:r>
    </w:p>
    <w:p>
      <w:pPr>
        <w:pStyle w:val="Normal"/>
        <w:ind w:hanging="0"/>
        <w:rPr>
          <w:sz w:val="20"/>
          <w:szCs w:val="20"/>
        </w:rPr>
      </w:pPr>
      <w:r>
        <w:rPr>
          <w:b/>
          <w:sz w:val="20"/>
          <w:szCs w:val="20"/>
        </w:rPr>
        <w:t>4.0</w:t>
        <w:tab/>
        <w:t>Facilities/Equipment.</w:t>
      </w:r>
    </w:p>
    <w:p>
      <w:pPr>
        <w:pStyle w:val="Normal"/>
        <w:spacing w:before="0" w:after="0"/>
        <w:ind w:hanging="0"/>
        <w:rPr>
          <w:sz w:val="20"/>
          <w:szCs w:val="20"/>
        </w:rPr>
      </w:pPr>
      <w:r>
        <w:rPr>
          <w:color w:val="000000"/>
          <w:sz w:val="20"/>
          <w:szCs w:val="20"/>
          <w:shd w:fill="FFFFFF" w:val="clear"/>
        </w:rPr>
        <w:t>Phase I needs no specialized instrumentation beyond standard software-development and simulation computing. TekFive supplies the development workstations and servers, the existing AutonomousTrust C/Python codebase, the network simulator and scale-test harness, and representative embedded ARM and surrogate hardware for the subscale prototype (O4). The scaling study, at more than 100 nodes, runs on TekFive's AWS GovCloud account (ITAR compliant). The Principal Investigator, Sean Brennan, performs the majority of the technical work from his TekFive-designated home office in Duck, WV, using TekFive-issued equipment, network, and security controls under TekFive's approved remote-work and information-security policies (CMMC Level 2). The remaining work is performed at TekFive's corporate office (850 Ben Graves Dr NW, Suite 324, Huntsville, AL 35816-4201) or at Sentar's corporate office (675 Discovery Drive, Suite 205, Huntsville, AL 35806).</w:t>
      </w:r>
    </w:p>
    <w:p>
      <w:pPr>
        <w:pStyle w:val="Normal"/>
        <w:spacing w:before="0" w:after="0"/>
        <w:ind w:hanging="0"/>
        <w:rPr>
          <w:sz w:val="20"/>
          <w:szCs w:val="20"/>
        </w:rPr>
      </w:pPr>
      <w:r>
        <w:rPr>
          <w:color w:val="000000"/>
          <w:sz w:val="20"/>
          <w:szCs w:val="20"/>
          <w:shd w:fill="FFFFFF" w:val="clear"/>
        </w:rPr>
        <w:t>TekFive's facilities comply with all applicable federal, state, and local environmental laws and regulations. TekFive has evaluated the proposed work under the National Environmental Policy Act (NEPA) and the Department of the Navy's implementing procedures, and has determined that it has no significant impact on the human environment and qualifies for a Categorical Exclusion. TekFive will perform all work in compliance with those laws and regulations and with all Environmental, Safety, and Occupational Health (ESOH) requirements at any Government or contractor facility used for this effort.</w:t>
      </w:r>
    </w:p>
    <w:p>
      <w:pPr>
        <w:pStyle w:val="Normal"/>
        <w:spacing w:before="0" w:after="0"/>
        <w:ind w:hanging="0"/>
        <w:rPr>
          <w:sz w:val="20"/>
          <w:szCs w:val="20"/>
        </w:rPr>
      </w:pPr>
      <w:r>
        <w:rPr>
          <w:sz w:val="20"/>
          <w:szCs w:val="20"/>
        </w:rPr>
      </w:r>
    </w:p>
    <w:p>
      <w:pPr>
        <w:pStyle w:val="Normal"/>
        <w:spacing w:before="0" w:after="0"/>
        <w:ind w:hanging="0"/>
        <w:rPr>
          <w:sz w:val="20"/>
          <w:szCs w:val="20"/>
        </w:rPr>
      </w:pPr>
      <w:r>
        <w:rPr>
          <w:sz w:val="20"/>
          <w:szCs w:val="20"/>
        </w:rPr>
      </w:r>
    </w:p>
    <w:p>
      <w:pPr>
        <w:pStyle w:val="Normal"/>
        <w:ind w:hanging="0"/>
        <w:rPr>
          <w:sz w:val="20"/>
          <w:szCs w:val="20"/>
        </w:rPr>
      </w:pPr>
      <w:r>
        <w:rPr>
          <w:b/>
          <w:sz w:val="20"/>
          <w:szCs w:val="20"/>
        </w:rPr>
        <w:t>5.0</w:t>
        <w:tab/>
        <w:t>Letters of Support</w:t>
      </w:r>
    </w:p>
    <w:p>
      <w:pPr>
        <w:pStyle w:val="Normal"/>
        <w:spacing w:before="0" w:after="0"/>
        <w:ind w:hanging="0"/>
        <w:rPr>
          <w:sz w:val="20"/>
          <w:szCs w:val="20"/>
        </w:rPr>
      </w:pPr>
      <w:r>
        <w:rPr/>
        <w:drawing>
          <wp:inline distT="0" distB="0" distL="0" distR="0">
            <wp:extent cx="1929130" cy="228600"/>
            <wp:effectExtent l="0" t="0" r="0" b="0"/>
            <wp:docPr id="2" name="Picture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Copy 1" descr=""/>
                    <pic:cNvPicPr>
                      <a:picLocks noChangeAspect="1" noChangeArrowheads="1"/>
                    </pic:cNvPicPr>
                  </pic:nvPicPr>
                  <pic:blipFill>
                    <a:blip r:embed="rId3"/>
                    <a:stretch>
                      <a:fillRect/>
                    </a:stretch>
                  </pic:blipFill>
                  <pic:spPr bwMode="auto">
                    <a:xfrm>
                      <a:off x="0" y="0"/>
                      <a:ext cx="1929130" cy="228600"/>
                    </a:xfrm>
                    <a:prstGeom prst="rect">
                      <a:avLst/>
                    </a:prstGeom>
                  </pic:spPr>
                </pic:pic>
              </a:graphicData>
            </a:graphic>
          </wp:inline>
        </w:drawing>
      </w:r>
    </w:p>
    <w:p>
      <w:pPr>
        <w:pStyle w:val="Normal"/>
        <w:tabs>
          <w:tab w:val="clear" w:pos="720"/>
          <w:tab w:val="left" w:pos="8640" w:leader="none"/>
        </w:tabs>
        <w:spacing w:lineRule="exact" w:line="182" w:before="0" w:after="0"/>
        <w:ind w:right="360" w:hanging="0"/>
        <w:textAlignment w:val="baseline"/>
        <w:rPr>
          <w:rFonts w:ascii="Arial" w:hAnsi="Arial" w:eastAsia="Times New Roman" w:cs="Arial"/>
          <w:color w:val="000000"/>
          <w:kern w:val="0"/>
          <w:sz w:val="16"/>
          <w14:ligatures w14:val="none"/>
        </w:rPr>
      </w:pPr>
      <w:r>
        <w:rPr>
          <w:rFonts w:eastAsia="Times New Roman" w:cs="Arial" w:ascii="Arial" w:hAnsi="Arial"/>
          <w:color w:val="000000"/>
          <w:kern w:val="0"/>
          <w:sz w:val="16"/>
          <w14:ligatures w14:val="none"/>
        </w:rPr>
        <w:t>8800 Queen Avenue South</w:t>
      </w:r>
    </w:p>
    <w:p>
      <w:pPr>
        <w:pStyle w:val="Normal"/>
        <w:tabs>
          <w:tab w:val="clear" w:pos="720"/>
          <w:tab w:val="left" w:pos="8640" w:leader="none"/>
        </w:tabs>
        <w:spacing w:lineRule="exact" w:line="182" w:before="0" w:after="0"/>
        <w:ind w:right="360" w:hanging="0"/>
        <w:textAlignment w:val="baseline"/>
        <w:rPr>
          <w:rFonts w:ascii="Arial" w:hAnsi="Arial" w:eastAsia="Times New Roman" w:cs="Arial"/>
          <w:color w:val="000000"/>
          <w:kern w:val="0"/>
          <w:sz w:val="16"/>
          <w14:ligatures w14:val="none"/>
        </w:rPr>
      </w:pPr>
      <w:r>
        <w:rPr>
          <w:rFonts w:eastAsia="Times New Roman" w:cs="Arial" w:ascii="Arial" w:hAnsi="Arial"/>
          <w:color w:val="000000"/>
          <w:kern w:val="0"/>
          <w:sz w:val="16"/>
          <w:szCs w:val="20"/>
          <w14:ligatures w14:val="none"/>
        </w:rPr>
        <w:t>Bloomington, MN 55431</w:t>
      </w:r>
    </w:p>
    <w:p>
      <w:pPr>
        <w:pStyle w:val="Normal"/>
        <w:spacing w:before="0" w:after="0"/>
        <w:rPr>
          <w:sz w:val="20"/>
          <w:szCs w:val="20"/>
        </w:rPr>
      </w:pPr>
      <w:r>
        <w:rPr>
          <w:sz w:val="20"/>
          <w:szCs w:val="20"/>
        </w:rPr>
      </w:r>
    </w:p>
    <w:p>
      <w:pPr>
        <w:pStyle w:val="Normal"/>
        <w:spacing w:before="0" w:after="0"/>
        <w:rPr>
          <w:sz w:val="20"/>
          <w:szCs w:val="20"/>
        </w:rPr>
      </w:pPr>
      <w:r>
        <w:rPr>
          <w:sz w:val="20"/>
          <w:szCs w:val="20"/>
        </w:rPr>
        <w:t>July 20, 2026</w:t>
      </w:r>
    </w:p>
    <w:p>
      <w:pPr>
        <w:pStyle w:val="Normal"/>
        <w:spacing w:before="0" w:after="0"/>
        <w:rPr>
          <w:sz w:val="20"/>
          <w:szCs w:val="20"/>
        </w:rPr>
      </w:pPr>
      <w:r>
        <w:rPr>
          <w:sz w:val="20"/>
          <w:szCs w:val="20"/>
        </w:rPr>
      </w:r>
    </w:p>
    <w:p>
      <w:pPr>
        <w:pStyle w:val="Normal"/>
        <w:spacing w:before="0" w:after="0"/>
        <w:rPr>
          <w:sz w:val="20"/>
          <w:szCs w:val="20"/>
        </w:rPr>
      </w:pPr>
      <w:r>
        <w:rPr>
          <w:sz w:val="20"/>
          <w:szCs w:val="20"/>
        </w:rPr>
        <w:t>TekFive, Inc.</w:t>
      </w:r>
    </w:p>
    <w:p>
      <w:pPr>
        <w:pStyle w:val="Normal"/>
        <w:spacing w:before="0" w:after="0"/>
        <w:rPr>
          <w:sz w:val="20"/>
          <w:szCs w:val="20"/>
        </w:rPr>
      </w:pPr>
      <w:r>
        <w:rPr>
          <w:sz w:val="20"/>
          <w:szCs w:val="20"/>
        </w:rPr>
        <w:t>850 Ben Graves Dr NW</w:t>
      </w:r>
    </w:p>
    <w:p>
      <w:pPr>
        <w:pStyle w:val="Normal"/>
        <w:spacing w:before="0" w:after="0"/>
        <w:rPr>
          <w:sz w:val="20"/>
          <w:szCs w:val="20"/>
        </w:rPr>
      </w:pPr>
      <w:r>
        <w:rPr>
          <w:sz w:val="20"/>
          <w:szCs w:val="20"/>
        </w:rPr>
        <w:t>Suite 324</w:t>
      </w:r>
    </w:p>
    <w:p>
      <w:pPr>
        <w:pStyle w:val="Normal"/>
        <w:spacing w:before="0" w:after="0"/>
        <w:rPr>
          <w:sz w:val="20"/>
          <w:szCs w:val="20"/>
        </w:rPr>
      </w:pPr>
      <w:r>
        <w:rPr>
          <w:sz w:val="20"/>
          <w:szCs w:val="20"/>
        </w:rPr>
        <w:t>Huntsville, AL 35816</w:t>
      </w:r>
    </w:p>
    <w:p>
      <w:pPr>
        <w:pStyle w:val="Normal"/>
        <w:spacing w:before="0" w:after="0"/>
        <w:rPr>
          <w:sz w:val="20"/>
          <w:szCs w:val="20"/>
        </w:rPr>
      </w:pPr>
      <w:r>
        <w:rPr>
          <w:sz w:val="20"/>
          <w:szCs w:val="20"/>
        </w:rPr>
      </w:r>
    </w:p>
    <w:p>
      <w:pPr>
        <w:pStyle w:val="Normal"/>
        <w:spacing w:before="0" w:after="0"/>
        <w:rPr>
          <w:sz w:val="20"/>
          <w:szCs w:val="20"/>
        </w:rPr>
      </w:pPr>
      <w:r>
        <w:rPr>
          <w:sz w:val="20"/>
          <w:szCs w:val="20"/>
        </w:rPr>
        <w:t xml:space="preserve">Attention: </w:t>
        <w:tab/>
        <w:t>Sean Brennan</w:t>
      </w:r>
    </w:p>
    <w:p>
      <w:pPr>
        <w:pStyle w:val="Normal"/>
        <w:spacing w:before="0" w:after="0"/>
        <w:rPr>
          <w:sz w:val="20"/>
          <w:szCs w:val="20"/>
        </w:rPr>
      </w:pPr>
      <w:r>
        <w:rPr>
          <w:sz w:val="20"/>
          <w:szCs w:val="20"/>
        </w:rPr>
      </w:r>
    </w:p>
    <w:p>
      <w:pPr>
        <w:pStyle w:val="Normal"/>
        <w:ind w:left="1440" w:hanging="1440"/>
        <w:rPr>
          <w:sz w:val="20"/>
          <w:szCs w:val="20"/>
        </w:rPr>
      </w:pPr>
      <w:r>
        <w:rPr>
          <w:b/>
          <w:bCs/>
          <w:sz w:val="20"/>
          <w:szCs w:val="20"/>
        </w:rPr>
        <w:t>Subject:</w:t>
      </w:r>
      <w:r>
        <w:rPr>
          <w:sz w:val="20"/>
          <w:szCs w:val="20"/>
        </w:rPr>
        <w:tab/>
      </w:r>
      <w:r>
        <w:rPr>
          <w:b/>
          <w:sz w:val="20"/>
          <w:szCs w:val="20"/>
        </w:rPr>
        <w:t>Navy Zero Trust Data Control System</w:t>
      </w:r>
    </w:p>
    <w:p>
      <w:pPr>
        <w:pStyle w:val="Normal"/>
        <w:spacing w:before="0" w:after="0"/>
        <w:rPr>
          <w:sz w:val="20"/>
          <w:szCs w:val="20"/>
        </w:rPr>
      </w:pPr>
      <w:r>
        <w:rPr>
          <w:sz w:val="20"/>
          <w:szCs w:val="20"/>
        </w:rPr>
        <w:t>Reference:</w:t>
        <w:tab/>
        <w:t>SBIR Topic DON26BZ03-NV059</w:t>
      </w:r>
    </w:p>
    <w:p>
      <w:pPr>
        <w:pStyle w:val="Normal"/>
        <w:spacing w:before="0" w:after="0"/>
        <w:rPr>
          <w:sz w:val="20"/>
          <w:szCs w:val="20"/>
        </w:rPr>
      </w:pPr>
      <w:r>
        <w:rPr>
          <w:sz w:val="20"/>
          <w:szCs w:val="20"/>
        </w:rPr>
      </w:r>
    </w:p>
    <w:p>
      <w:pPr>
        <w:pStyle w:val="Normal"/>
        <w:spacing w:before="0" w:after="0"/>
        <w:rPr>
          <w:sz w:val="20"/>
          <w:szCs w:val="20"/>
        </w:rPr>
      </w:pPr>
      <w:r>
        <w:rPr>
          <w:sz w:val="20"/>
          <w:szCs w:val="20"/>
        </w:rPr>
        <w:t>Dear Sean,</w:t>
        <w:br/>
        <w:br/>
      </w:r>
      <w:r>
        <w:rPr>
          <w:rFonts w:eastAsia="Times New Roman"/>
          <w:color w:val="000000"/>
          <w:sz w:val="20"/>
          <w:szCs w:val="20"/>
        </w:rPr>
        <w:t xml:space="preserve">General Dynamics Missions Systems, Inc. (GDMS) is pleased to offer support to advance your development of Zero Trust access and data control systems for Combat Systems in development with a US Navy SBIR topic and under DON SIBR </w:t>
      </w:r>
      <w:r>
        <w:rPr>
          <w:sz w:val="20"/>
          <w:szCs w:val="20"/>
        </w:rPr>
        <w:t xml:space="preserve">26BZ03-NV059 </w:t>
      </w:r>
      <w:r>
        <w:rPr>
          <w:bCs/>
          <w:sz w:val="20"/>
          <w:szCs w:val="20"/>
        </w:rPr>
        <w:t>Real-time Zero Trust Data and Access Control for Combat Systems – SBIR Topic DON26BZ03-NV059.</w:t>
      </w:r>
    </w:p>
    <w:p>
      <w:pPr>
        <w:pStyle w:val="Normal"/>
        <w:spacing w:before="0" w:after="0"/>
        <w:rPr>
          <w:sz w:val="20"/>
          <w:szCs w:val="20"/>
        </w:rPr>
      </w:pPr>
      <w:r>
        <w:rPr>
          <w:sz w:val="20"/>
          <w:szCs w:val="20"/>
        </w:rPr>
      </w:r>
    </w:p>
    <w:p>
      <w:pPr>
        <w:pStyle w:val="Normal"/>
        <w:spacing w:before="0" w:after="0"/>
        <w:rPr>
          <w:sz w:val="20"/>
          <w:szCs w:val="20"/>
        </w:rPr>
      </w:pPr>
      <w:r>
        <w:rPr>
          <w:rFonts w:eastAsia="Times New Roman"/>
          <w:sz w:val="20"/>
          <w:szCs w:val="20"/>
        </w:rPr>
        <w:t xml:space="preserve">General Dynamics Mission Systems has long been a leader in low cost, low SW and also high security and high assurance technologies that meet the demanding needs of the US DoW. I am part of an on-going GDMS effort to further develop the state of the art with software, cyber, and hardware security. I believe the objective of your proposal is of value to the DoW’s mission and has great potential to transition in part or in whole to multiple of our programs or products here within GDMS. Because of this, the technology offered by your company is important for our customers and industry. GDMS sees the </w:t>
      </w:r>
      <w:r>
        <w:rPr>
          <w:rFonts w:eastAsia="Times New Roman"/>
          <w:color w:val="000000"/>
          <w:sz w:val="20"/>
          <w:szCs w:val="20"/>
        </w:rPr>
        <w:t>value of this technology and will continue to work and support your company to mature and develop.</w:t>
      </w:r>
    </w:p>
    <w:p>
      <w:pPr>
        <w:pStyle w:val="Normal"/>
        <w:spacing w:before="0" w:after="0"/>
        <w:rPr>
          <w:rFonts w:eastAsia="Times New Roman"/>
          <w:color w:val="000000"/>
          <w:sz w:val="20"/>
          <w:szCs w:val="20"/>
        </w:rPr>
      </w:pPr>
      <w:r>
        <w:rPr>
          <w:rFonts w:eastAsia="Times New Roman"/>
          <w:color w:val="000000"/>
          <w:sz w:val="20"/>
          <w:szCs w:val="20"/>
        </w:rPr>
      </w:r>
    </w:p>
    <w:p>
      <w:pPr>
        <w:pStyle w:val="Normal"/>
        <w:spacing w:before="0" w:after="0"/>
        <w:rPr/>
      </w:pPr>
      <w:r>
        <w:rPr>
          <w:rFonts w:eastAsia="Times New Roman"/>
          <w:color w:val="000000"/>
          <w:sz w:val="20"/>
          <w:szCs w:val="20"/>
        </w:rPr>
        <w:t xml:space="preserve">We look forward to being an active participant supporting your company as you continue to advance the solution to this SBIR solicitation. Please contact the undersigned at </w:t>
      </w:r>
      <w:hyperlink r:id="rId4">
        <w:r>
          <w:rPr>
            <w:rStyle w:val="InternetLink"/>
            <w:rFonts w:eastAsia="Times New Roman"/>
            <w:sz w:val="20"/>
            <w:szCs w:val="20"/>
          </w:rPr>
          <w:t>derek.lecroy@gd-ms.com</w:t>
        </w:r>
      </w:hyperlink>
      <w:r>
        <w:rPr>
          <w:rFonts w:eastAsia="Times New Roman"/>
          <w:color w:val="000000"/>
          <w:sz w:val="20"/>
          <w:szCs w:val="20"/>
        </w:rPr>
        <w:t xml:space="preserve"> or by phone </w:t>
      </w:r>
      <w:r>
        <w:rPr>
          <w:rFonts w:eastAsia="Times New Roman"/>
          <w:sz w:val="20"/>
          <w:szCs w:val="20"/>
        </w:rPr>
        <w:t>817 312-3272 f</w:t>
      </w:r>
      <w:r>
        <w:rPr>
          <w:rFonts w:eastAsia="Times New Roman"/>
          <w:color w:val="000000"/>
          <w:sz w:val="20"/>
          <w:szCs w:val="20"/>
        </w:rPr>
        <w:t xml:space="preserve">or any programmatic or technical questions. </w:t>
      </w:r>
    </w:p>
    <w:p>
      <w:pPr>
        <w:pStyle w:val="Normal"/>
        <w:spacing w:before="0" w:after="0"/>
        <w:rPr>
          <w:rFonts w:eastAsia="Times New Roman"/>
          <w:color w:val="000000"/>
          <w:sz w:val="20"/>
          <w:szCs w:val="20"/>
        </w:rPr>
      </w:pPr>
      <w:r>
        <w:rPr>
          <w:rFonts w:eastAsia="Times New Roman"/>
          <w:color w:val="000000"/>
          <w:sz w:val="20"/>
          <w:szCs w:val="20"/>
        </w:rPr>
      </w:r>
    </w:p>
    <w:p>
      <w:pPr>
        <w:pStyle w:val="Normal"/>
        <w:spacing w:before="0" w:after="0"/>
        <w:rPr>
          <w:sz w:val="20"/>
          <w:szCs w:val="20"/>
        </w:rPr>
      </w:pPr>
      <w:r>
        <w:rPr>
          <w:rFonts w:eastAsia="Times New Roman"/>
          <w:color w:val="000000"/>
          <w:sz w:val="20"/>
          <w:szCs w:val="20"/>
        </w:rPr>
        <w:t xml:space="preserve">Sincerely, </w:t>
      </w:r>
    </w:p>
    <w:p>
      <w:pPr>
        <w:pStyle w:val="Normal"/>
        <w:spacing w:lineRule="auto" w:line="240" w:before="0" w:after="0"/>
        <w:rPr>
          <w:rFonts w:ascii="Calibri" w:hAnsi="Calibri" w:eastAsia="Times New Roman" w:cs="Calibri"/>
          <w:kern w:val="0"/>
          <w:sz w:val="20"/>
          <w:szCs w:val="20"/>
          <w14:ligatures w14:val="none"/>
        </w:rPr>
      </w:pPr>
      <w:r>
        <w:rPr>
          <w:rFonts w:eastAsia="Times New Roman" w:cs="Calibri" w:ascii="Calibri" w:hAnsi="Calibri"/>
          <w:kern w:val="0"/>
          <w:sz w:val="20"/>
          <w:szCs w:val="20"/>
          <w14:ligatures w14:val="none"/>
        </w:rPr>
      </w:r>
    </w:p>
    <w:p>
      <w:pPr>
        <w:pStyle w:val="Normal"/>
        <w:spacing w:before="0" w:after="0"/>
        <w:rPr>
          <w:sz w:val="20"/>
          <w:szCs w:val="20"/>
        </w:rPr>
      </w:pPr>
      <w:r>
        <w:rPr>
          <w:rFonts w:eastAsia="Times New Roman"/>
          <w:color w:val="000000"/>
          <w:sz w:val="20"/>
          <w:szCs w:val="20"/>
        </w:rPr>
        <w:t>Derek LeCroy</w:t>
      </w:r>
    </w:p>
    <w:p>
      <w:pPr>
        <w:pStyle w:val="Normal"/>
        <w:spacing w:before="0" w:after="120"/>
        <w:rPr>
          <w:sz w:val="20"/>
          <w:szCs w:val="20"/>
        </w:rPr>
      </w:pPr>
      <w:r>
        <w:rPr>
          <w:rFonts w:eastAsia="Times New Roman"/>
          <w:color w:val="000000"/>
          <w:sz w:val="20"/>
          <w:szCs w:val="20"/>
        </w:rPr>
        <w:t xml:space="preserve">Sr. Manager, Strategy and Business Development for Idaho Scientific – a GDMS business </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360" w:top="1440" w:footer="475"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Liberation Serif">
    <w:altName w:val="Times New Roman"/>
    <w:charset w:val="01"/>
    <w:family w:val="swiss"/>
    <w:pitch w:val="variable"/>
  </w:font>
  <w:font w:name="Tahoma">
    <w:charset w:val="01"/>
    <w:family w:val="roman"/>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monospace">
    <w:charset w:val="01"/>
    <w:family w:val="roman"/>
    <w:pitch w:val="variable"/>
  </w:font>
  <w:font w:name="Arial">
    <w:charset w:val="01"/>
    <w:family w:val="roman"/>
    <w:pitch w:val="variable"/>
  </w:font>
  <w:font w:name="Calibri">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s>
      <w:spacing w:before="0" w:after="0"/>
      <w:ind w:hanging="0"/>
      <w:jc w:val="center"/>
      <w:rPr>
        <w:sz w:val="20"/>
        <w:szCs w:val="20"/>
        <w:lang w:val="en-US"/>
      </w:rPr>
    </w:pPr>
    <w:r>
      <w:rPr>
        <w:rFonts w:eastAsia="Arial Unicode MS"/>
        <w:sz w:val="20"/>
        <w:szCs w:val="20"/>
      </w:rPr>
      <w:t>Use or disclosure of data contained on this page is subject to the restriction on the first page of this volume</w:t>
    </w:r>
    <w:r>
      <w:rPr>
        <w:rFonts w:eastAsia="Arial Unicode MS"/>
        <w:sz w:val="20"/>
        <w:szCs w:val="20"/>
        <w:lang w:val="en-US"/>
      </w:rPr>
      <w:t>.</w:t>
    </w:r>
  </w:p>
  <w:p>
    <w:pPr>
      <w:pStyle w:val="Footer"/>
      <w:spacing w:before="0" w:after="120"/>
      <w:rPr>
        <w:sz w:val="20"/>
        <w:szCs w:val="20"/>
      </w:rPr>
    </w:pPr>
    <w:r>
      <w:rPr/>
      <w:tab/>
    </w:r>
    <w:r>
      <w:rPr>
        <w:sz w:val="20"/>
        <w:szCs w:val="20"/>
      </w:rPr>
      <w:t xml:space="preserve">Page </w:t>
    </w:r>
    <w:r>
      <w:rPr>
        <w:b/>
        <w:bCs/>
        <w:sz w:val="20"/>
        <w:szCs w:val="20"/>
      </w:rPr>
      <w:fldChar w:fldCharType="begin"/>
    </w:r>
    <w:r>
      <w:rPr>
        <w:sz w:val="20"/>
        <w:b/>
        <w:szCs w:val="20"/>
        <w:bCs/>
      </w:rPr>
      <w:instrText xml:space="preserve"> PAGE </w:instrText>
    </w:r>
    <w:r>
      <w:rPr>
        <w:sz w:val="20"/>
        <w:b/>
        <w:szCs w:val="20"/>
        <w:bCs/>
      </w:rPr>
      <w:fldChar w:fldCharType="separate"/>
    </w:r>
    <w:r>
      <w:rPr>
        <w:sz w:val="20"/>
        <w:b/>
        <w:szCs w:val="20"/>
        <w:bCs/>
      </w:rPr>
      <w:t>0</w:t>
    </w:r>
    <w:r>
      <w:rPr>
        <w:sz w:val="20"/>
        <w:b/>
        <w:szCs w:val="20"/>
        <w:bCs/>
      </w:rPr>
      <w:fldChar w:fldCharType="end"/>
    </w:r>
    <w:r>
      <w:rPr>
        <w:sz w:val="20"/>
        <w:szCs w:val="20"/>
      </w:rPr>
      <w:t xml:space="preserve"> of </w:t>
    </w:r>
    <w:r>
      <w:rPr>
        <w:b/>
        <w:bCs/>
        <w:sz w:val="20"/>
        <w:szCs w:val="20"/>
      </w:rPr>
      <w:fldChar w:fldCharType="begin"/>
    </w:r>
    <w:r>
      <w:rPr>
        <w:sz w:val="20"/>
        <w:b/>
        <w:szCs w:val="20"/>
        <w:bCs/>
      </w:rPr>
      <w:instrText xml:space="preserve"> NUMPAGES </w:instrText>
    </w:r>
    <w:r>
      <w:rPr>
        <w:sz w:val="20"/>
        <w:b/>
        <w:szCs w:val="20"/>
        <w:bCs/>
      </w:rPr>
      <w:fldChar w:fldCharType="separate"/>
    </w:r>
    <w:r>
      <w:rPr>
        <w:sz w:val="20"/>
        <w:b/>
        <w:szCs w:val="20"/>
        <w:bCs/>
      </w:rPr>
      <w:t>10</w:t>
    </w:r>
    <w:r>
      <w:rPr>
        <w:sz w:val="20"/>
        <w:b/>
        <w:szCs w:val="20"/>
        <w:bCs/>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s>
      <w:spacing w:before="0" w:after="0"/>
      <w:ind w:hanging="0"/>
      <w:jc w:val="center"/>
      <w:rPr>
        <w:sz w:val="20"/>
        <w:szCs w:val="20"/>
        <w:lang w:val="en-US"/>
      </w:rPr>
    </w:pPr>
    <w:r>
      <w:rPr>
        <w:rFonts w:eastAsia="Arial Unicode MS"/>
        <w:sz w:val="20"/>
        <w:szCs w:val="20"/>
      </w:rPr>
      <w:t>Use or disclosure of data contained on this page is subject to the restriction on the first page of this volume</w:t>
    </w:r>
    <w:r>
      <w:rPr>
        <w:rFonts w:eastAsia="Arial Unicode MS"/>
        <w:sz w:val="20"/>
        <w:szCs w:val="20"/>
        <w:lang w:val="en-US"/>
      </w:rPr>
      <w:t>.</w:t>
    </w:r>
  </w:p>
  <w:sdt>
    <w:sdtPr>
      <w:docPartObj>
        <w:docPartGallery w:val="Page Numbers (Top of Page)"/>
        <w:docPartUnique w:val="true"/>
      </w:docPartObj>
      <w:id w:val="1207131380"/>
    </w:sdtPr>
    <w:sdtContent>
      <w:p>
        <w:pPr>
          <w:pStyle w:val="Footer"/>
          <w:tabs>
            <w:tab w:val="clear" w:pos="8640"/>
            <w:tab w:val="center" w:pos="4320" w:leader="none"/>
          </w:tabs>
          <w:spacing w:before="0" w:after="120"/>
          <w:ind w:hanging="0"/>
          <w:rPr>
            <w:sz w:val="20"/>
            <w:szCs w:val="20"/>
          </w:rPr>
        </w:pPr>
        <w:r>
          <w:rPr/>
          <w:tab/>
        </w:r>
        <w:r>
          <w:rPr>
            <w:sz w:val="20"/>
            <w:szCs w:val="20"/>
          </w:rPr>
          <w:t xml:space="preserve">Page </w:t>
        </w:r>
        <w:r>
          <w:rPr>
            <w:b/>
            <w:bCs/>
            <w:sz w:val="20"/>
            <w:szCs w:val="20"/>
          </w:rPr>
          <w:fldChar w:fldCharType="begin"/>
        </w:r>
        <w:r>
          <w:rPr>
            <w:sz w:val="20"/>
            <w:b/>
            <w:szCs w:val="20"/>
            <w:bCs/>
          </w:rPr>
          <w:instrText xml:space="preserve"> PAGE </w:instrText>
        </w:r>
        <w:r>
          <w:rPr>
            <w:sz w:val="20"/>
            <w:b/>
            <w:szCs w:val="20"/>
            <w:bCs/>
          </w:rPr>
          <w:fldChar w:fldCharType="separate"/>
        </w:r>
        <w:r>
          <w:rPr>
            <w:sz w:val="20"/>
            <w:b/>
            <w:szCs w:val="20"/>
            <w:bCs/>
          </w:rPr>
          <w:t>10</w:t>
        </w:r>
        <w:r>
          <w:rPr>
            <w:sz w:val="20"/>
            <w:b/>
            <w:szCs w:val="20"/>
            <w:bCs/>
          </w:rPr>
          <w:fldChar w:fldCharType="end"/>
        </w:r>
        <w:r>
          <w:rPr>
            <w:sz w:val="20"/>
            <w:szCs w:val="20"/>
          </w:rPr>
          <w:t xml:space="preserve"> of </w:t>
        </w:r>
        <w:r>
          <w:rPr>
            <w:b/>
            <w:bCs/>
            <w:sz w:val="20"/>
            <w:szCs w:val="20"/>
          </w:rPr>
          <w:fldChar w:fldCharType="begin"/>
        </w:r>
        <w:r>
          <w:rPr>
            <w:sz w:val="20"/>
            <w:b/>
            <w:szCs w:val="20"/>
            <w:bCs/>
          </w:rPr>
          <w:instrText xml:space="preserve"> NUMPAGES </w:instrText>
        </w:r>
        <w:r>
          <w:rPr>
            <w:sz w:val="20"/>
            <w:b/>
            <w:szCs w:val="20"/>
            <w:bCs/>
          </w:rPr>
          <w:fldChar w:fldCharType="separate"/>
        </w:r>
        <w:r>
          <w:rPr>
            <w:sz w:val="20"/>
            <w:b/>
            <w:szCs w:val="20"/>
            <w:bCs/>
          </w:rPr>
          <w:t>10</w:t>
        </w:r>
        <w:r>
          <w:rPr>
            <w:sz w:val="20"/>
            <w:b/>
            <w:szCs w:val="20"/>
            <w:bCs/>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center" w:pos="4320" w:leader="none"/>
      </w:tabs>
      <w:spacing w:before="0" w:after="0"/>
      <w:ind w:hanging="0"/>
      <w:jc w:val="center"/>
      <w:rPr>
        <w:sz w:val="20"/>
        <w:szCs w:val="20"/>
        <w:lang w:val="en-US"/>
      </w:rPr>
    </w:pPr>
    <w:r>
      <w:rPr>
        <w:rFonts w:eastAsia="Arial Unicode MS"/>
        <w:sz w:val="20"/>
        <w:szCs w:val="20"/>
      </w:rPr>
      <w:t>Use or disclosure of data contained on this page is subject to the restriction on the first page of this volume</w:t>
    </w:r>
    <w:r>
      <w:rPr>
        <w:rFonts w:eastAsia="Arial Unicode MS"/>
        <w:sz w:val="20"/>
        <w:szCs w:val="20"/>
        <w:lang w:val="en-US"/>
      </w:rPr>
      <w:t>.</w:t>
    </w:r>
  </w:p>
  <w:sdt>
    <w:sdtPr>
      <w:docPartObj>
        <w:docPartGallery w:val="Page Numbers (Top of Page)"/>
        <w:docPartUnique w:val="true"/>
      </w:docPartObj>
      <w:id w:val="446398761"/>
    </w:sdtPr>
    <w:sdtContent>
      <w:p>
        <w:pPr>
          <w:pStyle w:val="Footer"/>
          <w:tabs>
            <w:tab w:val="clear" w:pos="8640"/>
            <w:tab w:val="center" w:pos="4320" w:leader="none"/>
          </w:tabs>
          <w:spacing w:before="0" w:after="120"/>
          <w:ind w:hanging="0"/>
          <w:rPr>
            <w:sz w:val="20"/>
            <w:szCs w:val="20"/>
          </w:rPr>
        </w:pPr>
        <w:r>
          <w:rPr/>
          <w:tab/>
        </w:r>
        <w:r>
          <w:rPr>
            <w:sz w:val="20"/>
            <w:szCs w:val="20"/>
          </w:rPr>
          <w:t xml:space="preserve">Page </w:t>
        </w:r>
        <w:r>
          <w:rPr>
            <w:b/>
            <w:bCs/>
            <w:sz w:val="20"/>
            <w:szCs w:val="20"/>
          </w:rPr>
          <w:fldChar w:fldCharType="begin"/>
        </w:r>
        <w:r>
          <w:rPr>
            <w:sz w:val="20"/>
            <w:b/>
            <w:szCs w:val="20"/>
            <w:bCs/>
          </w:rPr>
          <w:instrText xml:space="preserve"> PAGE </w:instrText>
        </w:r>
        <w:r>
          <w:rPr>
            <w:sz w:val="20"/>
            <w:b/>
            <w:szCs w:val="20"/>
            <w:bCs/>
          </w:rPr>
          <w:fldChar w:fldCharType="separate"/>
        </w:r>
        <w:r>
          <w:rPr>
            <w:sz w:val="20"/>
            <w:b/>
            <w:szCs w:val="20"/>
            <w:bCs/>
          </w:rPr>
          <w:t>10</w:t>
        </w:r>
        <w:r>
          <w:rPr>
            <w:sz w:val="20"/>
            <w:b/>
            <w:szCs w:val="20"/>
            <w:bCs/>
          </w:rPr>
          <w:fldChar w:fldCharType="end"/>
        </w:r>
        <w:r>
          <w:rPr>
            <w:sz w:val="20"/>
            <w:szCs w:val="20"/>
          </w:rPr>
          <w:t xml:space="preserve"> of </w:t>
        </w:r>
        <w:r>
          <w:rPr>
            <w:b/>
            <w:bCs/>
            <w:sz w:val="20"/>
            <w:szCs w:val="20"/>
          </w:rPr>
          <w:fldChar w:fldCharType="begin"/>
        </w:r>
        <w:r>
          <w:rPr>
            <w:sz w:val="20"/>
            <w:b/>
            <w:szCs w:val="20"/>
            <w:bCs/>
          </w:rPr>
          <w:instrText xml:space="preserve"> NUMPAGES </w:instrText>
        </w:r>
        <w:r>
          <w:rPr>
            <w:sz w:val="20"/>
            <w:b/>
            <w:szCs w:val="20"/>
            <w:bCs/>
          </w:rPr>
          <w:fldChar w:fldCharType="separate"/>
        </w:r>
        <w:r>
          <w:rPr>
            <w:sz w:val="20"/>
            <w:b/>
            <w:szCs w:val="20"/>
            <w:bCs/>
          </w:rPr>
          <w:t>10</w:t>
        </w:r>
        <w:r>
          <w:rPr>
            <w:sz w:val="20"/>
            <w:b/>
            <w:szCs w:val="20"/>
            <w:bCs/>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60" w:leader="none"/>
      </w:tabs>
      <w:spacing w:before="0" w:after="0"/>
      <w:ind w:hanging="0"/>
      <w:rPr/>
    </w:pPr>
    <w:r>
      <w:rPr/>
      <w:t xml:space="preserve">Proposal Number </w:t>
    </w:r>
    <w:r>
      <w:rPr>
        <w:shd w:fill="FFFF00" w:val="clear"/>
      </w:rPr>
      <w:t>[Insert proposal number assigned by DSIP]</w:t>
    </w:r>
    <w:r>
      <w:rPr/>
      <w:tab/>
      <w:t>TekFive, Inc.</w:t>
    </w:r>
  </w:p>
  <w:p>
    <w:pPr>
      <w:pStyle w:val="Normal"/>
      <w:tabs>
        <w:tab w:val="clear" w:pos="720"/>
        <w:tab w:val="right" w:pos="9360" w:leader="none"/>
      </w:tabs>
      <w:ind w:hanging="0"/>
      <w:rPr/>
    </w:pPr>
    <w:r>
      <w:rPr/>
      <w:t>Topic Number DON26BZ03-NV059</w:t>
    </w:r>
  </w:p>
  <w:p>
    <w:pPr>
      <w:pStyle w:val="Header"/>
      <w:spacing w:before="0" w:after="120"/>
      <w:rPr>
        <w:sz w:val="20"/>
      </w:rPr>
    </w:pPr>
    <w:r>
      <w:rPr>
        <w:sz w:val="2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60" w:leader="none"/>
      </w:tabs>
      <w:spacing w:before="0" w:after="0"/>
      <w:ind w:hanging="0"/>
      <w:rPr/>
    </w:pPr>
    <w:r>
      <w:rPr/>
      <w:t>Proposal Number N26BZ-NV059-2482</w:t>
      <w:tab/>
      <w:t>TekFive, Inc.</w:t>
    </w:r>
  </w:p>
  <w:p>
    <w:pPr>
      <w:pStyle w:val="Normal"/>
      <w:tabs>
        <w:tab w:val="clear" w:pos="720"/>
        <w:tab w:val="right" w:pos="9360" w:leader="none"/>
      </w:tabs>
      <w:ind w:hanging="0"/>
      <w:rPr/>
    </w:pPr>
    <w:r>
      <w:rPr/>
      <w:t>Topic Number DON26BZ03-NV059</w:t>
    </w:r>
  </w:p>
  <w:p>
    <w:pPr>
      <w:pStyle w:val="Normal"/>
      <w:tabs>
        <w:tab w:val="clear" w:pos="720"/>
        <w:tab w:val="right" w:pos="9360" w:leader="none"/>
      </w:tabs>
      <w:spacing w:before="0" w:after="120"/>
      <w:ind w:hanging="0"/>
      <w:rPr>
        <w:sz w:val="20"/>
        <w:szCs w:val="22"/>
      </w:rPr>
    </w:pPr>
    <w:r>
      <w:rPr>
        <w:sz w:val="20"/>
        <w:szCs w:val="2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60" w:leader="none"/>
      </w:tabs>
      <w:spacing w:before="0" w:after="0"/>
      <w:ind w:hanging="0"/>
      <w:rPr/>
    </w:pPr>
    <w:r>
      <w:rPr/>
      <w:t>Proposal Number N26BZ-NV059-2482</w:t>
      <w:tab/>
      <w:t>TekFive, Inc.</w:t>
    </w:r>
  </w:p>
  <w:p>
    <w:pPr>
      <w:pStyle w:val="Normal"/>
      <w:tabs>
        <w:tab w:val="clear" w:pos="720"/>
        <w:tab w:val="right" w:pos="9360" w:leader="none"/>
      </w:tabs>
      <w:ind w:hanging="0"/>
      <w:rPr/>
    </w:pPr>
    <w:r>
      <w:rPr/>
      <w:t>Topic Number DON26BZ03-NV059</w:t>
    </w:r>
  </w:p>
  <w:p>
    <w:pPr>
      <w:pStyle w:val="Normal"/>
      <w:tabs>
        <w:tab w:val="clear" w:pos="720"/>
        <w:tab w:val="right" w:pos="9360" w:leader="none"/>
      </w:tabs>
      <w:spacing w:before="0" w:after="120"/>
      <w:ind w:hanging="0"/>
      <w:rPr>
        <w:sz w:val="20"/>
        <w:szCs w:val="22"/>
      </w:rPr>
    </w:pPr>
    <w:r>
      <w:rPr>
        <w:sz w:val="20"/>
        <w:szCs w:val="2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120"/>
      <w:ind w:firstLine="720"/>
      <w:jc w:val="left"/>
    </w:pPr>
    <w:rPr>
      <w:rFonts w:ascii="Times New Roman" w:hAnsi="Times New Roman" w:eastAsia="Times New Roman" w:cs="Times New Roman"/>
      <w:color w:val="auto"/>
      <w:kern w:val="0"/>
      <w:sz w:val="24"/>
      <w:szCs w:val="24"/>
      <w:lang w:val="en-US" w:eastAsia="en-US" w:bidi="ar-SA"/>
    </w:rPr>
  </w:style>
  <w:style w:type="paragraph" w:styleId="Heading2">
    <w:name w:val="Heading 2"/>
    <w:basedOn w:val="Heading"/>
    <w:next w:val="TextBody"/>
    <w:qFormat/>
    <w:pPr>
      <w:spacing w:before="200" w:after="120"/>
      <w:outlineLvl w:val="1"/>
    </w:pPr>
    <w:rPr>
      <w:rFonts w:ascii="Liberation Serif" w:hAnsi="Liberation Serif" w:eastAsia="DejaVu Sans" w:cs="DejaVu Sans"/>
      <w:b/>
      <w:bCs/>
      <w:sz w:val="36"/>
      <w:szCs w:val="36"/>
    </w:rPr>
  </w:style>
  <w:style w:type="character" w:styleId="DefaultParagraphFont" w:default="1">
    <w:name w:val="Default Paragraph Font"/>
    <w:uiPriority w:val="1"/>
    <w:semiHidden/>
    <w:unhideWhenUsed/>
    <w:qFormat/>
    <w:rPr/>
  </w:style>
  <w:style w:type="character" w:styleId="HeaderChar" w:customStyle="1">
    <w:name w:val="Header Char"/>
    <w:semiHidden/>
    <w:qFormat/>
    <w:locked/>
    <w:rPr>
      <w:rFonts w:ascii="Times New Roman" w:hAnsi="Times New Roman" w:cs="Times New Roman"/>
      <w:sz w:val="22"/>
      <w:szCs w:val="22"/>
    </w:rPr>
  </w:style>
  <w:style w:type="character" w:styleId="FooterChar" w:customStyle="1">
    <w:name w:val="Footer Char"/>
    <w:uiPriority w:val="99"/>
    <w:qFormat/>
    <w:locked/>
    <w:rPr>
      <w:rFonts w:ascii="Times New Roman" w:hAnsi="Times New Roman" w:cs="Times New Roman"/>
      <w:sz w:val="22"/>
      <w:szCs w:val="22"/>
    </w:rPr>
  </w:style>
  <w:style w:type="character" w:styleId="Pagenumber">
    <w:name w:val="page number"/>
    <w:semiHidden/>
    <w:qFormat/>
    <w:rPr>
      <w:rFonts w:cs="Times New Roman"/>
    </w:rPr>
  </w:style>
  <w:style w:type="character" w:styleId="InternetLink">
    <w:name w:val="Hyperlink"/>
    <w:semiHidden/>
    <w:rPr>
      <w:rFonts w:cs="Times New Roman"/>
      <w:color w:val="0000FF"/>
      <w:u w:val="single"/>
    </w:rPr>
  </w:style>
  <w:style w:type="character" w:styleId="BalloonTextChar" w:customStyle="1">
    <w:name w:val="Balloon Text Char"/>
    <w:qFormat/>
    <w:rPr>
      <w:rFonts w:ascii="Tahoma" w:hAnsi="Tahoma" w:eastAsia="Times New Roman" w:cs="Tahoma"/>
      <w:sz w:val="16"/>
      <w:szCs w:val="16"/>
    </w:rPr>
  </w:style>
  <w:style w:type="character" w:styleId="VisitedInternetLink">
    <w:name w:val="FollowedHyperlink"/>
    <w:semiHidden/>
    <w:rPr>
      <w:color w:val="800080"/>
      <w:u w:val="single"/>
    </w:rPr>
  </w:style>
  <w:style w:type="character" w:styleId="Annotationreference">
    <w:name w:val="annotation reference"/>
    <w:semiHidden/>
    <w:qFormat/>
    <w:rPr>
      <w:sz w:val="16"/>
      <w:szCs w:val="16"/>
    </w:rPr>
  </w:style>
  <w:style w:type="character" w:styleId="CommentTextChar" w:customStyle="1">
    <w:name w:val="Comment Text Char"/>
    <w:qFormat/>
    <w:rPr>
      <w:rFonts w:ascii="Times New Roman" w:hAnsi="Times New Roman" w:eastAsia="Times New Roman"/>
    </w:rPr>
  </w:style>
  <w:style w:type="character" w:styleId="CommentSubjectChar" w:customStyle="1">
    <w:name w:val="Comment Subject Char"/>
    <w:qFormat/>
    <w:rPr>
      <w:rFonts w:ascii="Times New Roman" w:hAnsi="Times New Roman" w:eastAsia="Times New Roman"/>
      <w:b/>
      <w:bCs/>
    </w:rPr>
  </w:style>
  <w:style w:type="character" w:styleId="PlainTextChar" w:customStyle="1">
    <w:name w:val="Plain Text Char"/>
    <w:qFormat/>
    <w:rPr>
      <w:rFonts w:ascii="Courier New" w:hAnsi="Courier New" w:eastAsia="Arial Unicode MS" w:cs="Courier New"/>
    </w:rPr>
  </w:style>
  <w:style w:type="character" w:styleId="Emphasis">
    <w:name w:val="Emphasis"/>
    <w:qFormat/>
    <w:rPr>
      <w:i/>
      <w:iCs/>
    </w:rPr>
  </w:style>
  <w:style w:type="character" w:styleId="NumberingSymbols" w:customStyle="1">
    <w:name w:val="Numbering Symbols"/>
    <w:qFormat/>
    <w:rPr>
      <w:sz w:val="20"/>
      <w:szCs w:val="20"/>
    </w:rPr>
  </w:style>
  <w:style w:type="character" w:styleId="Linenumber">
    <w:name w:val="line number"/>
    <w:qFormat/>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qFormat/>
    <w:pPr>
      <w:suppressLineNumbers/>
      <w:spacing w:before="120" w:after="120"/>
    </w:pPr>
    <w:rPr>
      <w:rFonts w:cs="FreeSans"/>
      <w:i/>
      <w:iCs/>
    </w:rPr>
  </w:style>
  <w:style w:type="paragraph" w:styleId="HeaderandFooter" w:customStyle="1">
    <w:name w:val="Header and Footer"/>
    <w:basedOn w:val="Normal"/>
    <w:qFormat/>
    <w:pPr/>
    <w:rPr/>
  </w:style>
  <w:style w:type="paragraph" w:styleId="Header">
    <w:name w:val="Header"/>
    <w:basedOn w:val="Normal"/>
    <w:semiHidden/>
    <w:pPr>
      <w:tabs>
        <w:tab w:val="clear" w:pos="720"/>
        <w:tab w:val="center" w:pos="4320" w:leader="none"/>
        <w:tab w:val="right" w:pos="8640" w:leader="none"/>
      </w:tabs>
    </w:pPr>
    <w:rPr>
      <w:rFonts w:eastAsia="Cambria"/>
      <w:sz w:val="22"/>
      <w:szCs w:val="22"/>
      <w:lang w:val="x-none" w:eastAsia="x-none"/>
    </w:rPr>
  </w:style>
  <w:style w:type="paragraph" w:styleId="Footer">
    <w:name w:val="Footer"/>
    <w:basedOn w:val="Normal"/>
    <w:uiPriority w:val="99"/>
    <w:pPr>
      <w:tabs>
        <w:tab w:val="clear" w:pos="720"/>
        <w:tab w:val="center" w:pos="4320" w:leader="none"/>
        <w:tab w:val="right" w:pos="8640" w:leader="none"/>
      </w:tabs>
    </w:pPr>
    <w:rPr>
      <w:rFonts w:eastAsia="Cambria"/>
      <w:sz w:val="22"/>
      <w:szCs w:val="22"/>
      <w:lang w:val="x-none" w:eastAsia="x-none"/>
    </w:rPr>
  </w:style>
  <w:style w:type="paragraph" w:styleId="ListParagraph">
    <w:name w:val="List Paragraph"/>
    <w:basedOn w:val="Normal"/>
    <w:qFormat/>
    <w:pPr>
      <w:ind w:left="720" w:firstLine="720"/>
    </w:pPr>
    <w:rPr/>
  </w:style>
  <w:style w:type="paragraph" w:styleId="BalloonText">
    <w:name w:val="Balloon Text"/>
    <w:basedOn w:val="Normal"/>
    <w:qFormat/>
    <w:pPr>
      <w:spacing w:before="0" w:after="0"/>
    </w:pPr>
    <w:rPr>
      <w:rFonts w:ascii="Tahoma" w:hAnsi="Tahoma"/>
      <w:sz w:val="16"/>
      <w:szCs w:val="16"/>
      <w:lang w:val="x-none" w:eastAsia="x-none"/>
    </w:rPr>
  </w:style>
  <w:style w:type="paragraph" w:styleId="Annotationtext">
    <w:name w:val="annotation text"/>
    <w:basedOn w:val="Normal"/>
    <w:semiHidden/>
    <w:qFormat/>
    <w:pPr/>
    <w:rPr>
      <w:sz w:val="20"/>
      <w:szCs w:val="20"/>
      <w:lang w:val="x-none" w:eastAsia="x-none"/>
    </w:rPr>
  </w:style>
  <w:style w:type="paragraph" w:styleId="Annotationsubject">
    <w:name w:val="annotation subject"/>
    <w:basedOn w:val="Annotationtext"/>
    <w:next w:val="Annotationtext"/>
    <w:qFormat/>
    <w:pPr/>
    <w:rPr>
      <w:b/>
      <w:bCs/>
    </w:rPr>
  </w:style>
  <w:style w:type="paragraph" w:styleId="PlainText">
    <w:name w:val="Plain Text"/>
    <w:basedOn w:val="Normal"/>
    <w:semiHidden/>
    <w:unhideWhenUsed/>
    <w:qFormat/>
    <w:pPr>
      <w:spacing w:before="0" w:after="0"/>
      <w:ind w:hanging="0"/>
    </w:pPr>
    <w:rPr>
      <w:rFonts w:ascii="Courier New" w:hAnsi="Courier New" w:eastAsia="Arial Unicode MS"/>
      <w:sz w:val="20"/>
      <w:szCs w:val="20"/>
      <w:lang w:val="x-none" w:eastAsia="x-none"/>
    </w:rPr>
  </w:style>
  <w:style w:type="paragraph" w:styleId="Revision">
    <w:name w:val="Revision"/>
    <w:semiHidden/>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Envelopereturn">
    <w:name w:val="envelope return"/>
    <w:basedOn w:val="Normal"/>
    <w:qFormat/>
    <w:pPr>
      <w:suppressLineNumbers/>
    </w:pPr>
    <w:rPr>
      <w:i/>
      <w:i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34acd"/>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yperlink" Target="mailto:derek.lecroy@gd-ms.co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Relationship Id="rId18"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a16113-4534-478a-892e-da3b72e374dd" xsi:nil="true"/>
    <lcf76f155ced4ddcb4097134ff3c332f xmlns="79c52c73-c43a-4da9-a72c-b9224e3b60c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BEF073793BBB42B216A4798FB18113" ma:contentTypeVersion="10" ma:contentTypeDescription="Create a new document." ma:contentTypeScope="" ma:versionID="0df358d33d0184d8a089f1e9b2e0cb46">
  <xsd:schema xmlns:xsd="http://www.w3.org/2001/XMLSchema" xmlns:xs="http://www.w3.org/2001/XMLSchema" xmlns:p="http://schemas.microsoft.com/office/2006/metadata/properties" xmlns:ns2="79c52c73-c43a-4da9-a72c-b9224e3b60cc" xmlns:ns3="fba16113-4534-478a-892e-da3b72e374dd" targetNamespace="http://schemas.microsoft.com/office/2006/metadata/properties" ma:root="true" ma:fieldsID="6a448c2b8f6d6755793e7804c22c00bb" ns2:_="" ns3:_="">
    <xsd:import namespace="79c52c73-c43a-4da9-a72c-b9224e3b60cc"/>
    <xsd:import namespace="fba16113-4534-478a-892e-da3b72e374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c52c73-c43a-4da9-a72c-b9224e3b60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f6d7990-a8de-4e2b-ac92-a5cb979d046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a16113-4534-478a-892e-da3b72e374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1edd0-ad13-45a5-9a1c-1ad3abe61a36}" ma:internalName="TaxCatchAll" ma:showField="CatchAllData" ma:web="fba16113-4534-478a-892e-da3b72e374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A485F-DE5F-480E-9F50-4B386D2C7BDD}">
  <ds:schemaRefs>
    <ds:schemaRef ds:uri="http://schemas.microsoft.com/office/2006/metadata/properties"/>
    <ds:schemaRef ds:uri="http://schemas.microsoft.com/office/infopath/2007/PartnerControls"/>
    <ds:schemaRef ds:uri="fba16113-4534-478a-892e-da3b72e374dd"/>
    <ds:schemaRef ds:uri="79c52c73-c43a-4da9-a72c-b9224e3b60cc"/>
  </ds:schemaRefs>
</ds:datastoreItem>
</file>

<file path=customXml/itemProps2.xml><?xml version="1.0" encoding="utf-8"?>
<ds:datastoreItem xmlns:ds="http://schemas.openxmlformats.org/officeDocument/2006/customXml" ds:itemID="{543E8C0E-0ABE-4B7E-A53C-A9529B6F860A}">
  <ds:schemaRefs>
    <ds:schemaRef ds:uri="http://schemas.microsoft.com/sharepoint/v3/contenttype/forms"/>
  </ds:schemaRefs>
</ds:datastoreItem>
</file>

<file path=customXml/itemProps3.xml><?xml version="1.0" encoding="utf-8"?>
<ds:datastoreItem xmlns:ds="http://schemas.openxmlformats.org/officeDocument/2006/customXml" ds:itemID="{C6EDD0EA-F4DE-4008-A923-00E32F8BC8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c52c73-c43a-4da9-a72c-b9224e3b60cc"/>
    <ds:schemaRef ds:uri="fba16113-4534-478a-892e-da3b72e374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E35C63-F5D8-485B-9D11-38F408306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Application>LibreOffice/7.4.7.2$Linux_X86_64 LibreOffice_project/40$Build-2</Application>
  <AppVersion>15.0000</AppVersion>
  <DocSecurity>4</DocSecurity>
  <Pages>10</Pages>
  <Words>5287</Words>
  <Characters>33016</Characters>
  <CharactersWithSpaces>38155</CharactersWithSpaces>
  <Paragraphs>176</Paragraphs>
  <Company>NMCI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2026-07-20T11:39:00Z</dcterms:created>
  <dc:creator>RS</dc:creator>
  <dc:description>March 29, 2017 Update</dc:description>
  <dc:language>en-US</dc:language>
  <cp:lastModifiedBy>Sean Brennan</cp:lastModifiedBy>
  <cp:lastPrinted>2026-06-23T19:02:00Z</cp:lastPrinted>
  <dcterms:modified xsi:type="dcterms:W3CDTF">2026-07-21T09:47:43Z</dcterms:modified>
  <cp:revision>6</cp:revision>
  <dc:subject/>
  <dc:title>SBIR/STTR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0x0101006EBEF073793BBB42B216A4798FB18113</vt:lpwstr>
  </property>
  <property fmtid="{D5CDD505-2E9C-101B-9397-08002B2CF9AE}" pid="3" name="MediaServiceImageTags">
    <vt:lpwstr/>
  </property>
</Properties>
</file>