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DAF27TZ01-DV002: Cyber Resiliency for Fog and Edge Computing Devices</w:t>
      </w:r>
    </w:p>
    <w:p>
      <w:pPr>
        <w:pStyle w:val="Subtitle"/>
      </w:pPr>
      <w:r>
        <w:t xml:space="preserve">Volume 5: Feasibility Documentation (Phase I-Type Effort)</w:t>
      </w:r>
    </w:p>
    <w:p>
      <w:pPr>
        <w:pStyle w:val="Author"/>
      </w:pPr>
      <w:r>
        <w:t xml:space="preserve">TekFive, Inc.</w:t>
      </w:r>
    </w:p>
    <w:p>
      <w:pPr>
        <w:pStyle w:val="FirstParagraph"/>
      </w:pPr>
      <w:r>
        <w:t xml:space="preserve">This document includes data that must not be disclosed outside the Government</w:t>
      </w:r>
      <w:r>
        <w:t xml:space="preserve"> </w:t>
      </w:r>
      <w:r>
        <w:t xml:space="preserve">and must not be duplicated, used, or disclosed in whole or in part for any</w:t>
      </w:r>
      <w:r>
        <w:t xml:space="preserve"> </w:t>
      </w:r>
      <w:r>
        <w:t xml:space="preserve">purpose other than to evaluate this proposal. [TODO: standard restrictive legend</w:t>
      </w:r>
      <w:r>
        <w:t xml:space="preserve"> </w:t>
      </w:r>
      <w:r>
        <w:t xml:space="preserve">per the DoW FY27 STTR BAA.]</w:t>
      </w:r>
    </w:p>
    <w:bookmarkStart w:id="27" w:name="X3576a622d1db79819ba10082442b8ef658b8b30"/>
    <w:p>
      <w:pPr>
        <w:pStyle w:val="Heading1"/>
      </w:pPr>
      <w:r>
        <w:t xml:space="preserve">Feasibility of AutonomousTrust for Fog and Edge Cyber Resiliency</w:t>
      </w:r>
    </w:p>
    <w:bookmarkStart w:id="9" w:name="X7770faa8c50d4c5936bc3289d53bf144763a90a"/>
    <w:p>
      <w:pPr>
        <w:pStyle w:val="Heading2"/>
      </w:pPr>
      <w:r>
        <w:t xml:space="preserve">1. Basis and performance of the feasibility work</w:t>
      </w:r>
    </w:p>
    <w:p>
      <w:pPr>
        <w:pStyle w:val="FirstParagraph"/>
      </w:pPr>
      <w:r>
        <w:t xml:space="preserve">The topic asks for an approach, an architecture and a prior demonstration of a</w:t>
      </w:r>
      <w:r>
        <w:t xml:space="preserve"> </w:t>
      </w:r>
      <w:r>
        <w:t xml:space="preserve">limited-scope prototype that prevents or mitigates a single class of</w:t>
      </w:r>
      <w:r>
        <w:t xml:space="preserve"> </w:t>
      </w:r>
      <w:r>
        <w:t xml:space="preserve">cyber-attack on an edge-node or embedded device, with the ability to scale to a</w:t>
      </w:r>
      <w:r>
        <w:t xml:space="preserve"> </w:t>
      </w:r>
      <w:r>
        <w:t xml:space="preserve">large number of edge nodes and to detect and respond to an attack autonomously.</w:t>
      </w:r>
      <w:r>
        <w:t xml:space="preserve"> </w:t>
      </w:r>
      <w:r>
        <w:t xml:space="preserve">This document provides each, from TekFive’s AutonomousTrust (AT) prototype.</w:t>
      </w:r>
    </w:p>
    <w:p>
      <w:pPr>
        <w:pStyle w:val="BodyText"/>
      </w:pPr>
      <w:r>
        <w:t xml:space="preserve">AT was conceived by the PI in 2023 (Brennan,</w:t>
      </w:r>
      <w:r>
        <w:t xml:space="preserve"> </w:t>
      </w:r>
      <w:r>
        <w:t xml:space="preserve">“AutonomousTrust: High-trust</w:t>
      </w:r>
      <w:r>
        <w:t xml:space="preserve"> </w:t>
      </w:r>
      <w:r>
        <w:t xml:space="preserve">systems for secure cooperation,”</w:t>
      </w:r>
      <w:r>
        <w:t xml:space="preserve"> </w:t>
      </w:r>
      <w:r>
        <w:t xml:space="preserve">TekFive whitepaper, May 3, 2023) and has been</w:t>
      </w:r>
      <w:r>
        <w:t xml:space="preserve"> </w:t>
      </w:r>
      <w:r>
        <w:t xml:space="preserve">designed, implemented and tested since then by TekFive with TekFive internal</w:t>
      </w:r>
      <w:r>
        <w:t xml:space="preserve"> </w:t>
      </w:r>
      <w:r>
        <w:t xml:space="preserve">funds. The PI is the author of AT and performed the substantial majority of the</w:t>
      </w:r>
      <w:r>
        <w:t xml:space="preserve"> </w:t>
      </w:r>
      <w:r>
        <w:t xml:space="preserve">feasibility work described here. None of it is based on, or logically extends</w:t>
      </w:r>
      <w:r>
        <w:t xml:space="preserve"> </w:t>
      </w:r>
      <w:r>
        <w:t xml:space="preserve">from, prior or ongoing federally funded SBIR or STTR work. TekFive has one</w:t>
      </w:r>
      <w:r>
        <w:t xml:space="preserve"> </w:t>
      </w:r>
      <w:r>
        <w:t xml:space="preserve">pending SBIR proposal on related technology, disclosed in Volume 2 §I; it has</w:t>
      </w:r>
      <w:r>
        <w:t xml:space="preserve"> </w:t>
      </w:r>
      <w:r>
        <w:t xml:space="preserve">not been funded, and nothing in this document depends on it. [TODO: IP rights</w:t>
      </w:r>
      <w:r>
        <w:t xml:space="preserve"> </w:t>
      </w:r>
      <w:r>
        <w:t xml:space="preserve">assertions for AT, per the BAA, with a short summary of each restricted item.]</w:t>
      </w:r>
    </w:p>
    <w:bookmarkEnd w:id="9"/>
    <w:bookmarkStart w:id="10" w:name="approach"/>
    <w:p>
      <w:pPr>
        <w:pStyle w:val="Heading2"/>
      </w:pPr>
      <w:r>
        <w:t xml:space="preserve">2. Approach</w:t>
      </w:r>
    </w:p>
    <w:p>
      <w:pPr>
        <w:pStyle w:val="FirstParagraph"/>
      </w:pPr>
      <w:r>
        <w:t xml:space="preserve">Our premise is that security context at the edge is local, situational and</w:t>
      </w:r>
      <w:r>
        <w:t xml:space="preserve"> </w:t>
      </w:r>
      <w:r>
        <w:t xml:space="preserve">always changing, so detection and response should be local too. An edge node on</w:t>
      </w:r>
      <w:r>
        <w:t xml:space="preserve"> </w:t>
      </w:r>
      <w:r>
        <w:t xml:space="preserve">a small UAS or a small satellite cannot pull a revocation list over a</w:t>
      </w:r>
      <w:r>
        <w:t xml:space="preserve"> </w:t>
      </w:r>
      <w:r>
        <w:t xml:space="preserve">constrained link, cannot wait on a cloud analytics service to tell it that a</w:t>
      </w:r>
      <w:r>
        <w:t xml:space="preserve"> </w:t>
      </w:r>
      <w:r>
        <w:t xml:space="preserve">neighbor has gone bad, and in many cases will never be physically reached again.</w:t>
      </w:r>
      <w:r>
        <w:t xml:space="preserve"> </w:t>
      </w:r>
      <w:r>
        <w:t xml:space="preserve">What it does have is neighbors, and the neighbors are in the best position to</w:t>
      </w:r>
      <w:r>
        <w:t xml:space="preserve"> </w:t>
      </w:r>
      <w:r>
        <w:t xml:space="preserve">notice that one of them has stopped behaving as it should. They are also the</w:t>
      </w:r>
      <w:r>
        <w:t xml:space="preserve"> </w:t>
      </w:r>
      <w:r>
        <w:t xml:space="preserve">only party guaranteed to be present when it happens.</w:t>
      </w:r>
    </w:p>
    <w:p>
      <w:pPr>
        <w:pStyle w:val="BodyText"/>
      </w:pPr>
      <w:r>
        <w:t xml:space="preserve">AT therefore puts the trust decision on the device and makes it a collective</w:t>
      </w:r>
      <w:r>
        <w:t xml:space="preserve"> </w:t>
      </w:r>
      <w:r>
        <w:t xml:space="preserve">one. Each node evaluates its peers continuously, the cohort agrees changes in</w:t>
      </w:r>
      <w:r>
        <w:t xml:space="preserve"> </w:t>
      </w:r>
      <w:r>
        <w:t xml:space="preserve">standing by consensus, and enforcement follows directly from standing: a node</w:t>
      </w:r>
      <w:r>
        <w:t xml:space="preserve"> </w:t>
      </w:r>
      <w:r>
        <w:t xml:space="preserve">whose reputation falls loses access to the capabilities its tier allowed, and a</w:t>
      </w:r>
      <w:r>
        <w:t xml:space="preserve"> </w:t>
      </w:r>
      <w:r>
        <w:t xml:space="preserve">node whose misbehavior is established by signed evidence is excluded. No step on</w:t>
      </w:r>
      <w:r>
        <w:t xml:space="preserve"> </w:t>
      </w:r>
      <w:r>
        <w:t xml:space="preserve">that path waits on a central authority or a human, which is what makes the</w:t>
      </w:r>
      <w:r>
        <w:t xml:space="preserve"> </w:t>
      </w:r>
      <w:r>
        <w:t xml:space="preserve">response fast enough for an asset that cannot be reached and cheap enough to</w:t>
      </w:r>
      <w:r>
        <w:t xml:space="preserve"> </w:t>
      </w:r>
      <w:r>
        <w:t xml:space="preserve">repeat across thousands of nodes. Humans stay on the loop for consequential</w:t>
      </w:r>
      <w:r>
        <w:t xml:space="preserve"> </w:t>
      </w:r>
      <w:r>
        <w:t xml:space="preserve">recovery decisions, as the topic’s Q&amp;A asks.</w:t>
      </w:r>
    </w:p>
    <w:p>
      <w:pPr>
        <w:pStyle w:val="BodyText"/>
      </w:pPr>
      <w:r>
        <w:t xml:space="preserve">We chose an approach that needs no special hardware and no special compiler. AT</w:t>
      </w:r>
      <w:r>
        <w:t xml:space="preserve"> </w:t>
      </w:r>
      <w:r>
        <w:t xml:space="preserve">is portable C11 built with standard toolchains, cryptography comes from</w:t>
      </w:r>
      <w:r>
        <w:t xml:space="preserve"> </w:t>
      </w:r>
      <w:r>
        <w:t xml:space="preserve">libsodium, and the agent runs as an ordinary process beside the mission</w:t>
      </w:r>
      <w:r>
        <w:t xml:space="preserve"> </w:t>
      </w:r>
      <w:r>
        <w:t xml:space="preserve">software. Where a device offers a hardware root of trust, AT uses it as one more</w:t>
      </w:r>
      <w:r>
        <w:t xml:space="preserve"> </w:t>
      </w:r>
      <w:r>
        <w:t xml:space="preserve">source of evidence; where it does not, the remaining bases of trust still hold.</w:t>
      </w:r>
      <w:r>
        <w:t xml:space="preserve"> </w:t>
      </w:r>
      <w:r>
        <w:t xml:space="preserve">That choice addresses the topic’s C-SWaP constraint directly, since the defense</w:t>
      </w:r>
      <w:r>
        <w:t xml:space="preserve"> </w:t>
      </w:r>
      <w:r>
        <w:t xml:space="preserve">does not ask the platform for an FPGA, a custom processor or an add-on security</w:t>
      </w:r>
      <w:r>
        <w:t xml:space="preserve"> </w:t>
      </w:r>
      <w:r>
        <w:t xml:space="preserve">module.</w:t>
      </w:r>
    </w:p>
    <w:bookmarkEnd w:id="10"/>
    <w:bookmarkStart w:id="19" w:name="architecture"/>
    <w:p>
      <w:pPr>
        <w:pStyle w:val="Heading2"/>
      </w:pPr>
      <w:r>
        <w:t xml:space="preserve">3. Architecture</w:t>
      </w:r>
    </w:p>
    <w:p>
      <w:pPr>
        <w:pStyle w:val="CaptionedFigure"/>
      </w:pPr>
      <w:r>
        <w:drawing>
          <wp:inline>
            <wp:extent cx="5943600" cy="4556760"/>
            <wp:effectExtent b="0" l="0" r="0" t="0"/>
            <wp:docPr descr="Figure 1. Operational concept (OV-1). AT cohorts of smallsats, sUAS and ground IoBT sensors each decide on their own. The sUAS cohort detects a credentialed but compromised node, demotes it and gates it out of the data-sharing tier with no reach-back on the decision path (§4). The smallsat cohort refuses an unsigned update (§5). Fog-tier gateways roll reputation up the hierarchy (§3.4), a late joiner and a sub-threshold admission sit at a capped tier (§3.5), and the operator stays on the loop." title="" id="12" name="Picture"/>
            <a:graphic>
              <a:graphicData uri="http://schemas.openxmlformats.org/drawingml/2006/picture">
                <pic:pic>
                  <pic:nvPicPr>
                    <pic:cNvPr descr="./autonomoustrust_ov1_dv00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Operational concept (OV-1). AT cohorts of smallsats, sUAS and</w:t>
      </w:r>
      <w:r>
        <w:t xml:space="preserve"> </w:t>
      </w:r>
      <w:r>
        <w:t xml:space="preserve">ground IoBT sensors each decide on their own. The sUAS cohort detects a</w:t>
      </w:r>
      <w:r>
        <w:t xml:space="preserve"> </w:t>
      </w:r>
      <w:r>
        <w:t xml:space="preserve">credentialed but compromised node, demotes it and gates it out of the</w:t>
      </w:r>
      <w:r>
        <w:t xml:space="preserve"> </w:t>
      </w:r>
      <w:r>
        <w:t xml:space="preserve">data-sharing tier with no reach-back on the decision path (§4). The smallsat</w:t>
      </w:r>
      <w:r>
        <w:t xml:space="preserve"> </w:t>
      </w:r>
      <w:r>
        <w:t xml:space="preserve">cohort refuses an unsigned update (§5). Fog-tier gateways roll reputation up the</w:t>
      </w:r>
      <w:r>
        <w:t xml:space="preserve"> </w:t>
      </w:r>
      <w:r>
        <w:t xml:space="preserve">hierarchy (§3.4), a late joiner and a sub-threshold admission sit at a capped</w:t>
      </w:r>
      <w:r>
        <w:t xml:space="preserve"> </w:t>
      </w:r>
      <w:r>
        <w:t xml:space="preserve">tier (§3.5), and the operator stays on the</w:t>
      </w:r>
      <w:r>
        <w:t xml:space="preserve"> </w:t>
      </w:r>
      <w:r>
        <w:t xml:space="preserve">loop.</w:t>
      </w:r>
    </w:p>
    <w:bookmarkStart w:id="14" w:name="the-node"/>
    <w:p>
      <w:pPr>
        <w:pStyle w:val="Heading3"/>
      </w:pPr>
      <w:r>
        <w:t xml:space="preserve">3.1 The node</w:t>
      </w:r>
    </w:p>
    <w:p>
      <w:pPr>
        <w:pStyle w:val="FirstParagraph"/>
      </w:pPr>
      <w:r>
        <w:t xml:space="preserve">Each device runs a resident AT agent between the mission application and the</w:t>
      </w:r>
      <w:r>
        <w:t xml:space="preserve"> </w:t>
      </w:r>
      <w:r>
        <w:t xml:space="preserve">network, acting as that node’s policy decision and enforcement point. A device</w:t>
      </w:r>
      <w:r>
        <w:t xml:space="preserve"> </w:t>
      </w:r>
      <w:r>
        <w:t xml:space="preserve">that cannot host the agent is fronted by a bump-in-the-wire gateway on its data</w:t>
      </w:r>
      <w:r>
        <w:t xml:space="preserve"> </w:t>
      </w:r>
      <w:r>
        <w:t xml:space="preserve">path. The agent is a set of cooperating subsystems (identity, network,</w:t>
      </w:r>
      <w:r>
        <w:t xml:space="preserve"> </w:t>
      </w:r>
      <w:r>
        <w:t xml:space="preserve">reputation, negotiation and task processing) plus optional extensions, of which</w:t>
      </w:r>
      <w:r>
        <w:t xml:space="preserve"> </w:t>
      </w:r>
      <w:r>
        <w:t xml:space="preserve">the ones that matter here are the physical-consistency oracle, the fleet-update</w:t>
      </w:r>
      <w:r>
        <w:t xml:space="preserve"> </w:t>
      </w:r>
      <w:r>
        <w:t xml:space="preserve">service, the Zero Trust verifier, the Bundle Protocol transport and the gateway.</w:t>
      </w:r>
    </w:p>
    <w:bookmarkEnd w:id="14"/>
    <w:bookmarkStart w:id="15" w:name="five-bases-of-trust"/>
    <w:p>
      <w:pPr>
        <w:pStyle w:val="Heading3"/>
      </w:pPr>
      <w:r>
        <w:t xml:space="preserve">3.2 Five bases of trust</w:t>
      </w:r>
    </w:p>
    <w:p>
      <w:pPr>
        <w:pStyle w:val="FirstParagraph"/>
      </w:pPr>
      <w:r>
        <w:t xml:space="preserve">Trust in AT rests on five bases, applied in a deliberate order. The first four</w:t>
      </w:r>
      <w:r>
        <w:t xml:space="preserve"> </w:t>
      </w:r>
      <w:r>
        <w:t xml:space="preserve">need no history, so they carry first contact. (1) Cryptographic identity and</w:t>
      </w:r>
      <w:r>
        <w:t xml:space="preserve"> </w:t>
      </w:r>
      <w:r>
        <w:t xml:space="preserve">provenance: Ed25519 signing and X25519 encryption keys bound to a UUID and</w:t>
      </w:r>
      <w:r>
        <w:t xml:space="preserve"> </w:t>
      </w:r>
      <w:r>
        <w:t xml:space="preserve">recorded in a Merkle-DAG identity ledger; private keys never leave the node. (2)</w:t>
      </w:r>
      <w:r>
        <w:t xml:space="preserve"> </w:t>
      </w:r>
      <w:r>
        <w:t xml:space="preserve">Device integrity: evidence about the software the device is running, from signed</w:t>
      </w:r>
      <w:r>
        <w:t xml:space="preserve"> </w:t>
      </w:r>
      <w:r>
        <w:t xml:space="preserve">artifacts and, where available, hardware attestation. (3) Least-privilege</w:t>
      </w:r>
      <w:r>
        <w:t xml:space="preserve"> </w:t>
      </w:r>
      <w:r>
        <w:t xml:space="preserve">containment: five capability tiers that gate everything from basic networking up</w:t>
      </w:r>
      <w:r>
        <w:t xml:space="preserve"> </w:t>
      </w:r>
      <w:r>
        <w:t xml:space="preserve">to data sharing. (4) Delegated trust: a member vouches for a newcomer, which is</w:t>
      </w:r>
      <w:r>
        <w:t xml:space="preserve"> </w:t>
      </w:r>
      <w:r>
        <w:t xml:space="preserve">admitted only at a capped level. The fifth, behavioral reputation, refines trust</w:t>
      </w:r>
      <w:r>
        <w:t xml:space="preserve"> </w:t>
      </w:r>
      <w:r>
        <w:t xml:space="preserve">over the life of the fleet. We lead with the history-independent bases because</w:t>
      </w:r>
      <w:r>
        <w:t xml:space="preserve"> </w:t>
      </w:r>
      <w:r>
        <w:t xml:space="preserve">constraint beats detection, and a fleet that must be right on first contact</w:t>
      </w:r>
      <w:r>
        <w:t xml:space="preserve"> </w:t>
      </w:r>
      <w:r>
        <w:t xml:space="preserve">cannot wait for a behavioral model to warm up.</w:t>
      </w:r>
    </w:p>
    <w:bookmarkEnd w:id="15"/>
    <w:bookmarkStart w:id="16" w:name="agreement-and-enforcement"/>
    <w:p>
      <w:pPr>
        <w:pStyle w:val="Heading3"/>
      </w:pPr>
      <w:r>
        <w:t xml:space="preserve">3.3 Agreement and enforcement</w:t>
      </w:r>
    </w:p>
    <w:p>
      <w:pPr>
        <w:pStyle w:val="FirstParagraph"/>
      </w:pPr>
      <w:r>
        <w:t xml:space="preserve">Reputation changes are agreed by leaderless Multi-Paxos among cohort members and</w:t>
      </w:r>
      <w:r>
        <w:t xml:space="preserve"> </w:t>
      </w:r>
      <w:r>
        <w:t xml:space="preserve">recorded in a hash-linked, RFC 6962 Merkle-checkpointed ledger, with every</w:t>
      </w:r>
      <w:r>
        <w:t xml:space="preserve"> </w:t>
      </w:r>
      <w:r>
        <w:t xml:space="preserve">reputation half signed by the party that produced it. When a node’s reputation</w:t>
      </w:r>
      <w:r>
        <w:t xml:space="preserve"> </w:t>
      </w:r>
      <w:r>
        <w:t xml:space="preserve">falls below the bar for its tier, it is demoted, and demotion cancels work it</w:t>
      </w:r>
      <w:r>
        <w:t xml:space="preserve"> </w:t>
      </w:r>
      <w:r>
        <w:t xml:space="preserve">already had in flight. When the evidence is strong enough, a quorum-signed,</w:t>
      </w:r>
      <w:r>
        <w:t xml:space="preserve"> </w:t>
      </w:r>
      <w:r>
        <w:t xml:space="preserve">Merkle-proof-gated slash excludes it. Exclusion is sticky and is lifted only by</w:t>
      </w:r>
      <w:r>
        <w:t xml:space="preserve"> </w:t>
      </w:r>
      <w:r>
        <w:t xml:space="preserve">a signed rehabilitation. Every decision is deterministic and traceable to the</w:t>
      </w:r>
      <w:r>
        <w:t xml:space="preserve"> </w:t>
      </w:r>
      <w:r>
        <w:t xml:space="preserve">evidence that caused it.</w:t>
      </w:r>
    </w:p>
    <w:bookmarkEnd w:id="16"/>
    <w:bookmarkStart w:id="17" w:name="the-hierarchy-and-the-fog-tier"/>
    <w:p>
      <w:pPr>
        <w:pStyle w:val="Heading3"/>
      </w:pPr>
      <w:r>
        <w:t xml:space="preserve">3.4 The hierarchy and the fog tier</w:t>
      </w:r>
    </w:p>
    <w:p>
      <w:pPr>
        <w:pStyle w:val="FirstParagraph"/>
      </w:pPr>
      <w:r>
        <w:t xml:space="preserve">Nodes form cohorts, and cohorts form a hierarchy through gateway nodes that</w:t>
      </w:r>
      <w:r>
        <w:t xml:space="preserve"> </w:t>
      </w:r>
      <w:r>
        <w:t xml:space="preserve">aggregate the reputation of the members beneath them and relay it upward. A</w:t>
      </w:r>
      <w:r>
        <w:t xml:space="preserve"> </w:t>
      </w:r>
      <w:r>
        <w:t xml:space="preserve">node’s standing can be resolved through several gateway levels by a deep</w:t>
      </w:r>
      <w:r>
        <w:t xml:space="preserve"> </w:t>
      </w:r>
      <w:r>
        <w:t xml:space="preserve">reputation query, and the root of the hierarchy is discovered rather than</w:t>
      </w:r>
      <w:r>
        <w:t xml:space="preserve"> </w:t>
      </w:r>
      <w:r>
        <w:t xml:space="preserve">configured. The gateways are the fog tier of the architecture. Because each</w:t>
      </w:r>
      <w:r>
        <w:t xml:space="preserve"> </w:t>
      </w:r>
      <w:r>
        <w:t xml:space="preserve">decision involves only a node’s cohort and a bounded path up the hierarchy, the</w:t>
      </w:r>
      <w:r>
        <w:t xml:space="preserve"> </w:t>
      </w:r>
      <w:r>
        <w:t xml:space="preserve">cost of a decision grows with cohort size rather than with fleet size, which is</w:t>
      </w:r>
      <w:r>
        <w:t xml:space="preserve"> </w:t>
      </w:r>
      <w:r>
        <w:t xml:space="preserve">the property that lets the approach scale to hundreds and thousands of edge</w:t>
      </w:r>
      <w:r>
        <w:t xml:space="preserve"> </w:t>
      </w:r>
      <w:r>
        <w:t xml:space="preserve">nodes.</w:t>
      </w:r>
    </w:p>
    <w:bookmarkEnd w:id="17"/>
    <w:bookmarkStart w:id="18" w:name="disconnected-operation"/>
    <w:p>
      <w:pPr>
        <w:pStyle w:val="Heading3"/>
      </w:pPr>
      <w:r>
        <w:t xml:space="preserve">3.5 Disconnected operation</w:t>
      </w:r>
    </w:p>
    <w:p>
      <w:pPr>
        <w:pStyle w:val="FirstParagraph"/>
      </w:pPr>
      <w:r>
        <w:t xml:space="preserve">Under jamming, partition or light-lag, a cohort keeps deciding with whatever</w:t>
      </w:r>
      <w:r>
        <w:t xml:space="preserve"> </w:t>
      </w:r>
      <w:r>
        <w:t xml:space="preserve">quorum it can reach. A sub-threshold quorum admits newcomers only at a capped</w:t>
      </w:r>
      <w:r>
        <w:t xml:space="preserve"> </w:t>
      </w:r>
      <w:r>
        <w:t xml:space="preserve">reputation ceiling and a reduced tier, gated by the history-independent bases,</w:t>
      </w:r>
      <w:r>
        <w:t xml:space="preserve"> </w:t>
      </w:r>
      <w:r>
        <w:t xml:space="preserve">and signs every such admission so it can be reconciled when connectivity</w:t>
      </w:r>
      <w:r>
        <w:t xml:space="preserve"> </w:t>
      </w:r>
      <w:r>
        <w:t xml:space="preserve">returns. Partition detection and recovery are autonomous. Traffic can be carried</w:t>
      </w:r>
      <w:r>
        <w:t xml:space="preserve"> </w:t>
      </w:r>
      <w:r>
        <w:t xml:space="preserve">over the Bundle Protocol (ION and µD3TN backends) for delay-tolerant links.</w:t>
      </w:r>
    </w:p>
    <w:bookmarkEnd w:id="18"/>
    <w:bookmarkEnd w:id="19"/>
    <w:bookmarkStart w:id="20" w:name="X0cfb5eb670d52a6326b225fbb910e2ed74e9e60"/>
    <w:p>
      <w:pPr>
        <w:pStyle w:val="Heading2"/>
      </w:pPr>
      <w:r>
        <w:t xml:space="preserve">4. Demonstration: the compromised-but-credentialed edge node</w:t>
      </w:r>
    </w:p>
    <w:p>
      <w:pPr>
        <w:pStyle w:val="FirstParagraph"/>
      </w:pPr>
      <w:r>
        <w:t xml:space="preserve">We demonstrated AT against the attack class that conventional Zero Trust handles</w:t>
      </w:r>
      <w:r>
        <w:t xml:space="preserve"> </w:t>
      </w:r>
      <w:r>
        <w:t xml:space="preserve">worst: an edge node whose identity and credentials are valid but whose behavior</w:t>
      </w:r>
      <w:r>
        <w:t xml:space="preserve"> </w:t>
      </w:r>
      <w:r>
        <w:t xml:space="preserve">is no longer under its owner’s control. It does not matter to the defense</w:t>
      </w:r>
      <w:r>
        <w:t xml:space="preserve"> </w:t>
      </w:r>
      <w:r>
        <w:t xml:space="preserve">whether control was lost through a remote exploit, through capture of a downed</w:t>
      </w:r>
      <w:r>
        <w:t xml:space="preserve"> </w:t>
      </w:r>
      <w:r>
        <w:t xml:space="preserve">device, or through an implant delivered in the supply chain, because the defense</w:t>
      </w:r>
      <w:r>
        <w:t xml:space="preserve"> </w:t>
      </w:r>
      <w:r>
        <w:t xml:space="preserve">acts on what the node does rather than on how it was compromised. That is why we</w:t>
      </w:r>
      <w:r>
        <w:t xml:space="preserve"> </w:t>
      </w:r>
      <w:r>
        <w:t xml:space="preserve">chose this class to demonstrate first.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TekFive’s ISR scenario places unmanned sensor platforms in an AT</w:t>
      </w:r>
      <w:r>
        <w:t xml:space="preserve"> </w:t>
      </w:r>
      <w:r>
        <w:t xml:space="preserve">cohort, each running an ML object detector (YOLOv8-OBB) and reporting target</w:t>
      </w:r>
      <w:r>
        <w:t xml:space="preserve"> </w:t>
      </w:r>
      <w:r>
        <w:t xml:space="preserve">tracks to a fusion node as a trust-scored capability. One platform is</w:t>
      </w:r>
      <w:r>
        <w:t xml:space="preserve"> </w:t>
      </w:r>
      <w:r>
        <w:t xml:space="preserve">compromised partway through the run and begins reporting a target position that</w:t>
      </w:r>
      <w:r>
        <w:t xml:space="preserve"> </w:t>
      </w:r>
      <w:r>
        <w:t xml:space="preserve">disagrees with its peers’ observations of the same target.</w:t>
      </w:r>
    </w:p>
    <w:p>
      <w:pPr>
        <w:pStyle w:val="BodyText"/>
      </w:pPr>
      <w:r>
        <w:rPr>
          <w:b/>
          <w:bCs/>
        </w:rPr>
        <w:t xml:space="preserve">Detection.</w:t>
      </w:r>
      <w:r>
        <w:t xml:space="preserve"> </w:t>
      </w:r>
      <w:r>
        <w:t xml:space="preserve">AT’s physical-consistency oracle cross-checks corroborable</w:t>
      </w:r>
      <w:r>
        <w:t xml:space="preserve"> </w:t>
      </w:r>
      <w:r>
        <w:t xml:space="preserve">observations against each other and against physical bounds. In the recorded run</w:t>
      </w:r>
      <w:r>
        <w:t xml:space="preserve"> </w:t>
      </w:r>
      <w:r>
        <w:t xml:space="preserve">it flagged the compromised platform’s report at a 97.5 m deviation against a 50</w:t>
      </w:r>
      <w:r>
        <w:t xml:space="preserve"> </w:t>
      </w:r>
      <w:r>
        <w:t xml:space="preserve">m bound. The oracle is implemented identically in both runtimes and pinned by</w:t>
      </w:r>
      <w:r>
        <w:t xml:space="preserve"> </w:t>
      </w:r>
      <w:r>
        <w:t xml:space="preserve">206 conformance cases with zero asymmetric results.</w:t>
      </w:r>
    </w:p>
    <w:p>
      <w:pPr>
        <w:pStyle w:val="BodyText"/>
      </w:pPr>
      <w:r>
        <w:rPr>
          <w:b/>
          <w:bCs/>
        </w:rPr>
        <w:t xml:space="preserve">Response.</w:t>
      </w:r>
      <w:r>
        <w:t xml:space="preserve"> </w:t>
      </w:r>
      <w:r>
        <w:t xml:space="preserve">The flag becomes signed evidence, the evidence lowers the</w:t>
      </w:r>
      <w:r>
        <w:t xml:space="preserve"> </w:t>
      </w:r>
      <w:r>
        <w:t xml:space="preserve">platform’s reputation, and the cohort demotes it out of the data-sharing tier.</w:t>
      </w:r>
      <w:r>
        <w:t xml:space="preserve"> </w:t>
      </w:r>
      <w:r>
        <w:t xml:space="preserve">The fusion node stops receiving the false track and the mission continues on the</w:t>
      </w:r>
      <w:r>
        <w:t xml:space="preserve"> </w:t>
      </w:r>
      <w:r>
        <w:t xml:space="preserve">remaining platforms. No operator action and no contact with any central service</w:t>
      </w:r>
      <w:r>
        <w:t xml:space="preserve"> </w:t>
      </w:r>
      <w:r>
        <w:t xml:space="preserve">was required. [TODO: result: time from first false report to exclusion, and</w:t>
      </w:r>
      <w:r>
        <w:t xml:space="preserve"> </w:t>
      </w:r>
      <w:r>
        <w:t xml:space="preserve">fusion-track error with and without AT.]</w:t>
      </w:r>
    </w:p>
    <w:p>
      <w:pPr>
        <w:pStyle w:val="BodyText"/>
      </w:pPr>
      <w:r>
        <w:rPr>
          <w:b/>
          <w:bCs/>
        </w:rPr>
        <w:t xml:space="preserve">On representative edge hardware.</w:t>
      </w:r>
      <w:r>
        <w:t xml:space="preserve"> </w:t>
      </w:r>
      <w:r>
        <w:t xml:space="preserve">The C agent runs on an ARM Cortex-A72</w:t>
      </w:r>
      <w:r>
        <w:t xml:space="preserve"> </w:t>
      </w:r>
      <w:r>
        <w:t xml:space="preserve">(Raspberry Pi 4 class) from a minimal Buildroot/musl image of about fifteen</w:t>
      </w:r>
      <w:r>
        <w:t xml:space="preserve"> </w:t>
      </w:r>
      <w:r>
        <w:t xml:space="preserve">packages, with no interactive shell and no package manager, and interoperates on</w:t>
      </w:r>
      <w:r>
        <w:t xml:space="preserve"> </w:t>
      </w:r>
      <w:r>
        <w:t xml:space="preserve">the wire with the Python reference cohort through discovery, admission and</w:t>
      </w:r>
      <w:r>
        <w:t xml:space="preserve"> </w:t>
      </w:r>
      <w:r>
        <w:t xml:space="preserve">group-key exchange. [TODO: result: on-hardware detection-to-exclusion latency,</w:t>
      </w:r>
      <w:r>
        <w:t xml:space="preserve"> </w:t>
      </w:r>
      <w:r>
        <w:t xml:space="preserve">CPU and resident memory under load.] The library’s static footprint on x86_64 is</w:t>
      </w:r>
      <w:r>
        <w:t xml:space="preserve"> </w:t>
      </w:r>
      <w:r>
        <w:t xml:space="preserve">456 KiB of text and 318 KiB of BSS; we moved a 4 MiB message buffer to the heap</w:t>
      </w:r>
      <w:r>
        <w:t xml:space="preserve"> </w:t>
      </w:r>
      <w:r>
        <w:t xml:space="preserve">specifically to bring smaller targets into reach. [TODO: aarch64 figures from</w:t>
      </w:r>
      <w:r>
        <w:t xml:space="preserve"> </w:t>
      </w:r>
      <w:r>
        <w:t xml:space="preserve">the current build.]</w:t>
      </w:r>
    </w:p>
    <w:p>
      <w:pPr>
        <w:pStyle w:val="BodyText"/>
      </w:pPr>
      <w:r>
        <w:rPr>
          <w:b/>
          <w:bCs/>
        </w:rPr>
        <w:t xml:space="preserve">The anomaly layer.</w:t>
      </w:r>
      <w:r>
        <w:t xml:space="preserve"> </w:t>
      </w:r>
      <w:r>
        <w:t xml:space="preserve">Physical consistency covers data that other sensors can</w:t>
      </w:r>
      <w:r>
        <w:t xml:space="preserve"> </w:t>
      </w:r>
      <w:r>
        <w:t xml:space="preserve">corroborate. For behavior that cannot be corroborated, AT carries a lightweight,</w:t>
      </w:r>
      <w:r>
        <w:t xml:space="preserve"> </w:t>
      </w:r>
      <w:r>
        <w:t xml:space="preserve">unsupervised, streaming anomaly layer (Half-Space Trees and HBOS, per peer and</w:t>
      </w:r>
      <w:r>
        <w:t xml:space="preserve"> </w:t>
      </w:r>
      <w:r>
        <w:t xml:space="preserve">per role, with per-feature attribution) whose output is a governed input to</w:t>
      </w:r>
      <w:r>
        <w:t xml:space="preserve"> </w:t>
      </w:r>
      <w:r>
        <w:t xml:space="preserve">reputation and never a direct trigger. On a synthetic compromise corpus covering</w:t>
      </w:r>
      <w:r>
        <w:t xml:space="preserve"> </w:t>
      </w:r>
      <w:r>
        <w:t xml:space="preserve">gradual drift, abrupt deviation and intermittent misbehavior, it detected every</w:t>
      </w:r>
      <w:r>
        <w:t xml:space="preserve"> </w:t>
      </w:r>
      <w:r>
        <w:t xml:space="preserve">injected compromise with no false exclusions, where a static-policy baseline had</w:t>
      </w:r>
      <w:r>
        <w:t xml:space="preserve"> </w:t>
      </w:r>
      <w:r>
        <w:t xml:space="preserve">a false-positive rate of 0.21. At a 1% attack base rate its precision was 1.00</w:t>
      </w:r>
      <w:r>
        <w:t xml:space="preserve"> </w:t>
      </w:r>
      <w:r>
        <w:t xml:space="preserve">against the baseline’s 0.03, and it detected sooner (16.6 against 29.4 [TODO:</w:t>
      </w:r>
      <w:r>
        <w:t xml:space="preserve"> </w:t>
      </w:r>
      <w:r>
        <w:t xml:space="preserve">units]). The anomaly layer’s recommendations are presented to an operator rather</w:t>
      </w:r>
      <w:r>
        <w:t xml:space="preserve"> </w:t>
      </w:r>
      <w:r>
        <w:t xml:space="preserve">than acted on automatically. [TODO: result: recommendation reaching an operator</w:t>
      </w:r>
      <w:r>
        <w:t xml:space="preserve"> </w:t>
      </w:r>
      <w:r>
        <w:t xml:space="preserve">in a live cohort.]</w:t>
      </w:r>
    </w:p>
    <w:bookmarkEnd w:id="20"/>
    <w:bookmarkStart w:id="21" w:name="X9acc7b77818d51a0899e183e53b30360c66e27e"/>
    <w:p>
      <w:pPr>
        <w:pStyle w:val="Heading2"/>
      </w:pPr>
      <w:r>
        <w:t xml:space="preserve">5. Second class: tampered and unauthorized software</w:t>
      </w:r>
    </w:p>
    <w:p>
      <w:pPr>
        <w:pStyle w:val="FirstParagraph"/>
      </w:pPr>
      <w:r>
        <w:t xml:space="preserve">The topic’s Q&amp;A confirms that preventing execution of unauthenticated or</w:t>
      </w:r>
      <w:r>
        <w:t xml:space="preserve"> </w:t>
      </w:r>
      <w:r>
        <w:t xml:space="preserve">tampered firmware, updates or commands counts as a single class, and the</w:t>
      </w:r>
      <w:r>
        <w:t xml:space="preserve"> </w:t>
      </w:r>
      <w:r>
        <w:t xml:space="preserve">prototype prevents it as well. AT’s fleet-update extension accepts an update</w:t>
      </w:r>
      <w:r>
        <w:t xml:space="preserve"> </w:t>
      </w:r>
      <w:r>
        <w:t xml:space="preserve">only if the proposal is Ed25519-signed, the proposer holds sufficient</w:t>
      </w:r>
      <w:r>
        <w:t xml:space="preserve"> </w:t>
      </w:r>
      <w:r>
        <w:t xml:space="preserve">reputation, and the cohort approves it by Paxos vote. The artifact is</w:t>
      </w:r>
      <w:r>
        <w:t xml:space="preserve"> </w:t>
      </w:r>
      <w:r>
        <w:t xml:space="preserve">BLAKE2b-256 hashed and transferred in 960-byte chunks, and after installation a</w:t>
      </w:r>
      <w:r>
        <w:t xml:space="preserve"> </w:t>
      </w:r>
      <w:r>
        <w:t xml:space="preserve">health check triggers automatic rollback if the new build misbehaves. Release</w:t>
      </w:r>
      <w:r>
        <w:t xml:space="preserve"> </w:t>
      </w:r>
      <w:r>
        <w:t xml:space="preserve">binaries are signed at build time and verified before they load, and the root</w:t>
      </w:r>
      <w:r>
        <w:t xml:space="preserve"> </w:t>
      </w:r>
      <w:r>
        <w:t xml:space="preserve">filesystem is protected by dm-verity. Configuration can be pushed through the</w:t>
      </w:r>
      <w:r>
        <w:t xml:space="preserve"> </w:t>
      </w:r>
      <w:r>
        <w:t xml:space="preserve">same path, but never a node’s identity, which the update service refuses</w:t>
      </w:r>
      <w:r>
        <w:t xml:space="preserve"> </w:t>
      </w:r>
      <w:r>
        <w:t xml:space="preserve">outright.</w:t>
      </w:r>
    </w:p>
    <w:p>
      <w:pPr>
        <w:pStyle w:val="BodyText"/>
      </w:pPr>
      <w:r>
        <w:t xml:space="preserve">[TODO: result: on-hardware demonstration that (a) a tampered image is refused at</w:t>
      </w:r>
      <w:r>
        <w:t xml:space="preserve"> </w:t>
      </w:r>
      <w:r>
        <w:t xml:space="preserve">boot, (b) an unsigned update is refused by the cohort, and (c) a signed but</w:t>
      </w:r>
      <w:r>
        <w:t xml:space="preserve"> </w:t>
      </w:r>
      <w:r>
        <w:t xml:space="preserve">faulty update is rolled back autonomously, with timings for each.]</w:t>
      </w:r>
    </w:p>
    <w:bookmarkEnd w:id="21"/>
    <w:bookmarkStart w:id="22" w:name="other-attack-classes-already-handled"/>
    <w:p>
      <w:pPr>
        <w:pStyle w:val="Heading2"/>
      </w:pPr>
      <w:r>
        <w:t xml:space="preserve">6. Other attack classes already handled</w:t>
      </w:r>
    </w:p>
    <w:p>
      <w:pPr>
        <w:pStyle w:val="FirstParagraph"/>
      </w:pPr>
      <w:r>
        <w:t xml:space="preserve">These are not the subject of the demonstration but bear on the Phase II claim</w:t>
      </w:r>
      <w:r>
        <w:t xml:space="preserve"> </w:t>
      </w:r>
      <w:r>
        <w:t xml:space="preserve">that the approach extends across classes.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Replay.</w:t>
      </w:r>
      <w:r>
        <w:t xml:space="preserve"> </w:t>
      </w:r>
      <w:r>
        <w:t xml:space="preserve">Every protocol verb carries a per-sender sequence number, and each</w:t>
      </w:r>
      <w:r>
        <w:t xml:space="preserve"> </w:t>
      </w:r>
      <w:r>
        <w:t xml:space="preserve">receiver keeps a persisted high-water mark per sender and verb, in both</w:t>
      </w:r>
      <w:r>
        <w:t xml:space="preserve"> </w:t>
      </w:r>
      <w:r>
        <w:t xml:space="preserve">runtimes.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Man-in-the-middle.</w:t>
      </w:r>
      <w:r>
        <w:t xml:space="preserve"> </w:t>
      </w:r>
      <w:r>
        <w:t xml:space="preserve">All traffic is authenticated and encrypted</w:t>
      </w:r>
      <w:r>
        <w:t xml:space="preserve"> </w:t>
      </w:r>
      <w:r>
        <w:t xml:space="preserve">(X25519 + XSalsa20-Poly1305, Ed25519 signatures).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Sybil.</w:t>
      </w:r>
      <w:r>
        <w:t xml:space="preserve"> </w:t>
      </w:r>
      <w:r>
        <w:t xml:space="preserve">New identities must win an admission vote whose electorate is the</w:t>
      </w:r>
      <w:r>
        <w:t xml:space="preserve"> </w:t>
      </w:r>
      <w:r>
        <w:t xml:space="preserve">existing members, first-contact peers count in no quorum, and a returning</w:t>
      </w:r>
      <w:r>
        <w:t xml:space="preserve"> </w:t>
      </w:r>
      <w:r>
        <w:t xml:space="preserve">UUID must present the keys on record. Sybils are bounded at admission rather</w:t>
      </w:r>
      <w:r>
        <w:t xml:space="preserve"> </w:t>
      </w:r>
      <w:r>
        <w:t xml:space="preserve">than hunted in the transaction graph.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On-off and reputation gaming.</w:t>
      </w:r>
      <w:r>
        <w:t xml:space="preserve"> </w:t>
      </w:r>
      <w:r>
        <w:t xml:space="preserve">Exclusion is sticky; new identities start at</w:t>
      </w:r>
      <w:r>
        <w:t xml:space="preserve"> </w:t>
      </w:r>
      <w:r>
        <w:t xml:space="preserve">zero trust, so discarding a damaged identity buys nothing.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Partition.</w:t>
      </w:r>
      <w:r>
        <w:t xml:space="preserve"> </w:t>
      </w:r>
      <w:r>
        <w:t xml:space="preserve">Autonomous detection and recovery, with capped admission and</w:t>
      </w:r>
      <w:r>
        <w:t xml:space="preserve"> </w:t>
      </w:r>
      <w:r>
        <w:t xml:space="preserve">signed reconciliation as in §3.5.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Revoked credentials.</w:t>
      </w:r>
      <w:r>
        <w:t xml:space="preserve"> </w:t>
      </w:r>
      <w:r>
        <w:t xml:space="preserve">An X.509 verifier checks OCSP and CRL, defers</w:t>
      </w:r>
      <w:r>
        <w:t xml:space="preserve"> </w:t>
      </w:r>
      <w:r>
        <w:t xml:space="preserve">verification under DDIL, and accepts delegated verification by quorum.</w:t>
      </w:r>
    </w:p>
    <w:p>
      <w:pPr>
        <w:pStyle w:val="FirstParagraph"/>
      </w:pPr>
      <w:r>
        <w:t xml:space="preserve">[TODO: result: saved output from the Sybil, MITM, replay and compromise red-team</w:t>
      </w:r>
      <w:r>
        <w:t xml:space="preserve"> </w:t>
      </w:r>
      <w:r>
        <w:t xml:space="preserve">harnesses.]</w:t>
      </w:r>
    </w:p>
    <w:bookmarkEnd w:id="22"/>
    <w:bookmarkStart w:id="23" w:name="scaling"/>
    <w:p>
      <w:pPr>
        <w:pStyle w:val="Heading2"/>
      </w:pPr>
      <w:r>
        <w:t xml:space="preserve">7. Scaling</w:t>
      </w:r>
    </w:p>
    <w:p>
      <w:pPr>
        <w:pStyle w:val="FirstParagraph"/>
      </w:pPr>
      <w:r>
        <w:t xml:space="preserve">The cohort-and-hierarchy structure in §3.4 is what scales; a flat cohort is not</w:t>
      </w:r>
      <w:r>
        <w:t xml:space="preserve"> </w:t>
      </w:r>
      <w:r>
        <w:t xml:space="preserve">meant to. Cohorts of 16 and 25 peers form, admit and detect anomalies cleanly in</w:t>
      </w:r>
      <w:r>
        <w:t xml:space="preserve"> </w:t>
      </w:r>
      <w:r>
        <w:t xml:space="preserve">emulation. [TODO: result: 100-node run with admission time, detection latency</w:t>
      </w:r>
      <w:r>
        <w:t xml:space="preserve"> </w:t>
      </w:r>
      <w:r>
        <w:t xml:space="preserve">and per-node message overhead against node count.] [TODO: result: hierarchical</w:t>
      </w:r>
      <w:r>
        <w:t xml:space="preserve"> </w:t>
      </w:r>
      <w:r>
        <w:t xml:space="preserve">run at [N] nodes across [k] gateway levels.] Phase II carries this to the</w:t>
      </w:r>
      <w:r>
        <w:t xml:space="preserve"> </w:t>
      </w:r>
      <w:r>
        <w:t xml:space="preserve">1,000-node range on a cluster.</w:t>
      </w:r>
    </w:p>
    <w:bookmarkEnd w:id="23"/>
    <w:bookmarkStart w:id="24" w:name="assurance-of-the-defense-itself"/>
    <w:p>
      <w:pPr>
        <w:pStyle w:val="Heading2"/>
      </w:pPr>
      <w:r>
        <w:t xml:space="preserve">8. Assurance of the defense itself</w:t>
      </w:r>
    </w:p>
    <w:p>
      <w:pPr>
        <w:pStyle w:val="FirstParagraph"/>
      </w:pPr>
      <w:r>
        <w:t xml:space="preserve">A defense that runs on every device is part of every device’s attack surface, so</w:t>
      </w:r>
      <w:r>
        <w:t xml:space="preserve"> </w:t>
      </w:r>
      <w:r>
        <w:t xml:space="preserve">we hold it to a higher standard than the software it protects. The C core is</w:t>
      </w:r>
      <w:r>
        <w:t xml:space="preserve"> </w:t>
      </w:r>
      <w:r>
        <w:t xml:space="preserve">under Frama-C/WP formal verification with ACSL contracts, at 100% proof on the</w:t>
      </w:r>
      <w:r>
        <w:t xml:space="preserve"> </w:t>
      </w:r>
      <w:r>
        <w:t xml:space="preserve">goals attempted (4,262 of 4,262 as of April 2026) and 53.6% function coverage.</w:t>
      </w:r>
      <w:r>
        <w:t xml:space="preserve"> </w:t>
      </w:r>
      <w:r>
        <w:t xml:space="preserve">[TODO: refreshed figures, including extensions.] A byte-for-byte conformance</w:t>
      </w:r>
      <w:r>
        <w:t xml:space="preserve"> </w:t>
      </w:r>
      <w:r>
        <w:t xml:space="preserve">corpus of 677 cases pins the C core to the Python reference with zero asymmetric</w:t>
      </w:r>
      <w:r>
        <w:t xml:space="preserve"> </w:t>
      </w:r>
      <w:r>
        <w:t xml:space="preserve">results, so behavior demonstrated in the reference is the behavior the device</w:t>
      </w:r>
      <w:r>
        <w:t xml:space="preserve"> </w:t>
      </w:r>
      <w:r>
        <w:t xml:space="preserve">runs. Untrusted input is parsed defensively (msgpack rather than pickle,</w:t>
      </w:r>
      <w:r>
        <w:t xml:space="preserve"> </w:t>
      </w:r>
      <w:r>
        <w:t xml:space="preserve">allowlisted configuration classes, NULL-guarded parsing), secrets are zeroed in</w:t>
      </w:r>
      <w:r>
        <w:t xml:space="preserve"> </w:t>
      </w:r>
      <w:r>
        <w:t xml:space="preserve">memory after use, and the agent runs under systemd confinement.</w:t>
      </w:r>
    </w:p>
    <w:bookmarkEnd w:id="24"/>
    <w:bookmarkStart w:id="25" w:name="conclusion-of-the-feasibility-effort"/>
    <w:p>
      <w:pPr>
        <w:pStyle w:val="Heading2"/>
      </w:pPr>
      <w:r>
        <w:t xml:space="preserve">9. Conclusion of the feasibility effort</w:t>
      </w:r>
    </w:p>
    <w:p>
      <w:pPr>
        <w:pStyle w:val="FirstParagraph"/>
      </w:pPr>
      <w:r>
        <w:t xml:space="preserve">The prototype prevents one attack class (tampered and unauthorized software) and</w:t>
      </w:r>
      <w:r>
        <w:t xml:space="preserve"> </w:t>
      </w:r>
      <w:r>
        <w:t xml:space="preserve">detects and contains a second (the compromised-but-credentialed node) on an edge</w:t>
      </w:r>
      <w:r>
        <w:t xml:space="preserve"> </w:t>
      </w:r>
      <w:r>
        <w:t xml:space="preserve">device, autonomously and without central infrastructure. Its architecture scales</w:t>
      </w:r>
      <w:r>
        <w:t xml:space="preserve"> </w:t>
      </w:r>
      <w:r>
        <w:t xml:space="preserve">by hierarchy, and its core is small, portable and formally verified. Phase II</w:t>
      </w:r>
      <w:r>
        <w:t xml:space="preserve"> </w:t>
      </w:r>
      <w:r>
        <w:t xml:space="preserve">broadens the classes, takes the defense down into the device’s boot chain and</w:t>
      </w:r>
      <w:r>
        <w:t xml:space="preserve"> </w:t>
      </w:r>
      <w:r>
        <w:t xml:space="preserve">process model, and demonstrates fight-through under independent attack.</w: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[TODO: compile. At minimum the AT whitepaper, NIST SP 800-207 and SP 800-160</w:t>
      </w:r>
      <w:r>
        <w:t xml:space="preserve"> </w:t>
      </w:r>
      <w:r>
        <w:t xml:space="preserve">Vol. 2, RFC 6962, and Axelsson,</w:t>
      </w:r>
      <w:r>
        <w:t xml:space="preserve"> </w:t>
      </w:r>
      <w:r>
        <w:t xml:space="preserve">“The base-rate fallacy and the difficulty of</w:t>
      </w:r>
      <w:r>
        <w:t xml:space="preserve"> </w:t>
      </w:r>
      <w:r>
        <w:t xml:space="preserve">intrusion detection,”</w:t>
      </w:r>
      <w:r>
        <w:t xml:space="preserve"> </w:t>
      </w:r>
      <w:r>
        <w:t xml:space="preserve">ACM TISSEC 3(3), 2000.]</w:t>
      </w:r>
    </w:p>
    <w:bookmarkEnd w:id="26"/>
    <w:bookmarkEnd w:id="27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rFonts w:ascii="Times New Roman" w:cs="Times New Roman" w:eastAsia="Times New Roman" w:hAnsi="Times New Roman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32"/>
      <w:szCs w:val="3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b/>
      <w:bCs/>
      <w:rFonts w:ascii="Times New Roman" w:cs="Times New Roman" w:eastAsia="Times New Roman" w:hAnsi="Times New Roman"/>
      <w:spacing w:val="15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2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2"/>
      <w:szCs w:val="22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="Times New Roman" w:cs="Times New Roman" w:eastAsia="Times New Roman" w:hAnsi="Times New Roman"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rFonts w:ascii="Times New Roman" w:cs="Times New Roman" w:eastAsia="Times New Roman" w:hAnsi="Times New Roman"/>
      <w:color w:val="00000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rFonts w:ascii="Times New Roman" w:cs="Times New Roman" w:eastAsia="Times New Roman" w:hAnsi="Times New Roman"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rFonts w:ascii="Times New Roman" w:cs="Times New Roman" w:eastAsia="Times New Roman" w:hAnsi="Times New Roman"/>
      <w:color w:val="000000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DAF27TZ01-DV002: Cyber Resiliency for Fog and Edge Computing Devices</dc:title>
  <dc:creator>TekFive, Inc.</dc:creator>
  <cp:keywords/>
  <dcterms:created xsi:type="dcterms:W3CDTF">2026-10-28T15:01:21Z</dcterms:created>
  <dcterms:modified xsi:type="dcterms:W3CDTF">2026-10-28T15:01:21Z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Volume 5: Feasibility Documentation (Phase I-Type Effort)</vt:lpwstr>
  </property>
</Properties>
</file>