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DAF27TZ01-DV002: Cyber Resiliency for Fog and Edge Computing Devices</w:t>
      </w:r>
    </w:p>
    <w:p>
      <w:pPr>
        <w:pStyle w:val="Subtitle"/>
      </w:pPr>
      <w:r>
        <w:t xml:space="preserve">Volume 2: Technical Volume (STTR Direct to Phase II)</w:t>
      </w:r>
    </w:p>
    <w:p>
      <w:pPr>
        <w:pStyle w:val="Author"/>
      </w:pPr>
      <w:r>
        <w:t xml:space="preserve">TekFive, Inc., with the McCrary Institute for Cyber and Critical Infrastructure Security, Auburn University</w:t>
      </w:r>
    </w:p>
    <w:p>
      <w:pPr>
        <w:pStyle w:val="FirstParagraph"/>
      </w:pPr>
      <w:r>
        <w:t xml:space="preserve">[TODO: standard restrictive legend per the DoW FY27 STTR BAA, and marking of</w:t>
      </w:r>
      <w:r>
        <w:t xml:space="preserve"> </w:t>
      </w:r>
      <w:r>
        <w:t xml:space="preserve">proprietary pages. The Work Plan must carry none.]</w:t>
      </w:r>
    </w:p>
    <w:bookmarkStart w:id="34" w:name="X94a09b0cc9f93340796e69836549f5077fc6947"/>
    <w:p>
      <w:pPr>
        <w:pStyle w:val="Heading1"/>
      </w:pPr>
      <w:r>
        <w:t xml:space="preserve">AutonomousTrust: Fight-Through Resilience for Fog and Edge Devices</w:t>
      </w:r>
    </w:p>
    <w:bookmarkStart w:id="9" w:name="table-of-contents"/>
    <w:p>
      <w:pPr>
        <w:pStyle w:val="Heading2"/>
      </w:pPr>
      <w:r>
        <w:t xml:space="preserve">1) Table of Contents</w:t>
      </w:r>
    </w:p>
    <w:p>
      <w:pPr>
        <w:pStyle w:val="FirstParagraph"/>
      </w:pPr>
      <w:r>
        <w:t xml:space="preserve">[TODO: generate at layout.]</w:t>
      </w:r>
    </w:p>
    <w:bookmarkEnd w:id="9"/>
    <w:bookmarkStart w:id="10" w:name="glossary"/>
    <w:p>
      <w:pPr>
        <w:pStyle w:val="Heading2"/>
      </w:pPr>
      <w:r>
        <w:t xml:space="preserve">2) Glossary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ABMS</w:t>
            </w:r>
          </w:p>
        </w:tc>
        <w:tc>
          <w:tcPr/>
          <w:p>
            <w:pPr>
              <w:pStyle w:val="Compact"/>
            </w:pPr>
            <w:r>
              <w:t xml:space="preserve">Advanced Battle Management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ACSL</w:t>
            </w:r>
          </w:p>
        </w:tc>
        <w:tc>
          <w:tcPr/>
          <w:p>
            <w:pPr>
              <w:pStyle w:val="Compact"/>
            </w:pPr>
            <w:r>
              <w:t xml:space="preserve">ANSI/ISO C Specification Language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AFRL/RI</w:t>
            </w:r>
          </w:p>
        </w:tc>
        <w:tc>
          <w:tcPr/>
          <w:p>
            <w:pPr>
              <w:pStyle w:val="Compact"/>
            </w:pPr>
            <w:r>
              <w:t xml:space="preserve">Air Force Research Laboratory Information Directorate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APT</w:t>
            </w:r>
          </w:p>
        </w:tc>
        <w:tc>
          <w:tcPr/>
          <w:p>
            <w:pPr>
              <w:pStyle w:val="Compact"/>
            </w:pPr>
            <w:r>
              <w:t xml:space="preserve">Advanced persistent threat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</w:t>
            </w:r>
          </w:p>
        </w:tc>
        <w:tc>
          <w:tcPr/>
          <w:p>
            <w:pPr>
              <w:pStyle w:val="Compact"/>
            </w:pPr>
            <w:r>
              <w:t xml:space="preserve">AutonomousTrust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ATT&amp;CK</w:t>
            </w:r>
          </w:p>
        </w:tc>
        <w:tc>
          <w:tcPr/>
          <w:p>
            <w:pPr>
              <w:pStyle w:val="Compact"/>
            </w:pPr>
            <w:r>
              <w:t xml:space="preserve">MITRE Adversarial Tactics, Techniques and Common Knowledge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BPSec</w:t>
            </w:r>
          </w:p>
        </w:tc>
        <w:tc>
          <w:tcPr/>
          <w:p>
            <w:pPr>
              <w:pStyle w:val="Compact"/>
            </w:pPr>
            <w:r>
              <w:t xml:space="preserve">Bundle Protocol Security (RFC 9172)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C-SWaP</w:t>
            </w:r>
          </w:p>
        </w:tc>
        <w:tc>
          <w:tcPr/>
          <w:p>
            <w:pPr>
              <w:pStyle w:val="Compact"/>
            </w:pPr>
            <w:r>
              <w:t xml:space="preserve">Cost, size, weight and power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COA</w:t>
            </w:r>
          </w:p>
        </w:tc>
        <w:tc>
          <w:tcPr/>
          <w:p>
            <w:pPr>
              <w:pStyle w:val="Compact"/>
            </w:pPr>
            <w:r>
              <w:t xml:space="preserve">Course of 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DDIL</w:t>
            </w:r>
          </w:p>
        </w:tc>
        <w:tc>
          <w:tcPr/>
          <w:p>
            <w:pPr>
              <w:pStyle w:val="Compact"/>
            </w:pPr>
            <w:r>
              <w:t xml:space="preserve">Denied, disrupted, intermittent and limited (communications)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DTN</w:t>
            </w:r>
          </w:p>
        </w:tc>
        <w:tc>
          <w:tcPr/>
          <w:p>
            <w:pPr>
              <w:pStyle w:val="Compact"/>
            </w:pPr>
            <w:r>
              <w:t xml:space="preserve">Delay-tolerant networking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FEC</w:t>
            </w:r>
          </w:p>
        </w:tc>
        <w:tc>
          <w:tcPr/>
          <w:p>
            <w:pPr>
              <w:pStyle w:val="Compact"/>
            </w:pPr>
            <w:r>
              <w:t xml:space="preserve">Fog and edge computing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IoBT</w:t>
            </w:r>
          </w:p>
        </w:tc>
        <w:tc>
          <w:tcPr/>
          <w:p>
            <w:pPr>
              <w:pStyle w:val="Compact"/>
            </w:pPr>
            <w:r>
              <w:t xml:space="preserve">Internet of Battle Things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IoST</w:t>
            </w:r>
          </w:p>
        </w:tc>
        <w:tc>
          <w:tcPr/>
          <w:p>
            <w:pPr>
              <w:pStyle w:val="Compact"/>
            </w:pPr>
            <w:r>
              <w:t xml:space="preserve">Internet of Space Things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OCSP / CRL</w:t>
            </w:r>
          </w:p>
        </w:tc>
        <w:tc>
          <w:tcPr/>
          <w:p>
            <w:pPr>
              <w:pStyle w:val="Compact"/>
            </w:pPr>
            <w:r>
              <w:t xml:space="preserve">Online Certificate Status Protocol / Certificate Revocation 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</w:t>
            </w:r>
          </w:p>
        </w:tc>
        <w:tc>
          <w:tcPr/>
          <w:p>
            <w:pPr>
              <w:pStyle w:val="Compact"/>
            </w:pPr>
            <w:r>
              <w:t xml:space="preserve">Principal Investigator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SBOM</w:t>
            </w:r>
          </w:p>
        </w:tc>
        <w:tc>
          <w:tcPr/>
          <w:p>
            <w:pPr>
              <w:pStyle w:val="Compact"/>
            </w:pPr>
            <w:r>
              <w:t xml:space="preserve">Software bill of materials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SPARTA</w:t>
            </w:r>
          </w:p>
        </w:tc>
        <w:tc>
          <w:tcPr/>
          <w:p>
            <w:pPr>
              <w:pStyle w:val="Compact"/>
            </w:pPr>
            <w:r>
              <w:t xml:space="preserve">Space Attack Research and Tactic Analysis (Aerospace Corporation)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sUAS</w:t>
            </w:r>
          </w:p>
        </w:tc>
        <w:tc>
          <w:tcPr/>
          <w:p>
            <w:pPr>
              <w:pStyle w:val="Compact"/>
            </w:pPr>
            <w:r>
              <w:t xml:space="preserve">Small unmanned aircraft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TEE</w:t>
            </w:r>
          </w:p>
        </w:tc>
        <w:tc>
          <w:tcPr/>
          <w:p>
            <w:pPr>
              <w:pStyle w:val="Compact"/>
            </w:pPr>
            <w:r>
              <w:t xml:space="preserve">Trusted execution environment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TPOC</w:t>
            </w:r>
          </w:p>
        </w:tc>
        <w:tc>
          <w:tcPr/>
          <w:p>
            <w:pPr>
              <w:pStyle w:val="Compact"/>
            </w:pPr>
            <w:r>
              <w:t xml:space="preserve">Technical point of contact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ZTA</w:t>
            </w:r>
          </w:p>
        </w:tc>
        <w:tc>
          <w:tcPr/>
          <w:p>
            <w:pPr>
              <w:pStyle w:val="Compact"/>
            </w:pPr>
            <w:r>
              <w:t xml:space="preserve">Zero Trust Architecture (NIST SP 800-207)</w:t>
            </w:r>
          </w:p>
        </w:tc>
      </w:tr>
    </w:tbl>
    <w:p>
      <w:pPr>
        <w:pStyle w:val="BodyText"/>
      </w:pPr>
      <w:r>
        <w:t xml:space="preserve">[TODO: complete at final edit.]</w:t>
      </w:r>
    </w:p>
    <w:bookmarkEnd w:id="10"/>
    <w:bookmarkStart w:id="11" w:name="milestone-identification"/>
    <w:p>
      <w:pPr>
        <w:pStyle w:val="Heading2"/>
      </w:pPr>
      <w:r>
        <w:t xml:space="preserve">3) Milestone Identification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Milestone</w:t>
            </w:r>
          </w:p>
        </w:tc>
        <w:tc>
          <w:tcPr/>
          <w:p>
            <w:pPr>
              <w:pStyle w:val="Compact"/>
            </w:pPr>
            <w:r>
              <w:t xml:space="preserve">Month</w:t>
            </w:r>
          </w:p>
        </w:tc>
        <w:tc>
          <w:tcPr/>
          <w:p>
            <w:pPr>
              <w:pStyle w:val="Compact"/>
            </w:pPr>
            <w:r>
              <w:t xml:space="preserve">Event and deliverable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Kickoff with the TPOCs; reference platforms and fight-through scenarios confirmed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Attack-class taxonomy, threat model and test plan; attack set and thresholds pre-registered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Device-integrity design review; first McCrary campaign against the baseline fabric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Device integrity and C anomaly layer complete; mid-term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AI-integrity and fog-tier resilience complete; COA selection interface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M6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Platform integration complete; 1,000-node scaling study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M7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Pre-exercise campaigns complete; readiness review; prototype installed for the Government exercise at AFRL/RI, Rome, NY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M8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Government-run red-team exercise, AFRL/RI, Rome, NY: supply-chain and remote-exploit fight-through [TODO: date per Government]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M9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Final report, assurance evidence package, transition plan</w:t>
            </w:r>
          </w:p>
        </w:tc>
      </w:tr>
    </w:tbl>
    <w:p>
      <w:pPr>
        <w:pStyle w:val="BodyText"/>
      </w:pPr>
      <w:r>
        <w:t xml:space="preserve">Status reports are delivered quarterly throughout.</w:t>
      </w:r>
    </w:p>
    <w:bookmarkEnd w:id="11"/>
    <w:bookmarkStart w:id="12" w:name="X80a13a3a700a3463d65911b6c2372f961572588"/>
    <w:p>
      <w:pPr>
        <w:pStyle w:val="Heading2"/>
      </w:pPr>
      <w:r>
        <w:t xml:space="preserve">4) Identification and Significance of the Problem or Opportunity</w:t>
      </w:r>
    </w:p>
    <w:p>
      <w:pPr>
        <w:pStyle w:val="FirstParagraph"/>
      </w:pPr>
      <w:r>
        <w:t xml:space="preserve">The fog and edge devices the Air Force and Space Force are fielding (small UAS,</w:t>
      </w:r>
      <w:r>
        <w:t xml:space="preserve"> </w:t>
      </w:r>
      <w:r>
        <w:t xml:space="preserve">small satellites, battlefield sensors and the gateways that aggregate them) are</w:t>
      </w:r>
      <w:r>
        <w:t xml:space="preserve"> </w:t>
      </w:r>
      <w:r>
        <w:t xml:space="preserve">where processing is moving and where the defender has the least help. An edge</w:t>
      </w:r>
      <w:r>
        <w:t xml:space="preserve"> </w:t>
      </w:r>
      <w:r>
        <w:t xml:space="preserve">node is small, long-lived and frequently out of touch with anything resembling a</w:t>
      </w:r>
      <w:r>
        <w:t xml:space="preserve"> </w:t>
      </w:r>
      <w:r>
        <w:t xml:space="preserve">security operations center. It cannot pull a fifty-megabyte revocation list over</w:t>
      </w:r>
      <w:r>
        <w:t xml:space="preserve"> </w:t>
      </w:r>
      <w:r>
        <w:t xml:space="preserve">a constrained link, it cannot wait on a cloud analytics service to tell it a</w:t>
      </w:r>
      <w:r>
        <w:t xml:space="preserve"> </w:t>
      </w:r>
      <w:r>
        <w:t xml:space="preserve">neighbor has gone bad, and if it is a satellite or a downed aircraft it will not</w:t>
      </w:r>
      <w:r>
        <w:t xml:space="preserve"> </w:t>
      </w:r>
      <w:r>
        <w:t xml:space="preserve">be physically reached again. The topic names the threats plainly: implants</w:t>
      </w:r>
      <w:r>
        <w:t xml:space="preserve"> </w:t>
      </w:r>
      <w:r>
        <w:t xml:space="preserve">delivered through the supply chain, remote exploitation over wireless channels,</w:t>
      </w:r>
      <w:r>
        <w:t xml:space="preserve"> </w:t>
      </w:r>
      <w:r>
        <w:t xml:space="preserve">physical access to captured or downed devices, and attacks on the AI algorithms</w:t>
      </w:r>
      <w:r>
        <w:t xml:space="preserve"> </w:t>
      </w:r>
      <w:r>
        <w:t xml:space="preserve">the devices run.</w:t>
      </w:r>
    </w:p>
    <w:p>
      <w:pPr>
        <w:pStyle w:val="BodyText"/>
      </w:pPr>
      <w:r>
        <w:t xml:space="preserve">Current defenses answer badly at this scale. Perimeter and network-based</w:t>
      </w:r>
      <w:r>
        <w:t xml:space="preserve"> </w:t>
      </w:r>
      <w:r>
        <w:t xml:space="preserve">defenses do nothing for a node that was compromised before it was fielded.</w:t>
      </w:r>
      <w:r>
        <w:t xml:space="preserve"> </w:t>
      </w:r>
      <w:r>
        <w:t xml:space="preserve">Conventional Zero Trust depends on a reachable policy engine and certificate</w:t>
      </w:r>
      <w:r>
        <w:t xml:space="preserve"> </w:t>
      </w:r>
      <w:r>
        <w:t xml:space="preserve">authority; SP 800-207 §5.2 says that no new connection can be approved when they</w:t>
      </w:r>
      <w:r>
        <w:t xml:space="preserve"> </w:t>
      </w:r>
      <w:r>
        <w:t xml:space="preserve">are unreachable, and every such design then collapses to fail-open or</w:t>
      </w:r>
      <w:r>
        <w:t xml:space="preserve"> </w:t>
      </w:r>
      <w:r>
        <w:t xml:space="preserve">fail-closed. Hardware-centric defenses (obfuscation, redundancy, FPGAs, custom</w:t>
      </w:r>
      <w:r>
        <w:t xml:space="preserve"> </w:t>
      </w:r>
      <w:r>
        <w:t xml:space="preserve">processors) cost more than many of these platforms can carry, and approaches</w:t>
      </w:r>
      <w:r>
        <w:t xml:space="preserve"> </w:t>
      </w:r>
      <w:r>
        <w:t xml:space="preserve">built on special-purpose compilers do not get adopted. Most important, nearly</w:t>
      </w:r>
      <w:r>
        <w:t xml:space="preserve"> </w:t>
      </w:r>
      <w:r>
        <w:t xml:space="preserve">all of them treat a device holding valid credentials as trustworthy until a</w:t>
      </w:r>
      <w:r>
        <w:t xml:space="preserve"> </w:t>
      </w:r>
      <w:r>
        <w:t xml:space="preserve">human says otherwise, and the topic is right that remote assets cannot wait for</w:t>
      </w:r>
      <w:r>
        <w:t xml:space="preserve"> </w:t>
      </w:r>
      <w:r>
        <w:t xml:space="preserve">a human.</w:t>
      </w:r>
    </w:p>
    <w:p>
      <w:pPr>
        <w:pStyle w:val="BodyText"/>
      </w:pPr>
      <w:r>
        <w:t xml:space="preserve">The opportunity is to make the devices defend each other. AutonomousTrust (AT)</w:t>
      </w:r>
      <w:r>
        <w:t xml:space="preserve"> </w:t>
      </w:r>
      <w:r>
        <w:t xml:space="preserve">puts the trust decision on the device and makes it collective: each node</w:t>
      </w:r>
      <w:r>
        <w:t xml:space="preserve"> </w:t>
      </w:r>
      <w:r>
        <w:t xml:space="preserve">evaluates its peers continuously, the cohort agrees changes in standing by</w:t>
      </w:r>
      <w:r>
        <w:t xml:space="preserve"> </w:t>
      </w:r>
      <w:r>
        <w:t xml:space="preserve">consensus, and a node’s access follows its standing automatically. Nothing on</w:t>
      </w:r>
      <w:r>
        <w:t xml:space="preserve"> </w:t>
      </w:r>
      <w:r>
        <w:t xml:space="preserve">that path waits on a central authority, so it works under jamming and light-lag,</w:t>
      </w:r>
      <w:r>
        <w:t xml:space="preserve"> </w:t>
      </w:r>
      <w:r>
        <w:t xml:space="preserve">and because each decision involves only a node’s cohort and a short path up a</w:t>
      </w:r>
      <w:r>
        <w:t xml:space="preserve"> </w:t>
      </w:r>
      <w:r>
        <w:t xml:space="preserve">hierarchy of gateways, it scales by adding cohorts. AT is portable C11 on</w:t>
      </w:r>
      <w:r>
        <w:t xml:space="preserve"> </w:t>
      </w:r>
      <w:r>
        <w:t xml:space="preserve">standard toolchains, needs no special hardware, and is itself under formal</w:t>
      </w:r>
      <w:r>
        <w:t xml:space="preserve"> </w:t>
      </w:r>
      <w:r>
        <w:t xml:space="preserve">verification. Volume 5 documents the feasibility prototype, which prevents</w:t>
      </w:r>
      <w:r>
        <w:t xml:space="preserve"> </w:t>
      </w:r>
      <w:r>
        <w:t xml:space="preserve">tampered and unauthorized software and autonomously detects and contains a</w:t>
      </w:r>
      <w:r>
        <w:t xml:space="preserve"> </w:t>
      </w:r>
      <w:r>
        <w:t xml:space="preserve">compromised-but-credentialed edge node.</w:t>
      </w:r>
    </w:p>
    <w:p>
      <w:pPr>
        <w:pStyle w:val="BodyText"/>
      </w:pPr>
      <w:r>
        <w:t xml:space="preserve">This Phase II effort takes that prototype to the device level and to the attack</w:t>
      </w:r>
      <w:r>
        <w:t xml:space="preserve"> </w:t>
      </w:r>
      <w:r>
        <w:t xml:space="preserve">classes the topic names, and ends with the fight-through demonstration the topic</w:t>
      </w:r>
      <w:r>
        <w:t xml:space="preserve"> </w:t>
      </w:r>
      <w:r>
        <w:t xml:space="preserve">calls essential: a fleet that completes its mission while a supply-chain or</w:t>
      </w:r>
      <w:r>
        <w:t xml:space="preserve"> </w:t>
      </w:r>
      <w:r>
        <w:t xml:space="preserve">remote-exploit compromise is present in it.</w:t>
      </w:r>
    </w:p>
    <w:bookmarkEnd w:id="12"/>
    <w:bookmarkStart w:id="20" w:name="phase-ii-technical-objectives"/>
    <w:p>
      <w:pPr>
        <w:pStyle w:val="Heading2"/>
      </w:pPr>
      <w:r>
        <w:t xml:space="preserve">5) Phase II Technical Objectives</w:t>
      </w:r>
    </w:p>
    <w:p>
      <w:pPr>
        <w:pStyle w:val="FirstParagraph"/>
      </w:pPr>
      <w:r>
        <w:t xml:space="preserve">The Phase II work is organized around seven objectives. For each we give the</w:t>
      </w:r>
      <w:r>
        <w:t xml:space="preserve"> </w:t>
      </w:r>
      <w:r>
        <w:t xml:space="preserve">approach, the method, and the commercial application, since the instructions ask</w:t>
      </w:r>
      <w:r>
        <w:t xml:space="preserve"> </w:t>
      </w:r>
      <w:r>
        <w:t xml:space="preserve">for the last and because we expect each to stand on its own commercially.</w:t>
      </w:r>
    </w:p>
    <w:bookmarkStart w:id="13" w:name="Xbbdec20d50a2983dd95f1c1f01e6d7df9db1845"/>
    <w:p>
      <w:pPr>
        <w:pStyle w:val="Heading3"/>
      </w:pPr>
      <w:r>
        <w:t xml:space="preserve">O1. Attack-class taxonomy, threat model and test plan</w:t>
      </w:r>
    </w:p>
    <w:p>
      <w:pPr>
        <w:pStyle w:val="FirstParagraph"/>
      </w:pPr>
      <w:r>
        <w:rPr>
          <w:b/>
          <w:bCs/>
        </w:rPr>
        <w:t xml:space="preserve">Approach.</w:t>
      </w:r>
      <w:r>
        <w:t xml:space="preserve"> </w:t>
      </w:r>
      <w:r>
        <w:t xml:space="preserve">The McCrary Institute builds the attack-class taxonomy for air and</w:t>
      </w:r>
      <w:r>
        <w:t xml:space="preserve"> </w:t>
      </w:r>
      <w:r>
        <w:t xml:space="preserve">space FEC devices from MITRE ATT&amp;CK for ICS and Enterprise, the Aerospace</w:t>
      </w:r>
      <w:r>
        <w:t xml:space="preserve"> </w:t>
      </w:r>
      <w:r>
        <w:t xml:space="preserve">Corporation’s SPARTA matrix, the FEC and IoBT literature and its own operational</w:t>
      </w:r>
      <w:r>
        <w:t xml:space="preserve"> </w:t>
      </w:r>
      <w:r>
        <w:t xml:space="preserve">experience, and maps each class to the AT mechanism expected to handle it and to</w:t>
      </w:r>
      <w:r>
        <w:t xml:space="preserve"> </w:t>
      </w:r>
      <w:r>
        <w:t xml:space="preserve">the SP 800-160 Vol. 2 cyber-resiliency techniques. The starting inventory is in</w:t>
      </w:r>
      <w:r>
        <w:t xml:space="preserve"> </w:t>
      </w:r>
      <w:r>
        <w:t xml:space="preserve">Table 1.</w:t>
      </w:r>
    </w:p>
    <w:p>
      <w:pPr>
        <w:pStyle w:val="BodyText"/>
      </w:pPr>
      <w:r>
        <w:rPr>
          <w:b/>
          <w:bCs/>
        </w:rPr>
        <w:t xml:space="preserve">Method.</w:t>
      </w:r>
      <w:r>
        <w:t xml:space="preserve"> </w:t>
      </w:r>
      <w:r>
        <w:t xml:space="preserve">The taxonomy, the reference platforms, the fight-through scenario,</w:t>
      </w:r>
      <w:r>
        <w:t xml:space="preserve"> </w:t>
      </w:r>
      <w:r>
        <w:t xml:space="preserve">the metrics and their thresholds are agreed with the TPOCs and pre-registered</w:t>
      </w:r>
      <w:r>
        <w:t xml:space="preserve"> </w:t>
      </w:r>
      <w:r>
        <w:t xml:space="preserve">before any measurement, so that results cannot be tuned to the test. McCrary</w:t>
      </w:r>
      <w:r>
        <w:t xml:space="preserve"> </w:t>
      </w:r>
      <w:r>
        <w:t xml:space="preserve">leads; TekFive contributes the mechanism mapping.</w:t>
      </w:r>
    </w:p>
    <w:p>
      <w:pPr>
        <w:pStyle w:val="BodyText"/>
      </w:pPr>
      <w:r>
        <w:rPr>
          <w:b/>
          <w:bCs/>
        </w:rPr>
        <w:t xml:space="preserve">Commercial application.</w:t>
      </w:r>
      <w:r>
        <w:t xml:space="preserve"> </w:t>
      </w:r>
      <w:r>
        <w:t xml:space="preserve">A tested mapping from edge attack classes to</w:t>
      </w:r>
      <w:r>
        <w:t xml:space="preserve"> </w:t>
      </w:r>
      <w:r>
        <w:t xml:space="preserve">defensive mechanisms is directly reusable for industrial-control and</w:t>
      </w:r>
      <w:r>
        <w:t xml:space="preserve"> </w:t>
      </w:r>
      <w:r>
        <w:t xml:space="preserve">commercial-constellation customers, both of whom have to show regulators and</w:t>
      </w:r>
      <w:r>
        <w:t xml:space="preserve"> </w:t>
      </w:r>
      <w:r>
        <w:t xml:space="preserve">insurers which threats a control addresses.</w:t>
      </w:r>
    </w:p>
    <w:p>
      <w:pPr>
        <w:pStyle w:val="BodyText"/>
      </w:pPr>
      <w:r>
        <w:rPr>
          <w:i/>
          <w:iCs/>
        </w:rPr>
        <w:t xml:space="preserve">Table 1. Starting inventory of attack classes.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Attack class</w:t>
            </w:r>
          </w:p>
        </w:tc>
        <w:tc>
          <w:tcPr/>
          <w:p>
            <w:pPr>
              <w:pStyle w:val="Compact"/>
            </w:pPr>
            <w:r>
              <w:t xml:space="preserve">Example on an FEC device</w:t>
            </w:r>
          </w:p>
        </w:tc>
        <w:tc>
          <w:tcPr/>
          <w:p>
            <w:pPr>
              <w:pStyle w:val="Compact"/>
            </w:pPr>
            <w:r>
              <w:t xml:space="preserve">AT mechanism in the prototype</w:t>
            </w:r>
          </w:p>
        </w:tc>
        <w:tc>
          <w:tcPr/>
          <w:p>
            <w:pPr>
              <w:pStyle w:val="Compact"/>
            </w:pPr>
            <w:r>
              <w:t xml:space="preserve">Phase II 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Supply chain: tampered image or update</w:t>
            </w:r>
          </w:p>
        </w:tc>
        <w:tc>
          <w:tcPr/>
          <w:p>
            <w:pPr>
              <w:pStyle w:val="Compact"/>
            </w:pPr>
            <w:r>
              <w:t xml:space="preserve">Implanted firmware; an update signed with a stolen key</w:t>
            </w:r>
          </w:p>
        </w:tc>
        <w:tc>
          <w:tcPr/>
          <w:p>
            <w:pPr>
              <w:pStyle w:val="Compact"/>
            </w:pPr>
            <w:r>
              <w:t xml:space="preserve">Signed, reputation-gated, cohort-approved updates with hashed chunked transfer and automatic rollback; signed binaries verified at load; dm-verity root filesystem</w:t>
            </w:r>
          </w:p>
        </w:tc>
        <w:tc>
          <w:tcPr/>
          <w:p>
            <w:pPr>
              <w:pStyle w:val="Compact"/>
            </w:pPr>
            <w:r>
              <w:t xml:space="preserve">Measured boot; attestation from the platform’s own root of trust; reproducible builds and SBOM; behavioral check after update (O2)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Remote exploit leading to APT</w:t>
            </w:r>
          </w:p>
        </w:tc>
        <w:tc>
          <w:tcPr/>
          <w:p>
            <w:pPr>
              <w:pStyle w:val="Compact"/>
            </w:pPr>
            <w:r>
              <w:t xml:space="preserve">Memory-corruption exploit in a radio-facing service, followed by persistence and lateral movement</w:t>
            </w:r>
          </w:p>
        </w:tc>
        <w:tc>
          <w:tcPr/>
          <w:p>
            <w:pPr>
              <w:pStyle w:val="Compact"/>
            </w:pPr>
            <w:r>
              <w:t xml:space="preserve">Tier gating bounds what an exploited node can reach; defensive parsing; systemd confinement</w:t>
            </w:r>
          </w:p>
        </w:tc>
        <w:tc>
          <w:tcPr/>
          <w:p>
            <w:pPr>
              <w:pStyle w:val="Compact"/>
            </w:pPr>
            <w:r>
              <w:t xml:space="preserve">Subsystem process isolation (seccomp, Landlock); attestation refresh; behavioral detection of post-exploit activity; capability migration (O2, O3)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Physical capture of a downed device</w:t>
            </w:r>
          </w:p>
        </w:tc>
        <w:tc>
          <w:tcPr/>
          <w:p>
            <w:pPr>
              <w:pStyle w:val="Compact"/>
            </w:pPr>
            <w:r>
              <w:t xml:space="preserve">Key extraction or reflashing of a recovered sUAS</w:t>
            </w:r>
          </w:p>
        </w:tc>
        <w:tc>
          <w:tcPr/>
          <w:p>
            <w:pPr>
              <w:pStyle w:val="Compact"/>
            </w:pPr>
            <w:r>
              <w:t xml:space="preserve">Identity bound to keys on record; sticky exclusion; secrets zeroed in memory</w:t>
            </w:r>
          </w:p>
        </w:tc>
        <w:tc>
          <w:tcPr/>
          <w:p>
            <w:pPr>
              <w:pStyle w:val="Compact"/>
            </w:pPr>
            <w:r>
              <w:t xml:space="preserve">Rekey on exclusion; keys held in the platform’s secure storage where present; cohort-wide revocation of a captured identity (O2)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algorithm exploitation</w:t>
            </w:r>
          </w:p>
        </w:tc>
        <w:tc>
          <w:tcPr/>
          <w:p>
            <w:pPr>
              <w:pStyle w:val="Compact"/>
            </w:pPr>
            <w:r>
              <w:t xml:space="preserve">Adversarial input to an onboard detector; model tampering</w:t>
            </w:r>
          </w:p>
        </w:tc>
        <w:tc>
          <w:tcPr/>
          <w:p>
            <w:pPr>
              <w:pStyle w:val="Compact"/>
            </w:pPr>
            <w:r>
              <w:t xml:space="preserve">Cross-source physical-consistency fusion catches outputs inconsistent with peers and physics (demonstrated)</w:t>
            </w:r>
          </w:p>
        </w:tc>
        <w:tc>
          <w:tcPr/>
          <w:p>
            <w:pPr>
              <w:pStyle w:val="Compact"/>
            </w:pPr>
            <w:r>
              <w:t xml:space="preserve">Model-artifact integrity under O2; single-source plausibility models; robustness of AT’s own anomaly layer to evasion and poisoning (O4)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Compromised-but-credentialed node</w:t>
            </w:r>
          </w:p>
        </w:tc>
        <w:tc>
          <w:tcPr/>
          <w:p>
            <w:pPr>
              <w:pStyle w:val="Compact"/>
            </w:pPr>
            <w:r>
              <w:t xml:space="preserve">Any of the above, seen from outside: valid keys, wrong behavior</w:t>
            </w:r>
          </w:p>
        </w:tc>
        <w:tc>
          <w:tcPr/>
          <w:p>
            <w:pPr>
              <w:pStyle w:val="Compact"/>
            </w:pPr>
            <w:r>
              <w:t xml:space="preserve">Physical-consistency oracle; reputation; tier demotion; quorum-signed slash (demonstrated)</w:t>
            </w:r>
          </w:p>
        </w:tc>
        <w:tc>
          <w:tcPr/>
          <w:p>
            <w:pPr>
              <w:pStyle w:val="Compact"/>
            </w:pPr>
            <w:r>
              <w:t xml:space="preserve">Anomaly layer in the verified C core; independent test (O3, O7)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Sybil</w:t>
            </w:r>
          </w:p>
        </w:tc>
        <w:tc>
          <w:tcPr/>
          <w:p>
            <w:pPr>
              <w:pStyle w:val="Compact"/>
            </w:pPr>
            <w:r>
              <w:t xml:space="preserve">Fabricated identities to swing votes</w:t>
            </w:r>
          </w:p>
        </w:tc>
        <w:tc>
          <w:tcPr/>
          <w:p>
            <w:pPr>
              <w:pStyle w:val="Compact"/>
            </w:pPr>
            <w:r>
              <w:t xml:space="preserve">Member-only admission electorate; first-contact peers count in no quorum; returning identities must present keys on record</w:t>
            </w:r>
          </w:p>
        </w:tc>
        <w:tc>
          <w:tcPr/>
          <w:p>
            <w:pPr>
              <w:pStyle w:val="Compact"/>
            </w:pPr>
            <w:r>
              <w:t xml:space="preserve">Independent campaigns at scale (O7)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Byzantine and equivocation</w:t>
            </w:r>
          </w:p>
        </w:tc>
        <w:tc>
          <w:tcPr/>
          <w:p>
            <w:pPr>
              <w:pStyle w:val="Compact"/>
            </w:pPr>
            <w:r>
              <w:t xml:space="preserve">Node tells different peers different things</w:t>
            </w:r>
          </w:p>
        </w:tc>
        <w:tc>
          <w:tcPr/>
          <w:p>
            <w:pPr>
              <w:pStyle w:val="Compact"/>
            </w:pPr>
            <w:r>
              <w:t xml:space="preserve">Signed bilateral evidence; fork detection; operator-declared Byzantine quorum bounds</w:t>
            </w:r>
          </w:p>
        </w:tc>
        <w:tc>
          <w:tcPr/>
          <w:p>
            <w:pPr>
              <w:pStyle w:val="Compact"/>
            </w:pPr>
            <w:r>
              <w:t xml:space="preserve">Byzantine-safe quorum placement; long-partition island operation (O3)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Compromised fog gateway</w:t>
            </w:r>
          </w:p>
        </w:tc>
        <w:tc>
          <w:tcPr/>
          <w:p>
            <w:pPr>
              <w:pStyle w:val="Compact"/>
            </w:pPr>
            <w:r>
              <w:t xml:space="preserve">Gateway misreports or isolates its children (eclipse)</w:t>
            </w:r>
          </w:p>
        </w:tc>
        <w:tc>
          <w:tcPr/>
          <w:p>
            <w:pPr>
              <w:pStyle w:val="Compact"/>
            </w:pPr>
            <w:r>
              <w:t xml:space="preserve">Hierarchical reputation with deep queries that bypass a single gateway</w:t>
            </w:r>
          </w:p>
        </w:tc>
        <w:tc>
          <w:tcPr/>
          <w:p>
            <w:pPr>
              <w:pStyle w:val="Compact"/>
            </w:pPr>
            <w:r>
              <w:t xml:space="preserve">Redundant gateway paths; cross-checking of gateway reports (O3)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Replay</w:t>
            </w:r>
          </w:p>
        </w:tc>
        <w:tc>
          <w:tcPr/>
          <w:p>
            <w:pPr>
              <w:pStyle w:val="Compact"/>
            </w:pPr>
            <w:r>
              <w:t xml:space="preserve">Re-sent commands or votes</w:t>
            </w:r>
          </w:p>
        </w:tc>
        <w:tc>
          <w:tcPr/>
          <w:p>
            <w:pPr>
              <w:pStyle w:val="Compact"/>
            </w:pPr>
            <w:r>
              <w:t xml:space="preserve">Per-sender, per-verb sequence numbers with persisted high-water marks</w:t>
            </w:r>
          </w:p>
        </w:tc>
        <w:tc>
          <w:tcPr/>
          <w:p>
            <w:pPr>
              <w:pStyle w:val="Compact"/>
            </w:pPr>
            <w:r>
              <w:t xml:space="preserve">Independent test (O7)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Man-in-the-middle</w:t>
            </w:r>
          </w:p>
        </w:tc>
        <w:tc>
          <w:tcPr/>
          <w:p>
            <w:pPr>
              <w:pStyle w:val="Compact"/>
            </w:pPr>
            <w:r>
              <w:t xml:space="preserve">Interposed relay on a crosslink</w:t>
            </w:r>
          </w:p>
        </w:tc>
        <w:tc>
          <w:tcPr/>
          <w:p>
            <w:pPr>
              <w:pStyle w:val="Compact"/>
            </w:pPr>
            <w:r>
              <w:t xml:space="preserve">Authenticated encryption and signatures on all traffic</w:t>
            </w:r>
          </w:p>
        </w:tc>
        <w:tc>
          <w:tcPr/>
          <w:p>
            <w:pPr>
              <w:pStyle w:val="Compact"/>
            </w:pPr>
            <w:r>
              <w:t xml:space="preserve">BPSec on the Bundle Protocol path (O5)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Reputation gaming</w:t>
            </w:r>
          </w:p>
        </w:tc>
        <w:tc>
          <w:tcPr/>
          <w:p>
            <w:pPr>
              <w:pStyle w:val="Compact"/>
            </w:pPr>
            <w:r>
              <w:t xml:space="preserve">On-off behavior, collusion, whitewashing</w:t>
            </w:r>
          </w:p>
        </w:tc>
        <w:tc>
          <w:tcPr/>
          <w:p>
            <w:pPr>
              <w:pStyle w:val="Compact"/>
            </w:pPr>
            <w:r>
              <w:t xml:space="preserve">Sticky exclusion; new identities start at zero trust</w:t>
            </w:r>
          </w:p>
        </w:tc>
        <w:tc>
          <w:tcPr/>
          <w:p>
            <w:pPr>
              <w:pStyle w:val="Compact"/>
            </w:pPr>
            <w:r>
              <w:t xml:space="preserve">Collusion analysis; adversarial evaluation (O4, O7)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Denial of service</w:t>
            </w:r>
          </w:p>
        </w:tc>
        <w:tc>
          <w:tcPr/>
          <w:p>
            <w:pPr>
              <w:pStyle w:val="Compact"/>
            </w:pPr>
            <w:r>
              <w:t xml:space="preserve">Flooding a constrained link or a node’s queues</w:t>
            </w:r>
          </w:p>
        </w:tc>
        <w:tc>
          <w:tcPr/>
          <w:p>
            <w:pPr>
              <w:pStyle w:val="Compact"/>
            </w:pPr>
            <w:r>
              <w:t xml:space="preserve">Flood counters; bounded queues; rate-limited probes</w:t>
            </w:r>
          </w:p>
        </w:tc>
        <w:tc>
          <w:tcPr/>
          <w:p>
            <w:pPr>
              <w:pStyle w:val="Compact"/>
            </w:pPr>
            <w:r>
              <w:t xml:space="preserve">Streamed decryption with mid-message cutoff; per-peer budgets (O3)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Partition and jamming</w:t>
            </w:r>
          </w:p>
        </w:tc>
        <w:tc>
          <w:tcPr/>
          <w:p>
            <w:pPr>
              <w:pStyle w:val="Compact"/>
            </w:pPr>
            <w:r>
              <w:t xml:space="preserve">Contested crosslink or ground link</w:t>
            </w:r>
          </w:p>
        </w:tc>
        <w:tc>
          <w:tcPr/>
          <w:p>
            <w:pPr>
              <w:pStyle w:val="Compact"/>
            </w:pPr>
            <w:r>
              <w:t xml:space="preserve">Autonomous partition detection and recovery; capped admission under sub-threshold quorum; signed reconciliation</w:t>
            </w:r>
          </w:p>
        </w:tc>
        <w:tc>
          <w:tcPr/>
          <w:p>
            <w:pPr>
              <w:pStyle w:val="Compact"/>
            </w:pPr>
            <w:r>
              <w:t xml:space="preserve">Light-lag and contact-window operation (O5)</w:t>
            </w:r>
          </w:p>
        </w:tc>
      </w:tr>
    </w:tbl>
    <w:p>
      <w:pPr>
        <w:pStyle w:val="BodyText"/>
      </w:pPr>
      <w:r>
        <w:t xml:space="preserve">Two rows deserve a note. AT bounds Sybils at admission rather than detecting</w:t>
      </w:r>
      <w:r>
        <w:t xml:space="preserve"> </w:t>
      </w:r>
      <w:r>
        <w:t xml:space="preserve">them by behavior, which is a design choice: an identity that cannot vote cannot</w:t>
      </w:r>
      <w:r>
        <w:t xml:space="preserve"> </w:t>
      </w:r>
      <w:r>
        <w:t xml:space="preserve">swing a vote. And a large, patient colluding set can still move reputation</w:t>
      </w:r>
      <w:r>
        <w:t xml:space="preserve"> </w:t>
      </w:r>
      <w:r>
        <w:t xml:space="preserve">scores, as in any reputation system; what AT guarantees is that the adversary</w:t>
      </w:r>
      <w:r>
        <w:t xml:space="preserve"> </w:t>
      </w:r>
      <w:r>
        <w:t xml:space="preserve">pays for it with signed, auditable evidence and remains constrained by the</w:t>
      </w:r>
      <w:r>
        <w:t xml:space="preserve"> </w:t>
      </w:r>
      <w:r>
        <w:t xml:space="preserve">history-independent bases while doing so.</w:t>
      </w:r>
    </w:p>
    <w:bookmarkEnd w:id="13"/>
    <w:bookmarkStart w:id="14" w:name="o2.-device-level-integrity"/>
    <w:p>
      <w:pPr>
        <w:pStyle w:val="Heading3"/>
      </w:pPr>
      <w:r>
        <w:t xml:space="preserve">O2. Device-level integrity</w:t>
      </w:r>
    </w:p>
    <w:p>
      <w:pPr>
        <w:pStyle w:val="FirstParagraph"/>
      </w:pPr>
      <w:r>
        <w:rPr>
          <w:b/>
          <w:bCs/>
        </w:rPr>
        <w:t xml:space="preserve">Approach.</w:t>
      </w:r>
      <w:r>
        <w:t xml:space="preserve"> </w:t>
      </w:r>
      <w:r>
        <w:t xml:space="preserve">The prototype treats a node as a network participant. Phase II</w:t>
      </w:r>
      <w:r>
        <w:t xml:space="preserve"> </w:t>
      </w:r>
      <w:r>
        <w:t xml:space="preserve">treats it as a device with a boot chain, a software supply chain, a process</w:t>
      </w:r>
      <w:r>
        <w:t xml:space="preserve"> </w:t>
      </w:r>
      <w:r>
        <w:t xml:space="preserve">model and stored secrets, and makes each a source of evidence. Measured boot</w:t>
      </w:r>
      <w:r>
        <w:t xml:space="preserve"> </w:t>
      </w:r>
      <w:r>
        <w:t xml:space="preserve">records what the device actually started. Signed artifacts are verified at boot,</w:t>
      </w:r>
      <w:r>
        <w:t xml:space="preserve"> </w:t>
      </w:r>
      <w:r>
        <w:t xml:space="preserve">at load and at install, so an implant has to defeat three independent checks.</w:t>
      </w:r>
      <w:r>
        <w:t xml:space="preserve"> </w:t>
      </w:r>
      <w:r>
        <w:t xml:space="preserve">Builds become reproducible and carry an SBOM, so that the fleet can compare what</w:t>
      </w:r>
      <w:r>
        <w:t xml:space="preserve"> </w:t>
      </w:r>
      <w:r>
        <w:t xml:space="preserve">a device reports against what was built. AT’s own subsystems run as separate,</w:t>
      </w:r>
      <w:r>
        <w:t xml:space="preserve"> </w:t>
      </w:r>
      <w:r>
        <w:t xml:space="preserve">confined processes, so that a remote exploit in one cannot reach the node’s keys</w:t>
      </w:r>
      <w:r>
        <w:t xml:space="preserve"> </w:t>
      </w:r>
      <w:r>
        <w:t xml:space="preserve">or its reputation state.</w:t>
      </w:r>
    </w:p>
    <w:p>
      <w:pPr>
        <w:pStyle w:val="BodyText"/>
      </w:pPr>
      <w:r>
        <w:t xml:space="preserve">The topic warns against defenses that depend on expensive add-on trusted</w:t>
      </w:r>
      <w:r>
        <w:t xml:space="preserve"> </w:t>
      </w:r>
      <w:r>
        <w:t xml:space="preserve">hardware, and we agree. Attestation in Phase II uses the root of trust the</w:t>
      </w:r>
      <w:r>
        <w:t xml:space="preserve"> </w:t>
      </w:r>
      <w:r>
        <w:t xml:space="preserve">platform already has: a boot ROM with secure boot, a TEE such as Arm TrustZone</w:t>
      </w:r>
      <w:r>
        <w:t xml:space="preserve"> </w:t>
      </w:r>
      <w:r>
        <w:t xml:space="preserve">with a firmware TPM, or a discrete TPM or secure element where one is already</w:t>
      </w:r>
      <w:r>
        <w:t xml:space="preserve"> </w:t>
      </w:r>
      <w:r>
        <w:t xml:space="preserve">fitted. Its absence lowers the ceiling on what a device can be trusted with; it</w:t>
      </w:r>
      <w:r>
        <w:t xml:space="preserve"> </w:t>
      </w:r>
      <w:r>
        <w:t xml:space="preserve">does not stop the device from participating. That graded design is the</w:t>
      </w:r>
      <w:r>
        <w:t xml:space="preserve"> </w:t>
      </w:r>
      <w:r>
        <w:t xml:space="preserve">difference between a defense that can be deployed across a fleet of mixed small</w:t>
      </w:r>
      <w:r>
        <w:t xml:space="preserve"> </w:t>
      </w:r>
      <w:r>
        <w:t xml:space="preserve">platforms and one that cannot.</w:t>
      </w:r>
    </w:p>
    <w:p>
      <w:pPr>
        <w:pStyle w:val="BodyText"/>
      </w:pPr>
      <w:r>
        <w:rPr>
          <w:b/>
          <w:bCs/>
        </w:rPr>
        <w:t xml:space="preserve">Method.</w:t>
      </w:r>
      <w:r>
        <w:t xml:space="preserve"> </w:t>
      </w:r>
      <w:r>
        <w:t xml:space="preserve">Implement on the reference platforms chosen at M1; pin each</w:t>
      </w:r>
      <w:r>
        <w:t xml:space="preserve"> </w:t>
      </w:r>
      <w:r>
        <w:t xml:space="preserve">mechanism into the conformance corpus so both runtimes agree; bring new C code</w:t>
      </w:r>
      <w:r>
        <w:t xml:space="preserve"> </w:t>
      </w:r>
      <w:r>
        <w:t xml:space="preserve">under the same Frama-C regime as the core.</w:t>
      </w:r>
    </w:p>
    <w:p>
      <w:pPr>
        <w:pStyle w:val="BodyText"/>
      </w:pPr>
      <w:r>
        <w:rPr>
          <w:b/>
          <w:bCs/>
        </w:rPr>
        <w:t xml:space="preserve">Commercial application.</w:t>
      </w:r>
      <w:r>
        <w:t xml:space="preserve"> </w:t>
      </w:r>
      <w:r>
        <w:t xml:space="preserve">Fleet-scale attestation without mandated hardware is</w:t>
      </w:r>
      <w:r>
        <w:t xml:space="preserve"> </w:t>
      </w:r>
      <w:r>
        <w:t xml:space="preserve">the main obstacle for commercial IoT and drone operators, whose devices vary</w:t>
      </w:r>
      <w:r>
        <w:t xml:space="preserve"> </w:t>
      </w:r>
      <w:r>
        <w:t xml:space="preserve">widely and cannot be refitted.</w:t>
      </w:r>
    </w:p>
    <w:bookmarkEnd w:id="14"/>
    <w:bookmarkStart w:id="15" w:name="X103bf09413c6613ad7ad47e9c07cb3d0195c745"/>
    <w:p>
      <w:pPr>
        <w:pStyle w:val="Heading3"/>
      </w:pPr>
      <w:r>
        <w:t xml:space="preserve">O3. Fog-tier analytics and resilience of the hierarchy</w:t>
      </w:r>
    </w:p>
    <w:p>
      <w:pPr>
        <w:pStyle w:val="FirstParagraph"/>
      </w:pPr>
      <w:r>
        <w:rPr>
          <w:b/>
          <w:bCs/>
        </w:rPr>
        <w:t xml:space="preserve">Approach.</w:t>
      </w:r>
      <w:r>
        <w:t xml:space="preserve"> </w:t>
      </w:r>
      <w:r>
        <w:t xml:space="preserve">The anomaly layer moves from a Python prototype to the formally</w:t>
      </w:r>
      <w:r>
        <w:t xml:space="preserve"> </w:t>
      </w:r>
      <w:r>
        <w:t xml:space="preserve">verified C core, pinned to the prototype by the conformance corpus, so that an</w:t>
      </w:r>
      <w:r>
        <w:t xml:space="preserve"> </w:t>
      </w:r>
      <w:r>
        <w:t xml:space="preserve">edge device can run it. Heavier analytics move to the fog gateways, which can</w:t>
      </w:r>
      <w:r>
        <w:t xml:space="preserve"> </w:t>
      </w:r>
      <w:r>
        <w:t xml:space="preserve">afford them and which see many devices at once. Because a gateway that lies</w:t>
      </w:r>
      <w:r>
        <w:t xml:space="preserve"> </w:t>
      </w:r>
      <w:r>
        <w:t xml:space="preserve">about its children is the most valuable foothold in the fabric, the hierarchy</w:t>
      </w:r>
      <w:r>
        <w:t xml:space="preserve"> </w:t>
      </w:r>
      <w:r>
        <w:t xml:space="preserve">gains redundant gateway paths and cross-checking of gateway reports, and cohorts</w:t>
      </w:r>
      <w:r>
        <w:t xml:space="preserve"> </w:t>
      </w:r>
      <w:r>
        <w:t xml:space="preserve">gain an island mode for long disconnection, using Byzantine-safe quorum</w:t>
      </w:r>
      <w:r>
        <w:t xml:space="preserve"> </w:t>
      </w:r>
      <w:r>
        <w:t xml:space="preserve">placement rather than the crash-fault majority the prototype uses by default.</w:t>
      </w:r>
      <w:r>
        <w:t xml:space="preserve"> </w:t>
      </w:r>
      <w:r>
        <w:t xml:space="preserve">Streamed decryption with mid-message cutoff lets a node stop paying for a</w:t>
      </w:r>
      <w:r>
        <w:t xml:space="preserve"> </w:t>
      </w:r>
      <w:r>
        <w:t xml:space="preserve">message as soon as it can tell the message is hostile.</w:t>
      </w:r>
    </w:p>
    <w:p>
      <w:pPr>
        <w:pStyle w:val="BodyText"/>
      </w:pPr>
      <w:r>
        <w:rPr>
          <w:b/>
          <w:bCs/>
        </w:rPr>
        <w:t xml:space="preserve">Method.</w:t>
      </w:r>
      <w:r>
        <w:t xml:space="preserve"> </w:t>
      </w:r>
      <w:r>
        <w:t xml:space="preserve">Implementation and conformance testing at TekFive; adversarial</w:t>
      </w:r>
      <w:r>
        <w:t xml:space="preserve"> </w:t>
      </w:r>
      <w:r>
        <w:t xml:space="preserve">evaluation of each change by McCrary as it lands rather than only at the end.</w:t>
      </w:r>
    </w:p>
    <w:p>
      <w:pPr>
        <w:pStyle w:val="BodyText"/>
      </w:pPr>
      <w:r>
        <w:rPr>
          <w:b/>
          <w:bCs/>
        </w:rPr>
        <w:t xml:space="preserve">Commercial application.</w:t>
      </w:r>
      <w:r>
        <w:t xml:space="preserve"> </w:t>
      </w:r>
      <w:r>
        <w:t xml:space="preserve">A verified, small-footprint behavioral detector for</w:t>
      </w:r>
      <w:r>
        <w:t xml:space="preserve"> </w:t>
      </w:r>
      <w:r>
        <w:t xml:space="preserve">embedded Linux is a product in its own right for OT and medical-device vendors.</w:t>
      </w:r>
    </w:p>
    <w:bookmarkEnd w:id="15"/>
    <w:bookmarkStart w:id="16" w:name="Xf7f9a2c9e61f60c77d095b373876718e8dbccae"/>
    <w:p>
      <w:pPr>
        <w:pStyle w:val="Heading3"/>
      </w:pPr>
      <w:r>
        <w:t xml:space="preserve">O4. Response, course-of-action selection and AI integrity</w:t>
      </w:r>
    </w:p>
    <w:p>
      <w:pPr>
        <w:pStyle w:val="FirstParagraph"/>
      </w:pPr>
      <w:r>
        <w:rPr>
          <w:b/>
          <w:bCs/>
        </w:rPr>
        <w:t xml:space="preserve">Approach.</w:t>
      </w:r>
      <w:r>
        <w:t xml:space="preserve"> </w:t>
      </w:r>
      <w:r>
        <w:t xml:space="preserve">The prototype contains a compromised node autonomously. The</w:t>
      </w:r>
      <w:r>
        <w:t xml:space="preserve"> </w:t>
      </w:r>
      <w:r>
        <w:t xml:space="preserve">topic’s Q&amp;A asks for more: autonomous detection, with autonomous responses</w:t>
      </w:r>
      <w:r>
        <w:t xml:space="preserve"> </w:t>
      </w:r>
      <w:r>
        <w:t xml:space="preserve">presented to a human for course-of-action selection. Phase II therefore adds the</w:t>
      </w:r>
      <w:r>
        <w:t xml:space="preserve"> </w:t>
      </w:r>
      <w:r>
        <w:t xml:space="preserve">step after containment. The fabric proposes ranked courses of action (isolate</w:t>
      </w:r>
      <w:r>
        <w:t xml:space="preserve"> </w:t>
      </w:r>
      <w:r>
        <w:t xml:space="preserve">and continue, roll back, re-image, migrate the affected capability to a healthy</w:t>
      </w:r>
      <w:r>
        <w:t xml:space="preserve"> </w:t>
      </w:r>
      <w:r>
        <w:t xml:space="preserve">peer, revoke the identity, or accept degraded operation), each with its evidence</w:t>
      </w:r>
      <w:r>
        <w:t xml:space="preserve"> </w:t>
      </w:r>
      <w:r>
        <w:t xml:space="preserve">and its expected mission impact, and an accountable operator chooses.</w:t>
      </w:r>
      <w:r>
        <w:t xml:space="preserve"> </w:t>
      </w:r>
      <w:r>
        <w:t xml:space="preserve">Containment stays autonomous and immediate, because it is reversible and</w:t>
      </w:r>
      <w:r>
        <w:t xml:space="preserve"> </w:t>
      </w:r>
      <w:r>
        <w:t xml:space="preserve">time-critical, and recovery waits on a human where the consequences warrant it.</w:t>
      </w:r>
      <w:r>
        <w:t xml:space="preserve"> </w:t>
      </w:r>
      <w:r>
        <w:t xml:space="preserve">For space assets, where a ground decision may be minutes away, the playbook</w:t>
      </w:r>
      <w:r>
        <w:t xml:space="preserve"> </w:t>
      </w:r>
      <w:r>
        <w:t xml:space="preserve">specifies which responses the cohort may take on its own while it waits.</w:t>
      </w:r>
    </w:p>
    <w:p>
      <w:pPr>
        <w:pStyle w:val="BodyText"/>
      </w:pPr>
      <w:r>
        <w:t xml:space="preserve">AI algorithm exploitation gets its own work here, on two fronts. Onboard models</w:t>
      </w:r>
      <w:r>
        <w:t xml:space="preserve"> </w:t>
      </w:r>
      <w:r>
        <w:t xml:space="preserve">are artifacts like any other and come under O2’s integrity checks. Their outputs</w:t>
      </w:r>
      <w:r>
        <w:t xml:space="preserve"> </w:t>
      </w:r>
      <w:r>
        <w:t xml:space="preserve">come under AT’s consistency checks, which already caught a compromised detector</w:t>
      </w:r>
      <w:r>
        <w:t xml:space="preserve"> </w:t>
      </w:r>
      <w:r>
        <w:t xml:space="preserve">in the feasibility demonstration and which Phase II extends from corroborable</w:t>
      </w:r>
      <w:r>
        <w:t xml:space="preserve"> </w:t>
      </w:r>
      <w:r>
        <w:t xml:space="preserve">data to single-source plausibility. AT’s own anomaly layer is a model too, and</w:t>
      </w:r>
      <w:r>
        <w:t xml:space="preserve"> </w:t>
      </w:r>
      <w:r>
        <w:t xml:space="preserve">McCrary attacks it directly with evasion and poisoning.</w:t>
      </w:r>
    </w:p>
    <w:p>
      <w:pPr>
        <w:pStyle w:val="BodyText"/>
      </w:pPr>
      <w:r>
        <w:rPr>
          <w:b/>
          <w:bCs/>
        </w:rPr>
        <w:t xml:space="preserve">Method.</w:t>
      </w:r>
      <w:r>
        <w:t xml:space="preserve"> </w:t>
      </w:r>
      <w:r>
        <w:t xml:space="preserve">TekFive builds the playbook and operator interface; McCrary leads</w:t>
      </w:r>
      <w:r>
        <w:t xml:space="preserve"> </w:t>
      </w:r>
      <w:r>
        <w:t xml:space="preserve">the adversarial-ML evaluation; every decision lands in the audit ledger.</w:t>
      </w:r>
    </w:p>
    <w:p>
      <w:pPr>
        <w:pStyle w:val="BodyText"/>
      </w:pPr>
      <w:r>
        <w:rPr>
          <w:b/>
          <w:bCs/>
        </w:rPr>
        <w:t xml:space="preserve">Commercial application.</w:t>
      </w:r>
      <w:r>
        <w:t xml:space="preserve"> </w:t>
      </w:r>
      <w:r>
        <w:t xml:space="preserve">Human-on-the-loop response with signed evidence is</w:t>
      </w:r>
      <w:r>
        <w:t xml:space="preserve"> </w:t>
      </w:r>
      <w:r>
        <w:t xml:space="preserve">what regulated operators (utilities, hospitals) need before they let any system</w:t>
      </w:r>
      <w:r>
        <w:t xml:space="preserve"> </w:t>
      </w:r>
      <w:r>
        <w:t xml:space="preserve">act automatically.</w:t>
      </w:r>
    </w:p>
    <w:bookmarkEnd w:id="16"/>
    <w:bookmarkStart w:id="17" w:name="o5.-air-and-space-platform-integration"/>
    <w:p>
      <w:pPr>
        <w:pStyle w:val="Heading3"/>
      </w:pPr>
      <w:r>
        <w:t xml:space="preserve">O5. Air and space platform integration</w:t>
      </w:r>
    </w:p>
    <w:p>
      <w:pPr>
        <w:pStyle w:val="FirstParagraph"/>
      </w:pPr>
      <w:r>
        <w:rPr>
          <w:b/>
          <w:bCs/>
        </w:rPr>
        <w:t xml:space="preserve">Approach.</w:t>
      </w:r>
      <w:r>
        <w:t xml:space="preserve"> </w:t>
      </w:r>
      <w:r>
        <w:t xml:space="preserve">AT already carries traffic over the Bundle Protocol and its</w:t>
      </w:r>
      <w:r>
        <w:t xml:space="preserve"> </w:t>
      </w:r>
      <w:r>
        <w:t xml:space="preserve">simulator models light-lag, occultation and laser and RF links. Phase II adds</w:t>
      </w:r>
      <w:r>
        <w:t xml:space="preserve"> </w:t>
      </w:r>
      <w:r>
        <w:t xml:space="preserve">BPSec to the bundle path, exercises the fabric against contact-window and</w:t>
      </w:r>
      <w:r>
        <w:t xml:space="preserve"> </w:t>
      </w:r>
      <w:r>
        <w:t xml:space="preserve">light-lag scenarios, and builds one adapter for devices that cannot host the</w:t>
      </w:r>
      <w:r>
        <w:t xml:space="preserve"> </w:t>
      </w:r>
      <w:r>
        <w:t xml:space="preserve">agent. We propose two reference platforms: an sUAS-class companion computer (ARM</w:t>
      </w:r>
      <w:r>
        <w:t xml:space="preserve"> </w:t>
      </w:r>
      <w:r>
        <w:t xml:space="preserve">Cortex-A72, the feasibility platform) and a small-satellite onboard computer of</w:t>
      </w:r>
      <w:r>
        <w:t xml:space="preserve"> </w:t>
      </w:r>
      <w:r>
        <w:t xml:space="preserve">the radiation-tolerant ARMv8 class, represented by a Zynq UltraScale+ MPSoC</w:t>
      </w:r>
      <w:r>
        <w:t xml:space="preserve"> </w:t>
      </w:r>
      <w:r>
        <w:t xml:space="preserve">(quad Cortex-A53) of the kind commercial smallsat computers are built on. The</w:t>
      </w:r>
      <w:r>
        <w:t xml:space="preserve"> </w:t>
      </w:r>
      <w:r>
        <w:t xml:space="preserve">two share an instruction set, so the Buildroot image and the footprint</w:t>
      </w:r>
      <w:r>
        <w:t xml:space="preserve"> </w:t>
      </w:r>
      <w:r>
        <w:t xml:space="preserve">measurements carry from one to the other, and the MPSoC’s secure boot and</w:t>
      </w:r>
      <w:r>
        <w:t xml:space="preserve"> </w:t>
      </w:r>
      <w:r>
        <w:t xml:space="preserve">on-chip device key give the integrity work of O2 a root of trust the platform</w:t>
      </w:r>
      <w:r>
        <w:t xml:space="preserve"> </w:t>
      </w:r>
      <w:r>
        <w:t xml:space="preserve">already has. Both boards are flight-representative rather than</w:t>
      </w:r>
      <w:r>
        <w:t xml:space="preserve"> </w:t>
      </w:r>
      <w:r>
        <w:t xml:space="preserve">flight-qualified, which keeps the hardware bill small. The adapter follows from</w:t>
      </w:r>
      <w:r>
        <w:t xml:space="preserve"> </w:t>
      </w:r>
      <w:r>
        <w:t xml:space="preserve">that choice ([TODO: MAVLink or CAN for the sUAS; SpaceWire for the</w:t>
      </w:r>
      <w:r>
        <w:t xml:space="preserve"> </w:t>
      </w:r>
      <w:r>
        <w:t xml:space="preserve">spacecraft]).</w:t>
      </w:r>
    </w:p>
    <w:p>
      <w:pPr>
        <w:pStyle w:val="BodyText"/>
      </w:pPr>
      <w:r>
        <w:t xml:space="preserve">Not every spacecraft is ARM. To show the C core is not tied to one</w:t>
      </w:r>
      <w:r>
        <w:t xml:space="preserve"> </w:t>
      </w:r>
      <w:r>
        <w:t xml:space="preserve">architecture, we run it and the conformance corpus on big-endian SPARC under</w:t>
      </w:r>
      <w:r>
        <w:t xml:space="preserve"> </w:t>
      </w:r>
      <w:r>
        <w:t xml:space="preserve">QEMU’s LEON3 model, the processor family behind radiation-hardened parts such</w:t>
      </w:r>
      <w:r>
        <w:t xml:space="preserve"> </w:t>
      </w:r>
      <w:r>
        <w:t xml:space="preserve">as the GR740. A byte-for-byte corpus is a direct test of wire-format</w:t>
      </w:r>
      <w:r>
        <w:t xml:space="preserve"> </w:t>
      </w:r>
      <w:r>
        <w:t xml:space="preserve">portability, and emulation costs nothing in hardware. The platforms AT will</w:t>
      </w:r>
      <w:r>
        <w:t xml:space="preserve"> </w:t>
      </w:r>
      <w:r>
        <w:t xml:space="preserve">eventually have to cover are radiation-hardened LEON, the RISC-V High</w:t>
      </w:r>
      <w:r>
        <w:t xml:space="preserve"> </w:t>
      </w:r>
      <w:r>
        <w:t xml:space="preserve">Performance Spaceflight Computing processor (Microchip PIC64-HPSC), and the</w:t>
      </w:r>
      <w:r>
        <w:t xml:space="preserve"> </w:t>
      </w:r>
      <w:r>
        <w:t xml:space="preserve">microcontroller-class computers most CubeSats fly. Phase II reaches the first</w:t>
      </w:r>
      <w:r>
        <w:t xml:space="preserve"> </w:t>
      </w:r>
      <w:r>
        <w:t xml:space="preserve">by emulation and the last by a feasibility study, since microcontroller-class</w:t>
      </w:r>
      <w:r>
        <w:t xml:space="preserve"> </w:t>
      </w:r>
      <w:r>
        <w:t xml:space="preserve">devices are the smallest members of an IoBT and currently out of the agent’s</w:t>
      </w:r>
      <w:r>
        <w:t xml:space="preserve"> </w:t>
      </w:r>
      <w:r>
        <w:t xml:space="preserve">reach; HPSC is a Phase III target. We characterize the agent on the</w:t>
      </w:r>
      <w:r>
        <w:t xml:space="preserve"> </w:t>
      </w:r>
      <w:r>
        <w:t xml:space="preserve">flight-class reference hardware.</w:t>
      </w:r>
    </w:p>
    <w:p>
      <w:pPr>
        <w:pStyle w:val="BodyText"/>
      </w:pPr>
      <w:r>
        <w:rPr>
          <w:b/>
          <w:bCs/>
        </w:rPr>
        <w:t xml:space="preserve">Method.</w:t>
      </w:r>
      <w:r>
        <w:t xml:space="preserve"> </w:t>
      </w:r>
      <w:r>
        <w:t xml:space="preserve">Integration on the reference hardware, confirmed with the TPOCs at</w:t>
      </w:r>
      <w:r>
        <w:t xml:space="preserve"> </w:t>
      </w:r>
      <w:r>
        <w:t xml:space="preserve">M1; the LEON3 conformance run under emulation; footprint and latency reported</w:t>
      </w:r>
      <w:r>
        <w:t xml:space="preserve"> </w:t>
      </w:r>
      <w:r>
        <w:t xml:space="preserve">as first-class results.</w:t>
      </w:r>
    </w:p>
    <w:p>
      <w:pPr>
        <w:pStyle w:val="BodyText"/>
      </w:pPr>
      <w:r>
        <w:rPr>
          <w:b/>
          <w:bCs/>
        </w:rPr>
        <w:t xml:space="preserve">Commercial application.</w:t>
      </w:r>
      <w:r>
        <w:t xml:space="preserve"> </w:t>
      </w:r>
      <w:r>
        <w:t xml:space="preserve">Commercial constellations and drone fleets operate</w:t>
      </w:r>
      <w:r>
        <w:t xml:space="preserve"> </w:t>
      </w:r>
      <w:r>
        <w:t xml:space="preserve">under the same link constraints, and the bus adapters open the agent to devices</w:t>
      </w:r>
      <w:r>
        <w:t xml:space="preserve"> </w:t>
      </w:r>
      <w:r>
        <w:t xml:space="preserve">that cannot be modified.</w:t>
      </w:r>
    </w:p>
    <w:bookmarkEnd w:id="17"/>
    <w:bookmarkStart w:id="18" w:name="o6.-scale"/>
    <w:p>
      <w:pPr>
        <w:pStyle w:val="Heading3"/>
      </w:pPr>
      <w:r>
        <w:t xml:space="preserve">O6. Scale</w:t>
      </w:r>
    </w:p>
    <w:p>
      <w:pPr>
        <w:pStyle w:val="FirstParagraph"/>
      </w:pPr>
      <w:r>
        <w:rPr>
          <w:b/>
          <w:bCs/>
        </w:rPr>
        <w:t xml:space="preserve">Approach.</w:t>
      </w:r>
      <w:r>
        <w:t xml:space="preserve"> </w:t>
      </w:r>
      <w:r>
        <w:t xml:space="preserve">The topic asks for hundreds to thousands of edge nodes. AT scales</w:t>
      </w:r>
      <w:r>
        <w:t xml:space="preserve"> </w:t>
      </w:r>
      <w:r>
        <w:t xml:space="preserve">by hierarchy, and Phase II demonstrates that at the 1,000-node range on a</w:t>
      </w:r>
      <w:r>
        <w:t xml:space="preserve"> </w:t>
      </w:r>
      <w:r>
        <w:t xml:space="preserve">cluster, reporting per-node CPU, memory and link overhead and decision latency</w:t>
      </w:r>
      <w:r>
        <w:t xml:space="preserve"> </w:t>
      </w:r>
      <w:r>
        <w:t xml:space="preserve">against node count, flat and hierarchical.</w:t>
      </w:r>
    </w:p>
    <w:p>
      <w:pPr>
        <w:pStyle w:val="BodyText"/>
      </w:pPr>
      <w:r>
        <w:rPr>
          <w:b/>
          <w:bCs/>
        </w:rPr>
        <w:t xml:space="preserve">Method.</w:t>
      </w:r>
      <w:r>
        <w:t xml:space="preserve"> </w:t>
      </w:r>
      <w:r>
        <w:t xml:space="preserve">Scale harness on TekFive’s AWS GovCloud account, with a subset of</w:t>
      </w:r>
      <w:r>
        <w:t xml:space="preserve"> </w:t>
      </w:r>
      <w:r>
        <w:t xml:space="preserve">nodes on physical edge hardware to anchor the emulation.</w:t>
      </w:r>
    </w:p>
    <w:p>
      <w:pPr>
        <w:pStyle w:val="BodyText"/>
      </w:pPr>
      <w:r>
        <w:rPr>
          <w:b/>
          <w:bCs/>
        </w:rPr>
        <w:t xml:space="preserve">Commercial application.</w:t>
      </w:r>
      <w:r>
        <w:t xml:space="preserve"> </w:t>
      </w:r>
      <w:r>
        <w:t xml:space="preserve">Scale evidence is the first question every IoT and</w:t>
      </w:r>
      <w:r>
        <w:t xml:space="preserve"> </w:t>
      </w:r>
      <w:r>
        <w:t xml:space="preserve">industrial customer asks.</w:t>
      </w:r>
    </w:p>
    <w:bookmarkEnd w:id="18"/>
    <w:bookmarkStart w:id="19" w:name="X5e39fd3a26379fec3cb1fe4df4d9e3e46ad71da"/>
    <w:p>
      <w:pPr>
        <w:pStyle w:val="Heading3"/>
      </w:pPr>
      <w:r>
        <w:t xml:space="preserve">O7. Pre-exercise evaluation and the Government red-team exercise</w:t>
      </w:r>
    </w:p>
    <w:p>
      <w:pPr>
        <w:pStyle w:val="FirstParagraph"/>
      </w:pPr>
      <w:r>
        <w:rPr>
          <w:b/>
          <w:bCs/>
        </w:rPr>
        <w:t xml:space="preserve">Approach.</w:t>
      </w:r>
      <w:r>
        <w:t xml:space="preserve"> </w:t>
      </w:r>
      <w:r>
        <w:t xml:space="preserve">The deciding test of Phase II is the Government-run red-team</w:t>
      </w:r>
      <w:r>
        <w:t xml:space="preserve"> </w:t>
      </w:r>
      <w:r>
        <w:t xml:space="preserve">exercise at the AFRL Information Directorate (AFRL/RI) in Rome, NY, and we plan</w:t>
      </w:r>
      <w:r>
        <w:t xml:space="preserve"> </w:t>
      </w:r>
      <w:r>
        <w:t xml:space="preserve">the evaluation work around it. McCrary runs the pre-registered attack set</w:t>
      </w:r>
      <w:r>
        <w:t xml:space="preserve"> </w:t>
      </w:r>
      <w:r>
        <w:t xml:space="preserve">against the integrated fabric as a series of campaigns, each followed by fixes,</w:t>
      </w:r>
      <w:r>
        <w:t xml:space="preserve"> </w:t>
      </w:r>
      <w:r>
        <w:t xml:space="preserve">so that the fabric meets the Government’s red team having already been through</w:t>
      </w:r>
      <w:r>
        <w:t xml:space="preserve"> </w:t>
      </w:r>
      <w:r>
        <w:t xml:space="preserve">several rounds with another one. TekFive then delivers and installs the</w:t>
      </w:r>
      <w:r>
        <w:t xml:space="preserve"> </w:t>
      </w:r>
      <w:r>
        <w:t xml:space="preserve">prototype for the exercise, supports it on site, and expects to demonstrate both</w:t>
      </w:r>
      <w:r>
        <w:t xml:space="preserve"> </w:t>
      </w:r>
      <w:r>
        <w:t xml:space="preserve">fight-through scenarios below there. We define fighting through as completing</w:t>
      </w:r>
      <w:r>
        <w:t xml:space="preserve"> </w:t>
      </w:r>
      <w:r>
        <w:t xml:space="preserve">the mission task at a stated fraction of the unattacked baseline while the</w:t>
      </w:r>
      <w:r>
        <w:t xml:space="preserve"> </w:t>
      </w:r>
      <w:r>
        <w:t xml:space="preserve">compromise is present, rather than merely detecting it.</w:t>
      </w:r>
    </w:p>
    <w:p>
      <w:pPr>
        <w:pStyle w:val="BodyText"/>
      </w:pPr>
      <w:r>
        <w:t xml:space="preserve">In the</w:t>
      </w:r>
      <w:r>
        <w:t xml:space="preserve"> </w:t>
      </w:r>
      <w:r>
        <w:rPr>
          <w:b/>
          <w:bCs/>
        </w:rPr>
        <w:t xml:space="preserve">supply-chain</w:t>
      </w:r>
      <w:r>
        <w:t xml:space="preserve"> </w:t>
      </w:r>
      <w:r>
        <w:t xml:space="preserve">scenario a fraction of the fleet receives an update that</w:t>
      </w:r>
      <w:r>
        <w:t xml:space="preserve"> </w:t>
      </w:r>
      <w:r>
        <w:t xml:space="preserve">passes signature checks, because the adversary holds a signing key. The defense</w:t>
      </w:r>
      <w:r>
        <w:t xml:space="preserve"> </w:t>
      </w:r>
      <w:r>
        <w:t xml:space="preserve">must catch it by other means. Measured boot and attestation report a software</w:t>
      </w:r>
      <w:r>
        <w:t xml:space="preserve"> </w:t>
      </w:r>
      <w:r>
        <w:t xml:space="preserve">state that does not match the reproducible build, which lowers base 2 for those</w:t>
      </w:r>
      <w:r>
        <w:t xml:space="preserve"> </w:t>
      </w:r>
      <w:r>
        <w:t xml:space="preserve">devices; any that slip past begin to behave differently, which lowers base 5.</w:t>
      </w:r>
      <w:r>
        <w:t xml:space="preserve"> </w:t>
      </w:r>
      <w:r>
        <w:t xml:space="preserve">The cohort demotes them, the fleet-update service votes a rollback, and while</w:t>
      </w:r>
      <w:r>
        <w:t xml:space="preserve"> </w:t>
      </w:r>
      <w:r>
        <w:t xml:space="preserve">the rollback runs, their capability migrates to healthy peers. The operator is</w:t>
      </w:r>
      <w:r>
        <w:t xml:space="preserve"> </w:t>
      </w:r>
      <w:r>
        <w:t xml:space="preserve">offered re-imaging, retirement of the stolen key, or continued containment.</w:t>
      </w:r>
    </w:p>
    <w:p>
      <w:pPr>
        <w:pStyle w:val="BodyText"/>
      </w:pPr>
      <w:r>
        <w:t xml:space="preserve">In the</w:t>
      </w:r>
      <w:r>
        <w:t xml:space="preserve"> </w:t>
      </w:r>
      <w:r>
        <w:rPr>
          <w:b/>
          <w:bCs/>
        </w:rPr>
        <w:t xml:space="preserve">remote-exploit</w:t>
      </w:r>
      <w:r>
        <w:t xml:space="preserve"> </w:t>
      </w:r>
      <w:r>
        <w:t xml:space="preserve">scenario an adversary gains code execution on a</w:t>
      </w:r>
      <w:r>
        <w:t xml:space="preserve"> </w:t>
      </w:r>
      <w:r>
        <w:t xml:space="preserve">radio-facing service. Process isolation confines the exploit to one subsystem,</w:t>
      </w:r>
      <w:r>
        <w:t xml:space="preserve"> </w:t>
      </w:r>
      <w:r>
        <w:t xml:space="preserve">so it cannot reach the node’s keys or reputation state. What it can do with the</w:t>
      </w:r>
      <w:r>
        <w:t xml:space="preserve"> </w:t>
      </w:r>
      <w:r>
        <w:t xml:space="preserve">node’s network presence is bounded by the node’s tier, and as soon as the node’s</w:t>
      </w:r>
      <w:r>
        <w:t xml:space="preserve"> </w:t>
      </w:r>
      <w:r>
        <w:t xml:space="preserve">behavior departs from its envelope, its tier drops and the reachable surface</w:t>
      </w:r>
      <w:r>
        <w:t xml:space="preserve"> </w:t>
      </w:r>
      <w:r>
        <w:t xml:space="preserve">shrinks with it. Its mission function moves to a peer, and the operator chooses</w:t>
      </w:r>
      <w:r>
        <w:t xml:space="preserve"> </w:t>
      </w:r>
      <w:r>
        <w:t xml:space="preserve">between quarantine and re-image.</w:t>
      </w:r>
    </w:p>
    <w:p>
      <w:pPr>
        <w:pStyle w:val="BodyText"/>
      </w:pPr>
      <w:r>
        <w:rPr>
          <w:b/>
          <w:bCs/>
        </w:rPr>
        <w:t xml:space="preserve">Metrics.</w:t>
      </w:r>
      <w:r>
        <w:t xml:space="preserve"> </w:t>
      </w:r>
      <w:r>
        <w:t xml:space="preserve">Attack-class coverage (classes prevented, contained or detected,</w:t>
      </w:r>
      <w:r>
        <w:t xml:space="preserve"> </w:t>
      </w:r>
      <w:r>
        <w:t xml:space="preserve">out of the O1 set); detection latency and time to containment; false-exclusion</w:t>
      </w:r>
      <w:r>
        <w:t xml:space="preserve"> </w:t>
      </w:r>
      <w:r>
        <w:t xml:space="preserve">rate at a realistic attack base rate, since a detector whose false alarms swamp</w:t>
      </w:r>
      <w:r>
        <w:t xml:space="preserve"> </w:t>
      </w:r>
      <w:r>
        <w:t xml:space="preserve">its true ones is worse than none (Axelsson, 2000); mission-task completion under</w:t>
      </w:r>
      <w:r>
        <w:t xml:space="preserve"> </w:t>
      </w:r>
      <w:r>
        <w:t xml:space="preserve">attack as a fraction of the unattacked baseline; per-node overhead on reference</w:t>
      </w:r>
      <w:r>
        <w:t xml:space="preserve"> </w:t>
      </w:r>
      <w:r>
        <w:t xml:space="preserve">hardware; and decision latency against fleet size. We report these for McCrary’s</w:t>
      </w:r>
      <w:r>
        <w:t xml:space="preserve"> </w:t>
      </w:r>
      <w:r>
        <w:t xml:space="preserve">campaigns and adopt the Government’s criteria for the exercise. [TODO: proposed</w:t>
      </w:r>
      <w:r>
        <w:t xml:space="preserve"> </w:t>
      </w:r>
      <w:r>
        <w:t xml:space="preserve">thresholds, stated here and confirmed with the TPOCs at M2.]</w:t>
      </w:r>
    </w:p>
    <w:p>
      <w:pPr>
        <w:pStyle w:val="BodyText"/>
      </w:pPr>
      <w:r>
        <w:rPr>
          <w:b/>
          <w:bCs/>
        </w:rPr>
        <w:t xml:space="preserve">Commercial application.</w:t>
      </w:r>
      <w:r>
        <w:t xml:space="preserve"> </w:t>
      </w:r>
      <w:r>
        <w:t xml:space="preserve">Results from a Government-run red-team exercise,</w:t>
      </w:r>
      <w:r>
        <w:t xml:space="preserve"> </w:t>
      </w:r>
      <w:r>
        <w:t xml:space="preserve">preceded by a university institute’s campaigns, are evidence a customer can rely</w:t>
      </w:r>
      <w:r>
        <w:t xml:space="preserve"> </w:t>
      </w:r>
      <w:r>
        <w:t xml:space="preserve">on without having to trust the vendor.</w:t>
      </w:r>
    </w:p>
    <w:bookmarkEnd w:id="19"/>
    <w:bookmarkEnd w:id="20"/>
    <w:bookmarkStart w:id="25" w:name="work-plan"/>
    <w:p>
      <w:pPr>
        <w:pStyle w:val="Heading2"/>
      </w:pPr>
      <w:r>
        <w:t xml:space="preserve">6) Work Plan</w:t>
      </w:r>
    </w:p>
    <w:bookmarkStart w:id="21" w:name="objective"/>
    <w:p>
      <w:pPr>
        <w:pStyle w:val="Heading3"/>
      </w:pPr>
      <w:r>
        <w:t xml:space="preserve">1.0 Objective</w:t>
      </w:r>
    </w:p>
    <w:p>
      <w:pPr>
        <w:pStyle w:val="FirstParagraph"/>
      </w:pPr>
      <w:r>
        <w:t xml:space="preserve">The objective of this effort is to develop and demonstrate a decentralized</w:t>
      </w:r>
      <w:r>
        <w:t xml:space="preserve"> </w:t>
      </w:r>
      <w:r>
        <w:t xml:space="preserve">cyber-resiliency capability for fog and edge computing devices that prevents,</w:t>
      </w:r>
      <w:r>
        <w:t xml:space="preserve"> </w:t>
      </w:r>
      <w:r>
        <w:t xml:space="preserve">detects and responds to cyber-attacks autonomously, scales to fleets of hundreds</w:t>
      </w:r>
      <w:r>
        <w:t xml:space="preserve"> </w:t>
      </w:r>
      <w:r>
        <w:t xml:space="preserve">to thousands of devices, and enables those devices to continue their mission</w:t>
      </w:r>
      <w:r>
        <w:t xml:space="preserve"> </w:t>
      </w:r>
      <w:r>
        <w:t xml:space="preserve">through a supply-chain or remote-exploit compromise. The expected outcome is a</w:t>
      </w:r>
      <w:r>
        <w:t xml:space="preserve"> </w:t>
      </w:r>
      <w:r>
        <w:t xml:space="preserve">prototype integrated on representative air and space edge platforms, an</w:t>
      </w:r>
      <w:r>
        <w:t xml:space="preserve"> </w:t>
      </w:r>
      <w:r>
        <w:t xml:space="preserve">independently evaluated record of the attack classes it addresses, and a</w:t>
      </w:r>
      <w:r>
        <w:t xml:space="preserve"> </w:t>
      </w:r>
      <w:r>
        <w:t xml:space="preserve">transition plan.</w:t>
      </w:r>
    </w:p>
    <w:bookmarkEnd w:id="21"/>
    <w:bookmarkStart w:id="22" w:name="scope"/>
    <w:p>
      <w:pPr>
        <w:pStyle w:val="Heading3"/>
      </w:pPr>
      <w:r>
        <w:t xml:space="preserve">2.0 Scope</w:t>
      </w:r>
    </w:p>
    <w:p>
      <w:pPr>
        <w:pStyle w:val="FirstParagraph"/>
      </w:pPr>
      <w:r>
        <w:t xml:space="preserve">The effort covers attack-class analysis and test planning; device-level</w:t>
      </w:r>
      <w:r>
        <w:t xml:space="preserve"> </w:t>
      </w:r>
      <w:r>
        <w:t xml:space="preserve">integrity (boot, load and install verification, attestation using</w:t>
      </w:r>
      <w:r>
        <w:t xml:space="preserve"> </w:t>
      </w:r>
      <w:r>
        <w:t xml:space="preserve">platform-native roots of trust, reproducible builds, process isolation);</w:t>
      </w:r>
      <w:r>
        <w:t xml:space="preserve"> </w:t>
      </w:r>
      <w:r>
        <w:t xml:space="preserve">behavioral analytics at the edge and fog tiers; response and operator</w:t>
      </w:r>
      <w:r>
        <w:t xml:space="preserve"> </w:t>
      </w:r>
      <w:r>
        <w:t xml:space="preserve">course-of-action selection; integration with air and space links and platform</w:t>
      </w:r>
      <w:r>
        <w:t xml:space="preserve"> </w:t>
      </w:r>
      <w:r>
        <w:t xml:space="preserve">buses; scaling; and evaluation by the research institution in preparation for a</w:t>
      </w:r>
      <w:r>
        <w:t xml:space="preserve"> </w:t>
      </w:r>
      <w:r>
        <w:t xml:space="preserve">Government-run red-team exercise, at which supply-chain and remote-exploit</w:t>
      </w:r>
      <w:r>
        <w:t xml:space="preserve"> </w:t>
      </w:r>
      <w:r>
        <w:t xml:space="preserve">fight-through are demonstrated. Major milestones are listed in Section 3.</w:t>
      </w:r>
      <w:r>
        <w:t xml:space="preserve"> </w:t>
      </w:r>
      <w:r>
        <w:t xml:space="preserve">Deliverables are the prototype software, the evaluation results and data, the</w:t>
      </w:r>
      <w:r>
        <w:t xml:space="preserve"> </w:t>
      </w:r>
      <w:r>
        <w:t xml:space="preserve">reports in Section 7, and the transition plan.</w:t>
      </w:r>
    </w:p>
    <w:bookmarkEnd w:id="22"/>
    <w:bookmarkStart w:id="23" w:name="background"/>
    <w:p>
      <w:pPr>
        <w:pStyle w:val="Heading3"/>
      </w:pPr>
      <w:r>
        <w:t xml:space="preserve">3.0 Background</w:t>
      </w:r>
    </w:p>
    <w:p>
      <w:pPr>
        <w:pStyle w:val="FirstParagraph"/>
      </w:pPr>
      <w:r>
        <w:t xml:space="preserve">Applicable documents include NIST SP 800-207 (Zero Trust Architecture); NIST SP</w:t>
      </w:r>
      <w:r>
        <w:t xml:space="preserve"> </w:t>
      </w:r>
      <w:r>
        <w:t xml:space="preserve">800-160 Vol. 2 Rev. 1 (Developing Cyber-Resilient Systems); NIST SP 800-193</w:t>
      </w:r>
      <w:r>
        <w:t xml:space="preserve"> </w:t>
      </w:r>
      <w:r>
        <w:t xml:space="preserve">(Platform Firmware Resiliency); NIST SP 800-218 (Secure Software Development</w:t>
      </w:r>
      <w:r>
        <w:t xml:space="preserve"> </w:t>
      </w:r>
      <w:r>
        <w:t xml:space="preserve">Framework); the DoD Zero Trust Strategy and Reference Architecture; MITRE ATT&amp;CK</w:t>
      </w:r>
      <w:r>
        <w:t xml:space="preserve"> </w:t>
      </w:r>
      <w:r>
        <w:t xml:space="preserve">for ICS and Enterprise; the Aerospace Corporation SPARTA framework; CCSDS</w:t>
      </w:r>
      <w:r>
        <w:t xml:space="preserve"> </w:t>
      </w:r>
      <w:r>
        <w:t xml:space="preserve">734.2-B (Bundle Protocol) and RFC 9172 (BPSec); and RFC 6962 (Merkle audit</w:t>
      </w:r>
      <w:r>
        <w:t xml:space="preserve"> </w:t>
      </w:r>
      <w:r>
        <w:t xml:space="preserve">structures). [TODO: platform bus standards once selected.] The effort builds on</w:t>
      </w:r>
      <w:r>
        <w:t xml:space="preserve"> </w:t>
      </w:r>
      <w:r>
        <w:t xml:space="preserve">the contractor’s existing AutonomousTrust prototype. Hardware-centric defenses</w:t>
      </w:r>
      <w:r>
        <w:t xml:space="preserve"> </w:t>
      </w:r>
      <w:r>
        <w:t xml:space="preserve">(obfuscation, redundancy, FPGAs or custom processors) and special-purpose</w:t>
      </w:r>
      <w:r>
        <w:t xml:space="preserve"> </w:t>
      </w:r>
      <w:r>
        <w:t xml:space="preserve">compilers have been found ill-suited to cost-constrained edge platforms and are</w:t>
      </w:r>
      <w:r>
        <w:t xml:space="preserve"> </w:t>
      </w:r>
      <w:r>
        <w:t xml:space="preserve">not pursued.</w:t>
      </w:r>
    </w:p>
    <w:bookmarkEnd w:id="23"/>
    <w:bookmarkStart w:id="24" w:name="tasktechnical-requirements"/>
    <w:p>
      <w:pPr>
        <w:pStyle w:val="Heading3"/>
      </w:pPr>
      <w:r>
        <w:t xml:space="preserve">4.0 Task/Technical Requirements</w:t>
      </w:r>
    </w:p>
    <w:p>
      <w:pPr>
        <w:pStyle w:val="FirstParagraph"/>
      </w:pPr>
      <w:r>
        <w:rPr>
          <w:b/>
          <w:bCs/>
        </w:rPr>
        <w:t xml:space="preserve">4.1 Task 1: Attack-class taxonomy, threat model and test plan.</w:t>
      </w:r>
    </w:p>
    <w:p>
      <w:pPr>
        <w:pStyle w:val="BodyText"/>
      </w:pPr>
      <w:r>
        <w:t xml:space="preserve">4.1.1 The contractor shall develop an attack-class taxonomy for air and space</w:t>
      </w:r>
      <w:r>
        <w:t xml:space="preserve"> </w:t>
      </w:r>
      <w:r>
        <w:t xml:space="preserve">FEC devices, including at minimum supply-chain, remote-exploit, physical-capture</w:t>
      </w:r>
      <w:r>
        <w:t xml:space="preserve"> </w:t>
      </w:r>
      <w:r>
        <w:t xml:space="preserve">and AI-algorithm exploitation classes, and map each class to defensive</w:t>
      </w:r>
      <w:r>
        <w:t xml:space="preserve"> </w:t>
      </w:r>
      <w:r>
        <w:t xml:space="preserve">mechanisms and to SP 800-160 Vol. 2 techniques.</w:t>
      </w:r>
    </w:p>
    <w:p>
      <w:pPr>
        <w:pStyle w:val="BodyText"/>
      </w:pPr>
      <w:r>
        <w:t xml:space="preserve">4.1.2 The contractor shall define, with Government concurrence, the reference</w:t>
      </w:r>
      <w:r>
        <w:t xml:space="preserve"> </w:t>
      </w:r>
      <w:r>
        <w:t xml:space="preserve">platforms, the fight-through scenarios, the evaluation metrics and their</w:t>
      </w:r>
      <w:r>
        <w:t xml:space="preserve"> </w:t>
      </w:r>
      <w:r>
        <w:t xml:space="preserve">thresholds, and shall record them before evaluation begins.</w:t>
      </w:r>
    </w:p>
    <w:p>
      <w:pPr>
        <w:pStyle w:val="BodyText"/>
      </w:pPr>
      <w:r>
        <w:t xml:space="preserve">4.1.3 The contractor shall deliver a test plan covering every class in the</w:t>
      </w:r>
      <w:r>
        <w:t xml:space="preserve"> </w:t>
      </w:r>
      <w:r>
        <w:t xml:space="preserve">taxonomy.</w:t>
      </w:r>
    </w:p>
    <w:p>
      <w:pPr>
        <w:pStyle w:val="BodyText"/>
      </w:pPr>
      <w:r>
        <w:rPr>
          <w:b/>
          <w:bCs/>
        </w:rPr>
        <w:t xml:space="preserve">4.2 Task 2: Device-level integrity.</w:t>
      </w:r>
    </w:p>
    <w:p>
      <w:pPr>
        <w:pStyle w:val="BodyText"/>
      </w:pPr>
      <w:r>
        <w:t xml:space="preserve">4.2.1 The contractor shall implement measured boot and attestation using the</w:t>
      </w:r>
      <w:r>
        <w:t xml:space="preserve"> </w:t>
      </w:r>
      <w:r>
        <w:t xml:space="preserve">roots of trust native to the reference platforms, bound to each device’s</w:t>
      </w:r>
      <w:r>
        <w:t xml:space="preserve"> </w:t>
      </w:r>
      <w:r>
        <w:t xml:space="preserve">cryptographic identity, with graded trust for devices lacking such hardware.</w:t>
      </w:r>
    </w:p>
    <w:p>
      <w:pPr>
        <w:pStyle w:val="BodyText"/>
      </w:pPr>
      <w:r>
        <w:t xml:space="preserve">4.2.2 The contractor shall implement verification of signed software artifacts</w:t>
      </w:r>
      <w:r>
        <w:t xml:space="preserve"> </w:t>
      </w:r>
      <w:r>
        <w:t xml:space="preserve">at boot, load and install.</w:t>
      </w:r>
    </w:p>
    <w:p>
      <w:pPr>
        <w:pStyle w:val="BodyText"/>
      </w:pPr>
      <w:r>
        <w:t xml:space="preserve">4.2.3 The contractor shall produce reproducible builds and software bills of</w:t>
      </w:r>
      <w:r>
        <w:t xml:space="preserve"> </w:t>
      </w:r>
      <w:r>
        <w:t xml:space="preserve">materials for the prototype.</w:t>
      </w:r>
    </w:p>
    <w:p>
      <w:pPr>
        <w:pStyle w:val="BodyText"/>
      </w:pPr>
      <w:r>
        <w:t xml:space="preserve">4.2.4 The contractor shall isolate the prototype’s subsystems into separately</w:t>
      </w:r>
      <w:r>
        <w:t xml:space="preserve"> </w:t>
      </w:r>
      <w:r>
        <w:t xml:space="preserve">confined processes.</w:t>
      </w:r>
    </w:p>
    <w:p>
      <w:pPr>
        <w:pStyle w:val="BodyText"/>
      </w:pPr>
      <w:r>
        <w:t xml:space="preserve">4.2.5 The contractor shall implement identity re-keying and cohort-wide</w:t>
      </w:r>
      <w:r>
        <w:t xml:space="preserve"> </w:t>
      </w:r>
      <w:r>
        <w:t xml:space="preserve">revocation of a captured device’s identity.</w:t>
      </w:r>
    </w:p>
    <w:p>
      <w:pPr>
        <w:pStyle w:val="BodyText"/>
      </w:pPr>
      <w:r>
        <w:rPr>
          <w:b/>
          <w:bCs/>
        </w:rPr>
        <w:t xml:space="preserve">4.3 Task 3: Edge and fog analytics and hierarchy resilience.</w:t>
      </w:r>
    </w:p>
    <w:p>
      <w:pPr>
        <w:pStyle w:val="BodyText"/>
      </w:pPr>
      <w:r>
        <w:t xml:space="preserve">4.3.1 The contractor shall implement the behavioral anomaly detector in the</w:t>
      </w:r>
      <w:r>
        <w:t xml:space="preserve"> </w:t>
      </w:r>
      <w:r>
        <w:t xml:space="preserve">embedded runtime, conformance-tested against the reference implementation.</w:t>
      </w:r>
    </w:p>
    <w:p>
      <w:pPr>
        <w:pStyle w:val="BodyText"/>
      </w:pPr>
      <w:r>
        <w:t xml:space="preserve">4.3.2 The contractor shall place analytics between edge devices and fog gateways</w:t>
      </w:r>
      <w:r>
        <w:t xml:space="preserve"> </w:t>
      </w:r>
      <w:r>
        <w:t xml:space="preserve">according to device capacity.</w:t>
      </w:r>
    </w:p>
    <w:p>
      <w:pPr>
        <w:pStyle w:val="BodyText"/>
      </w:pPr>
      <w:r>
        <w:t xml:space="preserve">4.3.3 The contractor shall implement redundant gateway paths and cross-checking</w:t>
      </w:r>
      <w:r>
        <w:t xml:space="preserve"> </w:t>
      </w:r>
      <w:r>
        <w:t xml:space="preserve">of gateway reports.</w:t>
      </w:r>
    </w:p>
    <w:p>
      <w:pPr>
        <w:pStyle w:val="BodyText"/>
      </w:pPr>
      <w:r>
        <w:t xml:space="preserve">4.3.4 The contractor shall implement Byzantine-fault-tolerant quorum placement</w:t>
      </w:r>
      <w:r>
        <w:t xml:space="preserve"> </w:t>
      </w:r>
      <w:r>
        <w:t xml:space="preserve">and extended-partition operation.</w:t>
      </w:r>
    </w:p>
    <w:p>
      <w:pPr>
        <w:pStyle w:val="BodyText"/>
      </w:pPr>
      <w:r>
        <w:t xml:space="preserve">4.3.5 The contractor shall implement streamed message processing with early</w:t>
      </w:r>
      <w:r>
        <w:t xml:space="preserve"> </w:t>
      </w:r>
      <w:r>
        <w:t xml:space="preserve">rejection of hostile messages.</w:t>
      </w:r>
    </w:p>
    <w:p>
      <w:pPr>
        <w:pStyle w:val="BodyText"/>
      </w:pPr>
      <w:r>
        <w:rPr>
          <w:b/>
          <w:bCs/>
        </w:rPr>
        <w:t xml:space="preserve">4.4 Task 4: Response, course-of-action selection and AI integrity.</w:t>
      </w:r>
    </w:p>
    <w:p>
      <w:pPr>
        <w:pStyle w:val="BodyText"/>
      </w:pPr>
      <w:r>
        <w:t xml:space="preserve">4.4.1 The contractor shall implement an autonomous containment playbook.</w:t>
      </w:r>
    </w:p>
    <w:p>
      <w:pPr>
        <w:pStyle w:val="BodyText"/>
      </w:pPr>
      <w:r>
        <w:t xml:space="preserve">4.4.2 The contractor shall implement generation and ranking of courses of action</w:t>
      </w:r>
      <w:r>
        <w:t xml:space="preserve"> </w:t>
      </w:r>
      <w:r>
        <w:t xml:space="preserve">with supporting evidence and estimated mission impact, and an operator interface</w:t>
      </w:r>
      <w:r>
        <w:t xml:space="preserve"> </w:t>
      </w:r>
      <w:r>
        <w:t xml:space="preserve">for selection and override.</w:t>
      </w:r>
    </w:p>
    <w:p>
      <w:pPr>
        <w:pStyle w:val="BodyText"/>
      </w:pPr>
      <w:r>
        <w:t xml:space="preserve">4.4.3 The contractor shall record every containment and operator decision in a</w:t>
      </w:r>
      <w:r>
        <w:t xml:space="preserve"> </w:t>
      </w:r>
      <w:r>
        <w:t xml:space="preserve">tamper-evident audit log.</w:t>
      </w:r>
    </w:p>
    <w:p>
      <w:pPr>
        <w:pStyle w:val="BodyText"/>
      </w:pPr>
      <w:r>
        <w:t xml:space="preserve">4.4.4 The contractor shall implement integrity checking of onboard model</w:t>
      </w:r>
      <w:r>
        <w:t xml:space="preserve"> </w:t>
      </w:r>
      <w:r>
        <w:t xml:space="preserve">artifacts and plausibility checking of single-source model outputs.</w:t>
      </w:r>
    </w:p>
    <w:p>
      <w:pPr>
        <w:pStyle w:val="BodyText"/>
      </w:pPr>
      <w:r>
        <w:t xml:space="preserve">4.4.5 The contractor shall evaluate the anomaly detector against evasion and</w:t>
      </w:r>
      <w:r>
        <w:t xml:space="preserve"> </w:t>
      </w:r>
      <w:r>
        <w:t xml:space="preserve">poisoning attacks.</w:t>
      </w:r>
    </w:p>
    <w:p>
      <w:pPr>
        <w:pStyle w:val="BodyText"/>
      </w:pPr>
      <w:r>
        <w:rPr>
          <w:b/>
          <w:bCs/>
        </w:rPr>
        <w:t xml:space="preserve">4.5 Task 5: Air and space platform integration.</w:t>
      </w:r>
    </w:p>
    <w:p>
      <w:pPr>
        <w:pStyle w:val="BodyText"/>
      </w:pPr>
      <w:r>
        <w:t xml:space="preserve">4.5.1 The contractor shall implement Bundle Protocol Security on the</w:t>
      </w:r>
      <w:r>
        <w:t xml:space="preserve"> </w:t>
      </w:r>
      <w:r>
        <w:t xml:space="preserve">delay-tolerant transport.</w:t>
      </w:r>
    </w:p>
    <w:p>
      <w:pPr>
        <w:pStyle w:val="BodyText"/>
      </w:pPr>
      <w:r>
        <w:t xml:space="preserve">4.5.2 The contractor shall demonstrate operation under light-lag and</w:t>
      </w:r>
      <w:r>
        <w:t xml:space="preserve"> </w:t>
      </w:r>
      <w:r>
        <w:t xml:space="preserve">contact-window conditions agreed with the Government.</w:t>
      </w:r>
    </w:p>
    <w:p>
      <w:pPr>
        <w:pStyle w:val="BodyText"/>
      </w:pPr>
      <w:r>
        <w:t xml:space="preserve">4.5.3 The contractor shall implement one platform bus or protocol adapter for</w:t>
      </w:r>
      <w:r>
        <w:t xml:space="preserve"> </w:t>
      </w:r>
      <w:r>
        <w:t xml:space="preserve">the reference platforms.</w:t>
      </w:r>
    </w:p>
    <w:p>
      <w:pPr>
        <w:pStyle w:val="BodyText"/>
      </w:pPr>
      <w:r>
        <w:t xml:space="preserve">4.5.4 The contractor shall characterize processor, memory and link overhead on</w:t>
      </w:r>
      <w:r>
        <w:t xml:space="preserve"> </w:t>
      </w:r>
      <w:r>
        <w:t xml:space="preserve">representative flight-class hardware, and shall report on the feasibility of</w:t>
      </w:r>
      <w:r>
        <w:t xml:space="preserve"> </w:t>
      </w:r>
      <w:r>
        <w:t xml:space="preserve">microcontroller-class deployment.</w:t>
      </w:r>
    </w:p>
    <w:p>
      <w:pPr>
        <w:pStyle w:val="BodyText"/>
      </w:pPr>
      <w:r>
        <w:t xml:space="preserve">4.5.5 The contractor shall execute the conformance corpus against the C core</w:t>
      </w:r>
      <w:r>
        <w:t xml:space="preserve"> </w:t>
      </w:r>
      <w:r>
        <w:t xml:space="preserve">on an emulated big-endian SPARC (LEON3) target and report the results.</w:t>
      </w:r>
    </w:p>
    <w:p>
      <w:pPr>
        <w:pStyle w:val="BodyText"/>
      </w:pPr>
      <w:r>
        <w:rPr>
          <w:b/>
          <w:bCs/>
        </w:rPr>
        <w:t xml:space="preserve">4.6 Task 6: Scale.</w:t>
      </w:r>
      <w:r>
        <w:t xml:space="preserve"> </w:t>
      </w:r>
      <w:r>
        <w:t xml:space="preserve">The contractor shall demonstrate operation at a scale of</w:t>
      </w:r>
      <w:r>
        <w:t xml:space="preserve"> </w:t>
      </w:r>
      <w:r>
        <w:t xml:space="preserve">not less than 1,000 nodes and report overhead and decision latency against node</w:t>
      </w:r>
      <w:r>
        <w:t xml:space="preserve"> </w:t>
      </w:r>
      <w:r>
        <w:t xml:space="preserve">count.</w:t>
      </w:r>
    </w:p>
    <w:p>
      <w:pPr>
        <w:pStyle w:val="BodyText"/>
      </w:pPr>
      <w:r>
        <w:rPr>
          <w:b/>
          <w:bCs/>
        </w:rPr>
        <w:t xml:space="preserve">4.7 Task 7: Pre-exercise evaluation and Government red-team exercise.</w:t>
      </w:r>
    </w:p>
    <w:p>
      <w:pPr>
        <w:pStyle w:val="BodyText"/>
      </w:pPr>
      <w:r>
        <w:t xml:space="preserve">4.7.1 The research institution shall conduct adversary-emulation campaigns</w:t>
      </w:r>
      <w:r>
        <w:t xml:space="preserve"> </w:t>
      </w:r>
      <w:r>
        <w:t xml:space="preserve">against the integrated prototype according to the test plan, in preparation for</w:t>
      </w:r>
      <w:r>
        <w:t xml:space="preserve"> </w:t>
      </w:r>
      <w:r>
        <w:t xml:space="preserve">the Government-run exercise.</w:t>
      </w:r>
    </w:p>
    <w:p>
      <w:pPr>
        <w:pStyle w:val="BodyText"/>
      </w:pPr>
      <w:r>
        <w:t xml:space="preserve">4.7.2 The contractor shall deliver, install and configure the prototype for the</w:t>
      </w:r>
      <w:r>
        <w:t xml:space="preserve"> </w:t>
      </w:r>
      <w:r>
        <w:t xml:space="preserve">Government-run red-team exercise at AFRL/RI, Rome, NY, and shall support the</w:t>
      </w:r>
      <w:r>
        <w:t xml:space="preserve"> </w:t>
      </w:r>
      <w:r>
        <w:t xml:space="preserve">exercise on site.</w:t>
      </w:r>
    </w:p>
    <w:p>
      <w:pPr>
        <w:pStyle w:val="BodyText"/>
      </w:pPr>
      <w:r>
        <w:t xml:space="preserve">4.7.3 The contractor shall demonstrate continued mission-task completion during</w:t>
      </w:r>
      <w:r>
        <w:t xml:space="preserve"> </w:t>
      </w:r>
      <w:r>
        <w:t xml:space="preserve">a supply-chain compromise and during a remote-exploit compromise.</w:t>
      </w:r>
    </w:p>
    <w:p>
      <w:pPr>
        <w:pStyle w:val="BodyText"/>
      </w:pPr>
      <w:r>
        <w:t xml:space="preserve">4.7.4 The contractor shall report campaign results against the recorded metrics</w:t>
      </w:r>
      <w:r>
        <w:t xml:space="preserve"> </w:t>
      </w:r>
      <w:r>
        <w:t xml:space="preserve">and thresholds, and shall analyze the exercise results as released by the</w:t>
      </w:r>
      <w:r>
        <w:t xml:space="preserve"> </w:t>
      </w:r>
      <w:r>
        <w:t xml:space="preserve">Government.</w:t>
      </w:r>
    </w:p>
    <w:p>
      <w:pPr>
        <w:pStyle w:val="BodyText"/>
      </w:pPr>
      <w:r>
        <w:rPr>
          <w:b/>
          <w:bCs/>
        </w:rPr>
        <w:t xml:space="preserve">4.8 Task 8: Program management and reporting.</w:t>
      </w:r>
      <w:r>
        <w:t xml:space="preserve"> </w:t>
      </w:r>
      <w:r>
        <w:t xml:space="preserve">The contractor shall hold a</w:t>
      </w:r>
      <w:r>
        <w:t xml:space="preserve"> </w:t>
      </w:r>
      <w:r>
        <w:t xml:space="preserve">kickoff and a mid-term review with the Government, deliver quarterly status</w:t>
      </w:r>
      <w:r>
        <w:t xml:space="preserve"> </w:t>
      </w:r>
      <w:r>
        <w:t xml:space="preserve">reports and a final report, and deliver a transition plan.</w:t>
      </w:r>
    </w:p>
    <w:bookmarkEnd w:id="24"/>
    <w:bookmarkEnd w:id="25"/>
    <w:bookmarkStart w:id="33" w:name="deliverables"/>
    <w:p>
      <w:pPr>
        <w:pStyle w:val="Heading2"/>
      </w:pPr>
      <w:r>
        <w:t xml:space="preserve">7) Deliverables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Due</w:t>
            </w:r>
          </w:p>
        </w:tc>
        <w:tc>
          <w:tcPr/>
          <w:p>
            <w:pPr>
              <w:pStyle w:val="Compact"/>
            </w:pPr>
            <w:r>
              <w:t xml:space="preserve">Qty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Software</w:t>
            </w:r>
          </w:p>
        </w:tc>
        <w:tc>
          <w:tcPr/>
          <w:p>
            <w:pPr>
              <w:pStyle w:val="Compact"/>
            </w:pPr>
            <w:r>
              <w:t xml:space="preserve">AutonomousTrust prototype (C core and reference runtime) with Phase II extensions, build scripts and SBOM</w:t>
            </w:r>
          </w:p>
        </w:tc>
        <w:tc>
          <w:tcPr/>
          <w:p>
            <w:pPr>
              <w:pStyle w:val="Compact"/>
            </w:pPr>
            <w:r>
              <w:t xml:space="preserve">M9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data</w:t>
            </w:r>
          </w:p>
        </w:tc>
        <w:tc>
          <w:tcPr/>
          <w:p>
            <w:pPr>
              <w:pStyle w:val="Compact"/>
            </w:pPr>
            <w:r>
              <w:t xml:space="preserve">Taxonomy, test plan, pre-registration record, red-team and scaling data, reproducible evaluation artifacts</w:t>
            </w:r>
          </w:p>
        </w:tc>
        <w:tc>
          <w:tcPr/>
          <w:p>
            <w:pPr>
              <w:pStyle w:val="Compact"/>
            </w:pPr>
            <w:r>
              <w:t xml:space="preserve">M2, M7, M9</w:t>
            </w:r>
          </w:p>
        </w:tc>
        <w:tc>
          <w:tcPr/>
          <w:p>
            <w:pPr>
              <w:pStyle w:val="Compact"/>
            </w:pPr>
            <w:r>
              <w:t xml:space="preserve">1 each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Assurance package</w:t>
            </w:r>
          </w:p>
        </w:tc>
        <w:tc>
          <w:tcPr/>
          <w:p>
            <w:pPr>
              <w:pStyle w:val="Compact"/>
            </w:pPr>
            <w:r>
              <w:t xml:space="preserve">Formal-verification results and conformance corpus</w:t>
            </w:r>
          </w:p>
        </w:tc>
        <w:tc>
          <w:tcPr/>
          <w:p>
            <w:pPr>
              <w:pStyle w:val="Compact"/>
            </w:pPr>
            <w:r>
              <w:t xml:space="preserve">M9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Exercise package</w:t>
            </w:r>
          </w:p>
        </w:tc>
        <w:tc>
          <w:tcPr/>
          <w:p>
            <w:pPr>
              <w:pStyle w:val="Compact"/>
            </w:pPr>
            <w:r>
              <w:t xml:space="preserve">Prototype configured for the Government red-team exercise, with installation and operating instructions</w:t>
            </w:r>
          </w:p>
        </w:tc>
        <w:tc>
          <w:tcPr/>
          <w:p>
            <w:pPr>
              <w:pStyle w:val="Compact"/>
            </w:pPr>
            <w:r>
              <w:t xml:space="preserve">M7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</w:pPr>
            <w:r>
              <w:t xml:space="preserve">Software documentation and user’s manual</w:t>
            </w:r>
          </w:p>
        </w:tc>
        <w:tc>
          <w:tcPr/>
          <w:p>
            <w:pPr>
              <w:pStyle w:val="Compact"/>
            </w:pPr>
            <w:r>
              <w:t xml:space="preserve">M9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 reports</w:t>
            </w:r>
          </w:p>
        </w:tc>
        <w:tc>
          <w:tcPr/>
          <w:p>
            <w:pPr>
              <w:pStyle w:val="Compact"/>
            </w:pPr>
            <w:r>
              <w:t xml:space="preserve">Quarterly</w:t>
            </w:r>
          </w:p>
        </w:tc>
        <w:tc>
          <w:tcPr/>
          <w:p>
            <w:pPr>
              <w:pStyle w:val="Compact"/>
            </w:pPr>
            <w:r>
              <w:t xml:space="preserve">Quarterly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Final report</w:t>
            </w:r>
          </w:p>
        </w:tc>
        <w:tc>
          <w:tcPr/>
          <w:p>
            <w:pPr>
              <w:pStyle w:val="Compact"/>
            </w:pPr>
            <w:r>
              <w:t xml:space="preserve">Single-page public summary followed by objectives, work, results and feasibility estimates</w:t>
            </w:r>
          </w:p>
        </w:tc>
        <w:tc>
          <w:tcPr/>
          <w:p>
            <w:pPr>
              <w:pStyle w:val="Compact"/>
            </w:pPr>
            <w:r>
              <w:t xml:space="preserve">M9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Transition plan</w:t>
            </w:r>
          </w:p>
        </w:tc>
        <w:tc>
          <w:tcPr/>
          <w:p>
            <w:pPr>
              <w:pStyle w:val="Compact"/>
            </w:pPr>
            <w:r>
              <w:t xml:space="preserve">Integration path for the identified transition programs</w:t>
            </w:r>
          </w:p>
        </w:tc>
        <w:tc>
          <w:tcPr/>
          <w:p>
            <w:pPr>
              <w:pStyle w:val="Compact"/>
            </w:pPr>
            <w:r>
              <w:t xml:space="preserve">M9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Reference edge hardware purchased under the effort is used for development and</w:t>
      </w:r>
      <w:r>
        <w:t xml:space="preserve"> </w:t>
      </w:r>
      <w:r>
        <w:t xml:space="preserve">evaluation and is not a deliverable item. [TODO: decide; if hardware is left in</w:t>
      </w:r>
      <w:r>
        <w:t xml:space="preserve"> </w:t>
      </w:r>
      <w:r>
        <w:t xml:space="preserve">Rome for the exercise it may become one, and DFARS 252.211-7003 then applies.]</w:t>
      </w:r>
      <w:r>
        <w:t xml:space="preserve"> </w:t>
      </w:r>
      <w:r>
        <w:t xml:space="preserve">[TODO: data-rights assertions for AT background technology.]</w:t>
      </w:r>
    </w:p>
    <w:bookmarkStart w:id="26" w:name="c-related-work"/>
    <w:p>
      <w:pPr>
        <w:pStyle w:val="Heading3"/>
      </w:pPr>
      <w:r>
        <w:t xml:space="preserve">C) Related Work</w:t>
      </w:r>
    </w:p>
    <w:p>
      <w:pPr>
        <w:pStyle w:val="FirstParagraph"/>
      </w:pPr>
      <w:r>
        <w:rPr>
          <w:b/>
          <w:bCs/>
        </w:rPr>
        <w:t xml:space="preserve">AutonomousTrust (TekFive, 2023 to present, internally funded).</w:t>
      </w:r>
      <w:r>
        <w:t xml:space="preserve"> </w:t>
      </w:r>
      <w:r>
        <w:t xml:space="preserve">The proposed</w:t>
      </w:r>
      <w:r>
        <w:t xml:space="preserve"> </w:t>
      </w:r>
      <w:r>
        <w:t xml:space="preserve">work builds on AT, documented in Volume 5. AT provides cryptographic identity in</w:t>
      </w:r>
      <w:r>
        <w:t xml:space="preserve"> </w:t>
      </w:r>
      <w:r>
        <w:t xml:space="preserve">a Merkle-DAG ledger, reputation-weighted indirect reciprocity, leaderless</w:t>
      </w:r>
      <w:r>
        <w:t xml:space="preserve"> </w:t>
      </w:r>
      <w:r>
        <w:t xml:space="preserve">Multi-Paxos agreement, evidence-gated slashing, capability tier gating, a Zero</w:t>
      </w:r>
      <w:r>
        <w:t xml:space="preserve"> </w:t>
      </w:r>
      <w:r>
        <w:t xml:space="preserve">Trust overlay (an X.509 verifier with OCSP and CRL, deferred verification under</w:t>
      </w:r>
      <w:r>
        <w:t xml:space="preserve"> </w:t>
      </w:r>
      <w:r>
        <w:t xml:space="preserve">DDIL and delegated verification by quorum), a physical-consistency oracle,</w:t>
      </w:r>
      <w:r>
        <w:t xml:space="preserve"> </w:t>
      </w:r>
      <w:r>
        <w:t xml:space="preserve">peer-to-peer signed fleet updates, a Bundle Protocol transport, partition</w:t>
      </w:r>
      <w:r>
        <w:t xml:space="preserve"> </w:t>
      </w:r>
      <w:r>
        <w:t xml:space="preserve">detection and recovery, and a hierarchical gateway network. The C core is under</w:t>
      </w:r>
      <w:r>
        <w:t xml:space="preserve"> </w:t>
      </w:r>
      <w:r>
        <w:t xml:space="preserve">Frama-C/WP formal verification and pinned to the Python reference by a 677-case</w:t>
      </w:r>
      <w:r>
        <w:t xml:space="preserve"> </w:t>
      </w:r>
      <w:r>
        <w:t xml:space="preserve">conformance corpus. [TODO: client contact and completion date fields do not fit</w:t>
      </w:r>
      <w:r>
        <w:t xml:space="preserve"> </w:t>
      </w:r>
      <w:r>
        <w:t xml:space="preserve">an internal effort; state that.]</w:t>
      </w:r>
    </w:p>
    <w:p>
      <w:pPr>
        <w:pStyle w:val="BodyText"/>
      </w:pPr>
      <w:r>
        <w:rPr>
          <w:b/>
          <w:bCs/>
        </w:rPr>
        <w:t xml:space="preserve">PI background.</w:t>
      </w:r>
      <w:r>
        <w:t xml:space="preserve"> </w:t>
      </w:r>
      <w:r>
        <w:t xml:space="preserve">[TODO: prior programs with client, contact and completion</w:t>
      </w:r>
      <w:r>
        <w:t xml:space="preserve"> </w:t>
      </w:r>
      <w:r>
        <w:t xml:space="preserve">date, e.g. the AMOS 2021 dynamic-coalition work (Vestrand et al.) and other LANL</w:t>
      </w:r>
      <w:r>
        <w:t xml:space="preserve"> </w:t>
      </w:r>
      <w:r>
        <w:t xml:space="preserve">or TekFive programs on autonomous distributed and flight systems.]</w:t>
      </w:r>
    </w:p>
    <w:p>
      <w:pPr>
        <w:pStyle w:val="BodyText"/>
      </w:pPr>
      <w:r>
        <w:rPr>
          <w:b/>
          <w:bCs/>
        </w:rPr>
        <w:t xml:space="preserve">McCrary Institute.</w:t>
      </w:r>
      <w:r>
        <w:t xml:space="preserve"> </w:t>
      </w:r>
      <w:r>
        <w:t xml:space="preserve">[TODO: McCrary programs relevant to edge and critical</w:t>
      </w:r>
      <w:r>
        <w:t xml:space="preserve"> </w:t>
      </w:r>
      <w:r>
        <w:t xml:space="preserve">infrastructure security, with client and contact.]</w:t>
      </w:r>
    </w:p>
    <w:p>
      <w:pPr>
        <w:pStyle w:val="BodyText"/>
      </w:pPr>
      <w:r>
        <w:rPr>
          <w:b/>
          <w:bCs/>
        </w:rPr>
        <w:t xml:space="preserve">State of the art.</w:t>
      </w:r>
      <w:r>
        <w:t xml:space="preserve"> </w:t>
      </w:r>
      <w:r>
        <w:t xml:space="preserve">Commercial reputation services score infrastructure</w:t>
      </w:r>
      <w:r>
        <w:t xml:space="preserve"> </w:t>
      </w:r>
      <w:r>
        <w:t xml:space="preserve">centrally and assume connectivity; AT computes reputation among the devices</w:t>
      </w:r>
      <w:r>
        <w:t xml:space="preserve"> </w:t>
      </w:r>
      <w:r>
        <w:t xml:space="preserve">themselves and keeps doing so disconnected. Hardware-centric FEC defenses</w:t>
      </w:r>
      <w:r>
        <w:t xml:space="preserve"> </w:t>
      </w:r>
      <w:r>
        <w:t xml:space="preserve">(obfuscation, redundancy, FPGA-based monitoring) and network-perimeter defenses</w:t>
      </w:r>
      <w:r>
        <w:t xml:space="preserve"> </w:t>
      </w:r>
      <w:r>
        <w:t xml:space="preserve">are discussed in Section 4. Streaming detection of APTs in industrial IoT (Javed</w:t>
      </w:r>
      <w:r>
        <w:t xml:space="preserve"> </w:t>
      </w:r>
      <w:r>
        <w:t xml:space="preserve">et al., 2022) and the AI-based FEC taxonomy of Iftikhar et al. (2022) inform</w:t>
      </w:r>
      <w:r>
        <w:t xml:space="preserve"> </w:t>
      </w:r>
      <w:r>
        <w:t xml:space="preserve">Tasks 3 and 4. [TODO: McCrary to add the literature for the taxonomy; subject</w:t>
      </w:r>
      <w:r>
        <w:t xml:space="preserve"> </w:t>
      </w:r>
      <w:r>
        <w:t xml:space="preserve">matter experts commenting on the state of the art, if any.]</w:t>
      </w:r>
    </w:p>
    <w:bookmarkEnd w:id="26"/>
    <w:bookmarkStart w:id="27" w:name="d-commercialization-potential"/>
    <w:p>
      <w:pPr>
        <w:pStyle w:val="Heading3"/>
      </w:pPr>
      <w:r>
        <w:t xml:space="preserve">D) Commercialization Potential</w:t>
      </w:r>
    </w:p>
    <w:p>
      <w:pPr>
        <w:pStyle w:val="FirstParagraph"/>
      </w:pPr>
      <w:r>
        <w:rPr>
          <w:b/>
          <w:bCs/>
        </w:rPr>
        <w:t xml:space="preserve">First planned product.</w:t>
      </w:r>
      <w:r>
        <w:t xml:space="preserve"> </w:t>
      </w:r>
      <w:r>
        <w:t xml:space="preserve">[TODO: Sean to decide. Candidate: an AT edge agent</w:t>
      </w:r>
      <w:r>
        <w:t xml:space="preserve"> </w:t>
      </w:r>
      <w:r>
        <w:t xml:space="preserve">and fog gateway for small UAS and IoT fleets, licensed per device with a</w:t>
      </w:r>
      <w:r>
        <w:t xml:space="preserve"> </w:t>
      </w:r>
      <w:r>
        <w:t xml:space="preserve">supported gateway.]</w:t>
      </w:r>
    </w:p>
    <w:p>
      <w:pPr>
        <w:pStyle w:val="BodyText"/>
      </w:pPr>
      <w:r>
        <w:rPr>
          <w:b/>
          <w:bCs/>
        </w:rPr>
        <w:t xml:space="preserve">Probable customers and market size.</w:t>
      </w:r>
      <w:r>
        <w:t xml:space="preserve"> </w:t>
      </w:r>
      <w:r>
        <w:t xml:space="preserve">Defense customers are the programs</w:t>
      </w:r>
      <w:r>
        <w:t xml:space="preserve"> </w:t>
      </w:r>
      <w:r>
        <w:t xml:space="preserve">fielding small UAS, small satellites and IoBT sensors, beginning with the</w:t>
      </w:r>
      <w:r>
        <w:t xml:space="preserve"> </w:t>
      </w:r>
      <w:r>
        <w:t xml:space="preserve">transition targets below. Commercial customers are operators of industrial</w:t>
      </w:r>
      <w:r>
        <w:t xml:space="preserve"> </w:t>
      </w:r>
      <w:r>
        <w:t xml:space="preserve">control systems with thousands of long-lived controllers on flat networks,</w:t>
      </w:r>
      <w:r>
        <w:t xml:space="preserve"> </w:t>
      </w:r>
      <w:r>
        <w:t xml:space="preserve">commercial constellation operators, drone-fleet operators, healthcare device</w:t>
      </w:r>
      <w:r>
        <w:t xml:space="preserve"> </w:t>
      </w:r>
      <w:r>
        <w:t xml:space="preserve">fleets that must keep working when the hospital uplink drops, and builders of</w:t>
      </w:r>
      <w:r>
        <w:t xml:space="preserve"> </w:t>
      </w:r>
      <w:r>
        <w:t xml:space="preserve">multi-agent AI systems, where the question is no longer whether an identity is</w:t>
      </w:r>
      <w:r>
        <w:t xml:space="preserve"> </w:t>
      </w:r>
      <w:r>
        <w:t xml:space="preserve">valid but whether an agent is still behaving as it should. [TODO: market sizing</w:t>
      </w:r>
      <w:r>
        <w:t xml:space="preserve"> </w:t>
      </w:r>
      <w:r>
        <w:t xml:space="preserve">with sources.]</w:t>
      </w:r>
    </w:p>
    <w:p>
      <w:pPr>
        <w:pStyle w:val="BodyText"/>
      </w:pPr>
      <w:r>
        <w:rPr>
          <w:b/>
          <w:bCs/>
        </w:rPr>
        <w:t xml:space="preserve">Funding to market.</w:t>
      </w:r>
      <w:r>
        <w:t xml:space="preserve"> </w:t>
      </w:r>
      <w:r>
        <w:t xml:space="preserve">[TODO: amount and sources.]</w:t>
      </w:r>
    </w:p>
    <w:p>
      <w:pPr>
        <w:pStyle w:val="BodyText"/>
      </w:pPr>
      <w:r>
        <w:rPr>
          <w:b/>
          <w:bCs/>
        </w:rPr>
        <w:t xml:space="preserve">Marketing expertise.</w:t>
      </w:r>
      <w:r>
        <w:t xml:space="preserve"> </w:t>
      </w:r>
      <w:r>
        <w:t xml:space="preserve">[TODO: TekFive business development; McCrary’s</w:t>
      </w:r>
      <w:r>
        <w:t xml:space="preserve"> </w:t>
      </w:r>
      <w:r>
        <w:t xml:space="preserve">relationships with utilities and critical-infrastructure operators, including</w:t>
      </w:r>
      <w:r>
        <w:t xml:space="preserve"> </w:t>
      </w:r>
      <w:r>
        <w:t xml:space="preserve">through SERC3; TABA (up to $50,000) for market validation.]</w:t>
      </w:r>
    </w:p>
    <w:p>
      <w:pPr>
        <w:pStyle w:val="BodyText"/>
      </w:pPr>
      <w:r>
        <w:rPr>
          <w:b/>
          <w:bCs/>
        </w:rPr>
        <w:t xml:space="preserve">Competitors and advantage.</w:t>
      </w:r>
      <w:r>
        <w:t xml:space="preserve"> </w:t>
      </w:r>
      <w:r>
        <w:t xml:space="preserve">Centralized reputation and threat-intelligence</w:t>
      </w:r>
      <w:r>
        <w:t xml:space="preserve"> </w:t>
      </w:r>
      <w:r>
        <w:t xml:space="preserve">services, endpoint detection products and Zero Trust platforms all depend on</w:t>
      </w:r>
      <w:r>
        <w:t xml:space="preserve"> </w:t>
      </w:r>
      <w:r>
        <w:t xml:space="preserve">reachable infrastructure; hardware-security vendors depend on added parts. AT’s</w:t>
      </w:r>
      <w:r>
        <w:t xml:space="preserve"> </w:t>
      </w:r>
      <w:r>
        <w:t xml:space="preserve">advantage is that it keeps working disconnected, needs no added hardware, and</w:t>
      </w:r>
      <w:r>
        <w:t xml:space="preserve"> </w:t>
      </w:r>
      <w:r>
        <w:t xml:space="preserve">carries formal-verification evidence. [TODO: named competitors and price</w:t>
      </w:r>
      <w:r>
        <w:t xml:space="preserve"> </w:t>
      </w:r>
      <w:r>
        <w:t xml:space="preserve">position.]</w:t>
      </w:r>
    </w:p>
    <w:bookmarkEnd w:id="27"/>
    <w:bookmarkStart w:id="28" w:name="e-relationship-with-future-rrd-efforts"/>
    <w:p>
      <w:pPr>
        <w:pStyle w:val="Heading3"/>
      </w:pPr>
      <w:r>
        <w:t xml:space="preserve">E) Relationship with Future R/R&amp;D Efforts</w:t>
      </w:r>
    </w:p>
    <w:p>
      <w:pPr>
        <w:pStyle w:val="FirstParagraph"/>
      </w:pPr>
      <w:r>
        <w:t xml:space="preserve">Phase II ends with a prototype on representative platforms that has been through</w:t>
      </w:r>
      <w:r>
        <w:t xml:space="preserve"> </w:t>
      </w:r>
      <w:r>
        <w:t xml:space="preserve">a Government-run red-team exercise. Phase III integrates it into a transition</w:t>
      </w:r>
      <w:r>
        <w:t xml:space="preserve"> </w:t>
      </w:r>
      <w:r>
        <w:t xml:space="preserve">program’s platforms for operational test and accreditation, with the formally</w:t>
      </w:r>
      <w:r>
        <w:t xml:space="preserve"> </w:t>
      </w:r>
      <w:r>
        <w:t xml:space="preserve">verified core and the exercise results as the principal accreditation evidence.</w:t>
      </w:r>
      <w:r>
        <w:t xml:space="preserve"> </w:t>
      </w:r>
      <w:r>
        <w:t xml:space="preserve">The Phase III description names avionics, space systems, IoT, IoBT and IoST, all</w:t>
      </w:r>
      <w:r>
        <w:t xml:space="preserve"> </w:t>
      </w:r>
      <w:r>
        <w:t xml:space="preserve">of which the same agent serves with a different bus adapter. [TODO: transition</w:t>
      </w:r>
      <w:r>
        <w:t xml:space="preserve"> </w:t>
      </w:r>
      <w:r>
        <w:t xml:space="preserve">programs and sponsors; letters of support.]</w:t>
      </w:r>
    </w:p>
    <w:bookmarkEnd w:id="28"/>
    <w:bookmarkStart w:id="29" w:name="f-key-personnel"/>
    <w:p>
      <w:pPr>
        <w:pStyle w:val="Heading3"/>
      </w:pPr>
      <w:r>
        <w:t xml:space="preserve">F) Key Personnel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 and title</w:t>
            </w:r>
          </w:p>
        </w:tc>
        <w:tc>
          <w:tcPr/>
          <w:p>
            <w:pPr>
              <w:pStyle w:val="Compact"/>
            </w:pPr>
            <w:r>
              <w:t xml:space="preserve">Employer</w:t>
            </w:r>
          </w:p>
        </w:tc>
        <w:tc>
          <w:tcPr/>
          <w:p>
            <w:pPr>
              <w:pStyle w:val="Compact"/>
            </w:pPr>
            <w:r>
              <w:t xml:space="preserve">Education and experience</w:t>
            </w:r>
          </w:p>
        </w:tc>
        <w:tc>
          <w:tcPr/>
          <w:p>
            <w:pPr>
              <w:pStyle w:val="Compact"/>
            </w:pPr>
            <w:r>
              <w:t xml:space="preserve">Citizenship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Sean M. Brennan, Principal Investigator</w:t>
            </w:r>
          </w:p>
        </w:tc>
        <w:tc>
          <w:tcPr/>
          <w:p>
            <w:pPr>
              <w:pStyle w:val="Compact"/>
            </w:pPr>
            <w:r>
              <w:t xml:space="preserve">TekFive</w:t>
            </w:r>
          </w:p>
        </w:tc>
        <w:tc>
          <w:tcPr/>
          <w:p>
            <w:pPr>
              <w:pStyle w:val="Compact"/>
            </w:pPr>
            <w:r>
              <w:t xml:space="preserve">Software engineer, architect and research scientist with 20+ years building secure, real-time autonomous distributed systems from the resource-constrained edge to the data-fusion core, across unclassified and classified networks, including embedded and flight software and M&amp;S of large distributed networks. Ph.D. in Computer Science (2009). Author of AutonomousTrust.</w:t>
            </w:r>
          </w:p>
        </w:tc>
        <w:tc>
          <w:tcPr/>
          <w:p>
            <w:pPr>
              <w:pStyle w:val="Compact"/>
            </w:pPr>
            <w:r>
              <w:t xml:space="preserve">U.S.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[TODO: university PI]</w:t>
            </w:r>
          </w:p>
        </w:tc>
        <w:tc>
          <w:tcPr/>
          <w:p>
            <w:pPr>
              <w:pStyle w:val="Compact"/>
            </w:pPr>
            <w:r>
              <w:t xml:space="preserve">McCrary Institute, Auburn University</w:t>
            </w:r>
          </w:p>
        </w:tc>
        <w:tc>
          <w:tcPr/>
          <w:p>
            <w:pPr>
              <w:pStyle w:val="Compact"/>
            </w:pPr>
            <w:r>
              <w:t xml:space="preserve">[TODO]</w:t>
            </w:r>
          </w:p>
        </w:tc>
        <w:tc>
          <w:tcPr/>
          <w:p>
            <w:pPr>
              <w:pStyle w:val="Compact"/>
            </w:pPr>
            <w:r>
              <w:t xml:space="preserve">[TODO]</w:t>
            </w:r>
          </w:p>
        </w:tc>
      </w:tr>
      <w:tr>
        <w:tc>
          <w:tcPr/>
          <w:p>
            <w:pPr>
              <w:pStyle w:val="Compact"/>
            </w:pPr>
            <w:r>
              <w:t xml:space="preserve">[TODO: e.g. J. Mark Norris, ZTA and systems engineering]</w:t>
            </w:r>
          </w:p>
        </w:tc>
        <w:tc>
          <w:tcPr/>
          <w:p>
            <w:pPr>
              <w:pStyle w:val="Compact"/>
            </w:pPr>
            <w:r>
              <w:t xml:space="preserve">TekFive</w:t>
            </w:r>
          </w:p>
        </w:tc>
        <w:tc>
          <w:tcPr/>
          <w:p>
            <w:pPr>
              <w:pStyle w:val="Compact"/>
            </w:pPr>
            <w:r>
              <w:t xml:space="preserve">[TODO]</w:t>
            </w:r>
          </w:p>
        </w:tc>
        <w:tc>
          <w:tcPr/>
          <w:p>
            <w:pPr>
              <w:pStyle w:val="Compact"/>
            </w:pPr>
            <w:r>
              <w:t xml:space="preserve">U.S.</w:t>
            </w:r>
          </w:p>
        </w:tc>
      </w:tr>
    </w:tbl>
    <w:p>
      <w:pPr>
        <w:pStyle w:val="BodyText"/>
      </w:pPr>
      <w:r>
        <w:t xml:space="preserve">[TODO: PI technical resume with publications; concise resumes for McCrary</w:t>
      </w:r>
      <w:r>
        <w:t xml:space="preserve"> </w:t>
      </w:r>
      <w:r>
        <w:t xml:space="preserve">staff.] No foreign nationals are proposed for any task, at TekFive or at Auburn.</w:t>
      </w:r>
      <w:r>
        <w:t xml:space="preserve"> </w:t>
      </w:r>
      <w:r>
        <w:t xml:space="preserve">TekFive holds an active Top Secret Facility Clearance issued by DCSA, with an</w:t>
      </w:r>
      <w:r>
        <w:t xml:space="preserve"> </w:t>
      </w:r>
      <w:r>
        <w:t xml:space="preserve">approved FSO, an Insider Threat Program and NISPOM compliance, and is 100%</w:t>
      </w:r>
      <w:r>
        <w:t xml:space="preserve"> </w:t>
      </w:r>
      <w:r>
        <w:t xml:space="preserve">U.S.-owned with no FOCI. [TODO: refresh clearance counts.]</w:t>
      </w:r>
    </w:p>
    <w:bookmarkEnd w:id="29"/>
    <w:bookmarkStart w:id="30" w:name="g-facilitiesequipment"/>
    <w:p>
      <w:pPr>
        <w:pStyle w:val="Heading3"/>
      </w:pPr>
      <w:r>
        <w:t xml:space="preserve">G) Facilities/Equipment</w:t>
      </w:r>
    </w:p>
    <w:p>
      <w:pPr>
        <w:pStyle w:val="FirstParagraph"/>
      </w:pPr>
      <w:r>
        <w:t xml:space="preserve">TekFive supplies development workstations and servers, the AT codebase,</w:t>
      </w:r>
      <w:r>
        <w:t xml:space="preserve"> </w:t>
      </w:r>
      <w:r>
        <w:t xml:space="preserve">simulator and scale harness, representative ARM edge hardware, and an AWS</w:t>
      </w:r>
      <w:r>
        <w:t xml:space="preserve"> </w:t>
      </w:r>
      <w:r>
        <w:t xml:space="preserve">GovCloud account (ITAR compliant) for the scaling study. The PI works from a</w:t>
      </w:r>
      <w:r>
        <w:t xml:space="preserve"> </w:t>
      </w:r>
      <w:r>
        <w:t xml:space="preserve">TekFive-designated office in Duck, WV under TekFive’s approved remote-work and</w:t>
      </w:r>
      <w:r>
        <w:t xml:space="preserve"> </w:t>
      </w:r>
      <w:r>
        <w:t xml:space="preserve">information-security policies (CMMC Level 2); other TekFive work is performed at</w:t>
      </w:r>
      <w:r>
        <w:t xml:space="preserve"> </w:t>
      </w:r>
      <w:r>
        <w:t xml:space="preserve">850 Ben Graves Dr NW, Suite 324, Huntsville, AL 35816. McCrary work is performed</w:t>
      </w:r>
      <w:r>
        <w:t xml:space="preserve"> </w:t>
      </w:r>
      <w:r>
        <w:t xml:space="preserve">at Auburn University. [TODO: McCrary facilities and equipment.] [TODO: reference</w:t>
      </w:r>
      <w:r>
        <w:t xml:space="preserve"> </w:t>
      </w:r>
      <w:r>
        <w:t xml:space="preserve">platform hardware to be purchased, with justification in the cost volume.]</w:t>
      </w:r>
    </w:p>
    <w:p>
      <w:pPr>
        <w:pStyle w:val="BodyText"/>
      </w:pPr>
      <w:r>
        <w:t xml:space="preserve">TekFive’s facilities comply with all applicable federal, state and local</w:t>
      </w:r>
      <w:r>
        <w:t xml:space="preserve"> </w:t>
      </w:r>
      <w:r>
        <w:t xml:space="preserve">environmental laws and regulations. [TODO: Auburn to confirm the same for its</w:t>
      </w:r>
      <w:r>
        <w:t xml:space="preserve"> </w:t>
      </w:r>
      <w:r>
        <w:t xml:space="preserve">facilities.]</w:t>
      </w:r>
    </w:p>
    <w:bookmarkEnd w:id="30"/>
    <w:bookmarkStart w:id="31" w:name="h-consultantssubcontractors"/>
    <w:p>
      <w:pPr>
        <w:pStyle w:val="Heading3"/>
      </w:pPr>
      <w:r>
        <w:t xml:space="preserve">H) Consultants/Subcontractors</w:t>
      </w:r>
    </w:p>
    <w:p>
      <w:pPr>
        <w:pStyle w:val="FirstParagraph"/>
      </w:pPr>
      <w:r>
        <w:rPr>
          <w:b/>
          <w:bCs/>
        </w:rPr>
        <w:t xml:space="preserve">McCrary Institute for Cyber and Critical Infrastructure Security, Auburn</w:t>
      </w:r>
      <w:r>
        <w:rPr>
          <w:b/>
          <w:bCs/>
        </w:rPr>
        <w:t xml:space="preserve"> </w:t>
      </w:r>
      <w:r>
        <w:rPr>
          <w:b/>
          <w:bCs/>
        </w:rPr>
        <w:t xml:space="preserve">University (research institution).</w:t>
      </w:r>
      <w:r>
        <w:t xml:space="preserve"> </w:t>
      </w:r>
      <w:r>
        <w:t xml:space="preserve">McCrary is our STTR research partner, and</w:t>
      </w:r>
      <w:r>
        <w:t xml:space="preserve"> </w:t>
      </w:r>
      <w:r>
        <w:t xml:space="preserve">we chose the division of work deliberately: TekFive builds the defense and</w:t>
      </w:r>
      <w:r>
        <w:t xml:space="preserve"> </w:t>
      </w:r>
      <w:r>
        <w:t xml:space="preserve">McCrary attacks it, so that every claim of coverage in the final report has been</w:t>
      </w:r>
      <w:r>
        <w:t xml:space="preserve"> </w:t>
      </w:r>
      <w:r>
        <w:t xml:space="preserve">tested by people who did not write the code. McCrary leads the attack-class</w:t>
      </w:r>
      <w:r>
        <w:t xml:space="preserve"> </w:t>
      </w:r>
      <w:r>
        <w:t xml:space="preserve">taxonomy and test plan (Task 1), the adversarial-ML evaluation (Task 4.4.5) and</w:t>
      </w:r>
      <w:r>
        <w:t xml:space="preserve"> </w:t>
      </w:r>
      <w:r>
        <w:t xml:space="preserve">the campaigns that prepare the fabric for the Government exercise (Task 4.7.1),</w:t>
      </w:r>
      <w:r>
        <w:t xml:space="preserve"> </w:t>
      </w:r>
      <w:r>
        <w:t xml:space="preserve">and contributes to the fight-through scenarios. [TODO: whether McCrary staff may</w:t>
      </w:r>
      <w:r>
        <w:t xml:space="preserve"> </w:t>
      </w:r>
      <w:r>
        <w:t xml:space="preserve">attend the exercise in Rome.] McCrary performs approximately 40% of the effort</w:t>
      </w:r>
      <w:r>
        <w:t xml:space="preserve"> </w:t>
      </w:r>
      <w:r>
        <w:t xml:space="preserve">and TekFive approximately 60%, measured by cost. [TODO: McCrary PI and staff,</w:t>
      </w:r>
      <w:r>
        <w:t xml:space="preserve"> </w:t>
      </w:r>
      <w:r>
        <w:t xml:space="preserve">facilities (Edge Lab, SERC3) and their role, statement of work, signed letter of</w:t>
      </w:r>
      <w:r>
        <w:t xml:space="preserve"> </w:t>
      </w:r>
      <w:r>
        <w:t xml:space="preserve">intent, and cost proposal. Final split depends on the hardware purchase.]</w:t>
      </w:r>
    </w:p>
    <w:bookmarkEnd w:id="31"/>
    <w:bookmarkStart w:id="32" w:name="X90ad57382a0c9f35295e3ee28f33d92d51db898"/>
    <w:p>
      <w:pPr>
        <w:pStyle w:val="Heading3"/>
      </w:pPr>
      <w:r>
        <w:t xml:space="preserve">I) Prior, Current, or Pending Support of Similar Proposals or Awards</w:t>
      </w:r>
    </w:p>
    <w:p>
      <w:pPr>
        <w:pStyle w:val="FirstParagraph"/>
      </w:pPr>
      <w:r>
        <w:t xml:space="preserve">TekFive submitted a related proposal,</w:t>
      </w:r>
      <w:r>
        <w:t xml:space="preserve"> </w:t>
      </w:r>
      <w:r>
        <w:t xml:space="preserve">“AutonomousTrust: Behavior-Aware Zero</w:t>
      </w:r>
      <w:r>
        <w:t xml:space="preserve"> </w:t>
      </w:r>
      <w:r>
        <w:t xml:space="preserve">Trust for Comms-Denied Combat Systems,”</w:t>
      </w:r>
      <w:r>
        <w:t xml:space="preserve"> </w:t>
      </w:r>
      <w:r>
        <w:t xml:space="preserve">to the Department of the Navy under SBIR</w:t>
      </w:r>
      <w:r>
        <w:t xml:space="preserve"> </w:t>
      </w:r>
      <w:r>
        <w:t xml:space="preserve">topic DON26BZ03-NV059 (Real-time Zero Trust Data and Access Control for Combat</w:t>
      </w:r>
      <w:r>
        <w:t xml:space="preserve"> </w:t>
      </w:r>
      <w:r>
        <w:t xml:space="preserve">Systems) on July 22, 2026, PI Sean M. Brennan, Senior Software Engineer. It has</w:t>
      </w:r>
      <w:r>
        <w:t xml:space="preserve"> </w:t>
      </w:r>
      <w:r>
        <w:t xml:space="preserve">not been funded. That effort concerns data-access control for shipboard combat</w:t>
      </w:r>
      <w:r>
        <w:t xml:space="preserve"> </w:t>
      </w:r>
      <w:r>
        <w:t xml:space="preserve">systems and is not essentially equivalent to the work proposed here, but both</w:t>
      </w:r>
      <w:r>
        <w:t xml:space="preserve"> </w:t>
      </w:r>
      <w:r>
        <w:t xml:space="preserve">build on AT and we disclose it accordingly. [TODO: solicitation number and date;</w:t>
      </w:r>
      <w:r>
        <w:t xml:space="preserve"> </w:t>
      </w:r>
      <w:r>
        <w:t xml:space="preserve">check the Cover Sheet box.]</w:t>
      </w:r>
    </w:p>
    <w:bookmarkEnd w:id="32"/>
    <w:bookmarkEnd w:id="33"/>
    <w:bookmarkEnd w:id="34"/>
    <w:sectPr>
      <w:pgSz w:h="15840" w:w="12240"/>
      <w:pgMar w:bottom="1440" w:footer="720" w:gutter="0" w:header="72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2"/>
        <w:szCs w:val="22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b/>
      <w:bCs/>
      <w:rFonts w:ascii="Times New Roman" w:cs="Times New Roman" w:eastAsia="Times New Roman" w:hAnsi="Times New Roman"/>
      <w:sz w:val="32"/>
      <w:szCs w:val="32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cs="Times New Roman" w:eastAsia="Times New Roman" w:hAnsi="Times New Roman"/>
      <w:sz w:val="32"/>
      <w:szCs w:val="32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b/>
      <w:bCs/>
      <w:rFonts w:ascii="Times New Roman" w:cs="Times New Roman" w:eastAsia="Times New Roman" w:hAnsi="Times New Roman"/>
      <w:spacing w:val="15"/>
      <w:sz w:val="26"/>
      <w:szCs w:val="26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cs="Times New Roman" w:eastAsia="Times New Roman" w:hAnsi="Times New Roman"/>
      <w:color w:val="000000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2"/>
      <w:szCs w:val="22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2"/>
      <w:szCs w:val="22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2"/>
      <w:szCs w:val="22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2"/>
      <w:szCs w:val="22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b/>
      <w:bCs/>
      <w:rFonts w:ascii="Times New Roman" w:cs="Times New Roman" w:eastAsia="Times New Roman" w:hAnsi="Times New Roman"/>
      <w:color w:val="000000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b/>
      <w:bCs/>
      <w:rFonts w:ascii="Times New Roman" w:cs="Times New Roman" w:eastAsia="Times New Roman" w:hAnsi="Times New Roman"/>
      <w:color w:val="000000"/>
      <w:sz w:val="28"/>
      <w:szCs w:val="28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b/>
      <w:bCs/>
      <w:rFonts w:ascii="Times New Roman" w:cs="Times New Roman" w:eastAsia="Times New Roman" w:hAnsi="Times New Roman"/>
      <w:color w:val="000000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b/>
      <w:bCs/>
      <w:rFonts w:ascii="Times New Roman" w:cs="Times New Roman" w:eastAsia="Times New Roman" w:hAnsi="Times New Roman"/>
      <w:color w:val="000000"/>
      <w:sz w:val="22"/>
      <w:szCs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b/>
      <w:bCs/>
      <w:rFonts w:ascii="Times New Roman" w:cs="Times New Roman" w:eastAsia="Times New Roman" w:hAnsi="Times New Roman"/>
      <w:color w:val="000000"/>
      <w:sz w:val="22"/>
      <w:szCs w:val="22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b/>
      <w:bCs/>
      <w:rFonts w:ascii="Times New Roman" w:cs="Times New Roman" w:eastAsia="Times New Roman" w:hAnsi="Times New Roman"/>
      <w:color w:val="000000"/>
      <w:sz w:val="22"/>
      <w:szCs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cs="Times New Roman" w:eastAsia="Times New Roman" w:hAnsi="Times New Roman"/>
      <w:color w:val="000000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cs="Times New Roman" w:eastAsia="Times New Roman" w:hAnsi="Times New Roman"/>
      <w:i/>
      <w:iCs/>
      <w:color w:val="000000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cs="Times New Roman" w:eastAsia="Times New Roman" w:hAnsi="Times New Roman"/>
      <w:color w:val="000000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cs="Times New Roman" w:eastAsia="Times New Roman" w:hAnsi="Times New Roman"/>
      <w:color w:val="000000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cs="Times New Roman" w:eastAsia="Times New Roman" w:hAnsi="Times New Roman"/>
      <w:color w:val="000000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cs="Times New Roman" w:eastAsia="Times New Roman" w:hAnsi="Times New Roman"/>
      <w:color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cs="Times New Roman" w:eastAsia="Times New Roman" w:hAnsi="Times New Roman"/>
      <w:i/>
      <w:iCs/>
      <w:color w:val="000000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cs="Times New Roman" w:eastAsia="Times New Roman" w:hAnsi="Times New Roman"/>
      <w:color w:val="00000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cs="Times New Roman" w:eastAsia="Times New Roman" w:hAnsi="Times New Roman"/>
      <w:i/>
      <w:iCs/>
      <w:color w:val="00000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cs="Times New Roman" w:eastAsia="Times New Roman" w:hAnsi="Times New Roman"/>
      <w:color w:val="00000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cs="Times New Roman" w:eastAsia="Times New Roman" w:hAnsi="Times New Roman"/>
      <w:i/>
      <w:iCs/>
      <w:color w:val="00000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cs="Times New Roman" w:eastAsia="Times New Roman" w:hAnsi="Times New Roman"/>
      <w:color w:val="000000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0000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cs="Times New Roman" w:eastAsia="Times New Roman" w:hAnsi="Times New Roman"/>
      <w:b w:val="0"/>
      <w:bCs w:val="0"/>
      <w:color w:val="00000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DAF27TZ01-DV002: Cyber Resiliency for Fog and Edge Computing Devices</dc:title>
  <dc:creator>TekFive, Inc., with the McCrary Institute for Cyber and Critical Infrastructure Security, Auburn University</dc:creator>
  <cp:keywords/>
  <dcterms:created xsi:type="dcterms:W3CDTF">2026-10-28T15:01:21Z</dcterms:created>
  <dcterms:modified xsi:type="dcterms:W3CDTF">2026-10-28T15:01:21Z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Volume 2: Technical Volume (STTR Direct to Phase II)</vt:lpwstr>
  </property>
</Properties>
</file>