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7.png" ContentType="image/png"/>
  <Override PartName="/word/media/rId2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Analyse</w:t>
      </w:r>
      <w:r>
        <w:t xml:space="preserve"> </w:t>
      </w:r>
      <w:r>
        <w:t xml:space="preserve">der</w:t>
      </w:r>
      <w:r>
        <w:t xml:space="preserve"> </w:t>
      </w:r>
      <w:r>
        <w:t xml:space="preserve">Immobilienverkaufsdaten</w:t>
      </w:r>
      <w:r>
        <w:t xml:space="preserve"> </w:t>
      </w:r>
      <w:r>
        <w:t xml:space="preserve">in</w:t>
      </w:r>
      <w:r>
        <w:t xml:space="preserve"> </w:t>
      </w:r>
      <w:r>
        <w:t xml:space="preserve">Milwaukee</w:t>
      </w:r>
      <w:r>
        <w:t xml:space="preserve"> </w:t>
      </w:r>
      <w:r>
        <w:t xml:space="preserve">(2019–2024)</w:t>
      </w:r>
    </w:p>
    <w:p>
      <w:pPr>
        <w:pStyle w:val="Author"/>
      </w:pPr>
      <w:r>
        <w:t xml:space="preserve">Autor:</w:t>
      </w:r>
      <w:r>
        <w:t xml:space="preserve"> </w:t>
      </w:r>
    </w:p>
    <w:p>
      <w:pPr>
        <w:pStyle w:val="Date"/>
      </w:pPr>
      <w:r>
        <w:t xml:space="preserve">Datum:</w:t>
      </w:r>
      <w:r>
        <w:t xml:space="preserve"> </w:t>
      </w:r>
      <w:r>
        <w:t xml:space="preserve">21.</w:t>
      </w:r>
      <w:r>
        <w:t xml:space="preserve"> </w:t>
      </w:r>
      <w:r>
        <w:t xml:space="preserve">Oktober</w:t>
      </w:r>
      <w:r>
        <w:t xml:space="preserve"> </w:t>
      </w:r>
      <w:r>
        <w:t xml:space="preserve">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zusammenfassung"/>
    <w:p>
      <w:pPr>
        <w:pStyle w:val="Heading1"/>
      </w:pPr>
      <w:r>
        <w:t xml:space="preserve">Zusammenfassung</w:t>
      </w:r>
    </w:p>
    <w:p>
      <w:pPr>
        <w:pStyle w:val="FirstParagraph"/>
      </w:pPr>
      <w:r>
        <w:t xml:space="preserve">In diesem Analyseprojekt wurden Immobilienverkaufsdaten der Stadt</w:t>
      </w:r>
      <w:r>
        <w:t xml:space="preserve"> </w:t>
      </w:r>
      <w:r>
        <w:t xml:space="preserve">Milwaukee aus den Jahren 2019–2024 untersucht, um ein Vorhersagemodell</w:t>
      </w:r>
      <w:r>
        <w:t xml:space="preserve"> </w:t>
      </w:r>
      <w:r>
        <w:t xml:space="preserve">für Verkaufspreise zu entwickeln. Die Daten umfassen Angaben zu</w:t>
      </w:r>
      <w:r>
        <w:t xml:space="preserve"> </w:t>
      </w:r>
      <w:r>
        <w:t xml:space="preserve">Objekteigenschaften (Bautyp, Bezirk, Baujahr, Wohnfläche, Zimmeranzahl</w:t>
      </w:r>
      <w:r>
        <w:t xml:space="preserve"> </w:t>
      </w:r>
      <w:r>
        <w:t xml:space="preserve">u.v.m.) sowie den tatsächlich erzielten Verkaufspreis. Nach einer</w:t>
      </w:r>
      <w:r>
        <w:t xml:space="preserve"> </w:t>
      </w:r>
      <w:r>
        <w:t xml:space="preserve">umfassenden Bereinigung und explorativen Analyse wurden mehrere</w:t>
      </w:r>
      <w:r>
        <w:t xml:space="preserve"> </w:t>
      </w:r>
      <w:r>
        <w:t xml:space="preserve">Regressionsmodelle trainiert (lineare Regression, Entscheidungsbaum,</w:t>
      </w:r>
      <w:r>
        <w:t xml:space="preserve"> </w:t>
      </w:r>
      <w:r>
        <w:t xml:space="preserve">Random Forest und Gradient Boosting). Der Random Forest erzielte mit</w:t>
      </w:r>
      <w:r>
        <w:t xml:space="preserve"> </w:t>
      </w:r>
      <w:r>
        <w:t xml:space="preserve">einem mittleren absoluten Fehler von rund 30 000 USD die beste</w:t>
      </w:r>
      <w:r>
        <w:t xml:space="preserve"> </w:t>
      </w:r>
      <w:r>
        <w:t xml:space="preserve">Vorhersagegüte. Es wurde außerdem untersucht, ob die COVID‑19‑Pandemie</w:t>
      </w:r>
      <w:r>
        <w:t xml:space="preserve"> </w:t>
      </w:r>
      <w:r>
        <w:t xml:space="preserve">ab Februar 2020 einen Einfluss auf die Preise hatte: der</w:t>
      </w:r>
      <w:r>
        <w:t xml:space="preserve"> </w:t>
      </w:r>
      <w:r>
        <w:t xml:space="preserve">Durchschnittspreis sank von ca. 269 000 USD vor der Pandemie auf</w:t>
      </w:r>
      <w:r>
        <w:t xml:space="preserve"> </w:t>
      </w:r>
      <w:r>
        <w:t xml:space="preserve">rund 257 000 USD während der Pandemie.</w:t>
      </w:r>
    </w:p>
    <w:bookmarkEnd w:id="20"/>
    <w:bookmarkStart w:id="21" w:name="einleitung"/>
    <w:p>
      <w:pPr>
        <w:pStyle w:val="Heading1"/>
      </w:pPr>
      <w:r>
        <w:t xml:space="preserve">Einleitung</w:t>
      </w:r>
    </w:p>
    <w:p>
      <w:pPr>
        <w:pStyle w:val="FirstParagraph"/>
      </w:pPr>
      <w:r>
        <w:t xml:space="preserve">Die Vorhersage von Immobilienpreisen ist ein klassisches Problem der</w:t>
      </w:r>
      <w:r>
        <w:t xml:space="preserve"> </w:t>
      </w:r>
      <w:r>
        <w:t xml:space="preserve">Data Science. Eigenschaften wie Lage, Gebäudetyp, Baujahr und</w:t>
      </w:r>
      <w:r>
        <w:t xml:space="preserve"> </w:t>
      </w:r>
      <w:r>
        <w:t xml:space="preserve">Wohnfläche bestimmen maßgeblich den Marktwert eines Objekts. Moderne</w:t>
      </w:r>
      <w:r>
        <w:t xml:space="preserve"> </w:t>
      </w:r>
      <w:r>
        <w:t xml:space="preserve">Machine‑Learning‑Verfahren erlauben es, komplexe Zusammenhänge zu</w:t>
      </w:r>
      <w:r>
        <w:t xml:space="preserve"> </w:t>
      </w:r>
      <w:r>
        <w:t xml:space="preserve">lernen und genaue Schätzungen zu liefern. In diesem Projekt werden</w:t>
      </w:r>
      <w:r>
        <w:t xml:space="preserve"> </w:t>
      </w:r>
      <w:r>
        <w:t xml:space="preserve">öffentliche Verkaufsdaten aus Milwaukee genutzt, um Modelle zu</w:t>
      </w:r>
      <w:r>
        <w:t xml:space="preserve"> </w:t>
      </w:r>
      <w:r>
        <w:t xml:space="preserve">entwickeln und deren Vorhersagegüte zu vergleichen. Grundlage sind die</w:t>
      </w:r>
      <w:r>
        <w:t xml:space="preserve"> </w:t>
      </w:r>
      <w:r>
        <w:t xml:space="preserve">jährlich veröffentlichten</w:t>
      </w:r>
      <w:r>
        <w:t xml:space="preserve"> </w:t>
      </w:r>
      <w:r>
        <w:rPr>
          <w:bCs/>
          <w:b/>
        </w:rPr>
        <w:t xml:space="preserve">Property Sales</w:t>
      </w:r>
      <w:r>
        <w:t xml:space="preserve">‑Datensätze der Stadt</w:t>
      </w:r>
      <w:r>
        <w:t xml:space="preserve"> </w:t>
      </w:r>
      <w:r>
        <w:t xml:space="preserve">Milwaukee【366478921414254†L38-L154】.</w:t>
      </w:r>
    </w:p>
    <w:bookmarkEnd w:id="21"/>
    <w:bookmarkStart w:id="33" w:name="daten-analyse"/>
    <w:p>
      <w:pPr>
        <w:pStyle w:val="Heading1"/>
      </w:pPr>
      <w:r>
        <w:t xml:space="preserve">Daten &amp; Analyse</w:t>
      </w:r>
    </w:p>
    <w:bookmarkStart w:id="22" w:name="datenquelle-und-aufbereitung"/>
    <w:p>
      <w:pPr>
        <w:pStyle w:val="Heading2"/>
      </w:pPr>
      <w:r>
        <w:t xml:space="preserve">Datenquelle und Aufbereitung</w:t>
      </w:r>
    </w:p>
    <w:p>
      <w:pPr>
        <w:pStyle w:val="FirstParagraph"/>
      </w:pPr>
      <w:r>
        <w:t xml:space="preserve">Die Datensätze werden über das Open‑Data‑Portal der Stadt Milwaukee</w:t>
      </w:r>
      <w:r>
        <w:t xml:space="preserve"> </w:t>
      </w:r>
      <w:r>
        <w:t xml:space="preserve">bereitgestellt und enthalten je nach Jahr zwischen ca. 6 000 und</w:t>
      </w:r>
      <w:r>
        <w:t xml:space="preserve"> </w:t>
      </w:r>
      <w:r>
        <w:t xml:space="preserve">10 000 Verkaufsfälle【366478921414254†L38-L154】. Für dieses Projekt wurden die CSV‑Dateien der</w:t>
      </w:r>
      <w:r>
        <w:t xml:space="preserve"> </w:t>
      </w:r>
      <w:r>
        <w:t xml:space="preserve">Jahre 2019 bis 2024 heruntergeladen und anschließend zu einem</w:t>
      </w:r>
      <w:r>
        <w:t xml:space="preserve"> </w:t>
      </w:r>
      <w:r>
        <w:t xml:space="preserve">Gesamtdatensatz zusammengeführt. Nicht benötigte Spalten (z.B.</w:t>
      </w:r>
      <w:r>
        <w:t xml:space="preserve"> </w:t>
      </w:r>
      <w:r>
        <w:t xml:space="preserve">Eindeutige IDs) wurden entfernt, numerische Felder von Währungs‑ und</w:t>
      </w:r>
      <w:r>
        <w:t xml:space="preserve"> </w:t>
      </w:r>
      <w:r>
        <w:t xml:space="preserve">Tausendertrennzeichen bereinigt und das Verkaufsdatum in</w:t>
      </w:r>
      <w:r>
        <w:t xml:space="preserve"> </w:t>
      </w:r>
      <w:r>
        <w:t xml:space="preserve">Jahr/Monat/Tag zerlegt. Ein binäres Merkmal</w:t>
      </w:r>
      <w:r>
        <w:t xml:space="preserve"> </w:t>
      </w:r>
      <w:r>
        <w:rPr>
          <w:rStyle w:val="VerbatimChar"/>
        </w:rPr>
        <w:t xml:space="preserve">Pandemic</w:t>
      </w:r>
      <w:r>
        <w:t xml:space="preserve"> </w:t>
      </w:r>
      <w:r>
        <w:t xml:space="preserve">markiert</w:t>
      </w:r>
      <w:r>
        <w:t xml:space="preserve"> </w:t>
      </w:r>
      <w:r>
        <w:t xml:space="preserve">Verkäufe ab dem 1. Februar 2020.</w:t>
      </w:r>
    </w:p>
    <w:bookmarkEnd w:id="22"/>
    <w:bookmarkStart w:id="31" w:name="explorative-analyse"/>
    <w:p>
      <w:pPr>
        <w:pStyle w:val="Heading2"/>
      </w:pPr>
      <w:r>
        <w:t xml:space="preserve">Explorative Analyse</w:t>
      </w:r>
    </w:p>
    <w:p>
      <w:pPr>
        <w:pStyle w:val="FirstParagraph"/>
      </w:pPr>
      <w:r>
        <w:t xml:space="preserve">Abbildung 1 zeigt die Verteilung der Verkaufspreise. Die Daten sind</w:t>
      </w:r>
      <w:r>
        <w:t xml:space="preserve"> </w:t>
      </w:r>
      <w:r>
        <w:t xml:space="preserve">rechtsschief: ein Großteil der Objekte wird zwischen 100 000 und</w:t>
      </w:r>
      <w:r>
        <w:t xml:space="preserve"> </w:t>
      </w:r>
      <w:r>
        <w:t xml:space="preserve">300 000 USD verkauft, während nur wenige Transaktionen Spitzenpreise</w:t>
      </w:r>
      <w:r>
        <w:t xml:space="preserve"> </w:t>
      </w:r>
      <w:r>
        <w:t xml:space="preserve">jenseits der Million erreichen.</w:t>
      </w:r>
    </w:p>
    <w:p>
      <w:pPr>
        <w:pStyle w:val="CaptionedFigure"/>
      </w:pPr>
      <w:bookmarkStart w:id="26" w:name="fig:hist"/>
      <w:r>
        <w:drawing>
          <wp:inline>
            <wp:extent cx="5334000" cy="3333750"/>
            <wp:effectExtent b="0" l="0" r="0" t="0"/>
            <wp:docPr descr="Histogramm der Verkaufspreise" title="" id="24" name="Picture"/>
            <a:graphic>
              <a:graphicData uri="http://schemas.openxmlformats.org/drawingml/2006/picture">
                <pic:pic>
                  <pic:nvPicPr>
                    <pic:cNvPr descr="figures/hist_sale_price.png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337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Histogramm der Verkaufspreise</w:t>
      </w:r>
    </w:p>
    <w:p>
      <w:pPr>
        <w:pStyle w:val="BodyText"/>
      </w:pPr>
      <w:r>
        <w:t xml:space="preserve">Zur Untersuchung linearer Beziehungen wurde die Korrelationsmatrix der</w:t>
      </w:r>
      <w:r>
        <w:t xml:space="preserve"> </w:t>
      </w:r>
      <w:r>
        <w:t xml:space="preserve">wichtigsten numerischen Merkmale berechnet (Abbildung 2). Die</w:t>
      </w:r>
      <w:r>
        <w:t xml:space="preserve"> </w:t>
      </w:r>
      <w:r>
        <w:t xml:space="preserve">Verkaufsfläche (</w:t>
      </w:r>
      <w:r>
        <w:rPr>
          <w:rStyle w:val="VerbatimChar"/>
        </w:rPr>
        <w:t xml:space="preserve">FinishedSqft</w:t>
      </w:r>
      <w:r>
        <w:t xml:space="preserve">) weist mit 0,56 die höchste positive</w:t>
      </w:r>
      <w:r>
        <w:t xml:space="preserve"> </w:t>
      </w:r>
      <w:r>
        <w:t xml:space="preserve">Korrelation zum Preis, gefolgt von der Grundstücksgröße (</w:t>
      </w:r>
      <w:r>
        <w:rPr>
          <w:rStyle w:val="VerbatimChar"/>
        </w:rPr>
        <w:t xml:space="preserve">Lotsize</w:t>
      </w:r>
      <w:r>
        <w:t xml:space="preserve">).</w:t>
      </w:r>
      <w:r>
        <w:t xml:space="preserve"> </w:t>
      </w:r>
      <w:r>
        <w:t xml:space="preserve">Das Baujahr korreliert leicht negativ, da ältere Gebäude tendenziell</w:t>
      </w:r>
      <w:r>
        <w:t xml:space="preserve"> </w:t>
      </w:r>
      <w:r>
        <w:t xml:space="preserve">niedrigere Preise erzielen.</w:t>
      </w:r>
    </w:p>
    <w:p>
      <w:pPr>
        <w:pStyle w:val="CaptionedFigure"/>
      </w:pPr>
      <w:bookmarkStart w:id="30" w:name="fig:corr"/>
      <w:r>
        <w:drawing>
          <wp:inline>
            <wp:extent cx="5334000" cy="4000499"/>
            <wp:effectExtent b="0" l="0" r="0" t="0"/>
            <wp:docPr descr="Korrelationsmatrix der numerischen Merkmale" title="" id="28" name="Picture"/>
            <a:graphic>
              <a:graphicData uri="http://schemas.openxmlformats.org/drawingml/2006/picture">
                <pic:pic>
                  <pic:nvPicPr>
                    <pic:cNvPr descr="figures/corr_matrix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0049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Korrelationsmatrix der numerischen Merkmale</w:t>
      </w:r>
    </w:p>
    <w:bookmarkEnd w:id="31"/>
    <w:bookmarkStart w:id="32" w:name="feature-engineering-und-modellierung"/>
    <w:p>
      <w:pPr>
        <w:pStyle w:val="Heading2"/>
      </w:pPr>
      <w:r>
        <w:t xml:space="preserve">Feature Engineering und Modellierung</w:t>
      </w:r>
    </w:p>
    <w:p>
      <w:pPr>
        <w:pStyle w:val="FirstParagraph"/>
      </w:pPr>
      <w:r>
        <w:t xml:space="preserve">Für die Modelle wurden die folgenden Variablen verwendet: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Kategorisch</w:t>
      </w:r>
      <w:r>
        <w:t xml:space="preserve">: Bautyp (</w:t>
      </w:r>
      <w:r>
        <w:rPr>
          <w:rStyle w:val="VerbatimChar"/>
        </w:rPr>
        <w:t xml:space="preserve">PropType</w:t>
      </w:r>
      <w:r>
        <w:t xml:space="preserve">), Bezirk (</w:t>
      </w:r>
      <w:r>
        <w:rPr>
          <w:rStyle w:val="VerbatimChar"/>
        </w:rPr>
        <w:t xml:space="preserve">District</w:t>
      </w:r>
      <w:r>
        <w:t xml:space="preserve">). Diese</w:t>
      </w:r>
      <w:r>
        <w:t xml:space="preserve"> </w:t>
      </w:r>
      <w:r>
        <w:t xml:space="preserve">wurden über One‑Hot‑Encoding in numerische Features umgewandelt.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Numerisch</w:t>
      </w:r>
      <w:r>
        <w:t xml:space="preserve">: Baujahr (</w:t>
      </w:r>
      <w:r>
        <w:rPr>
          <w:rStyle w:val="VerbatimChar"/>
        </w:rPr>
        <w:t xml:space="preserve">Year_Built</w:t>
      </w:r>
      <w:r>
        <w:t xml:space="preserve">), Wohnfläche (</w:t>
      </w:r>
      <w:r>
        <w:rPr>
          <w:rStyle w:val="VerbatimChar"/>
        </w:rPr>
        <w:t xml:space="preserve">FinishedSqft</w:t>
      </w:r>
      <w:r>
        <w:t xml:space="preserve">),</w:t>
      </w:r>
      <w:r>
        <w:t xml:space="preserve"> </w:t>
      </w:r>
      <w:r>
        <w:t xml:space="preserve">Grundstücksgröße (</w:t>
      </w:r>
      <w:r>
        <w:rPr>
          <w:rStyle w:val="VerbatimChar"/>
        </w:rPr>
        <w:t xml:space="preserve">Lotsize</w:t>
      </w:r>
      <w:r>
        <w:t xml:space="preserve">), Zimmeranzahl (</w:t>
      </w:r>
      <w:r>
        <w:rPr>
          <w:rStyle w:val="VerbatimChar"/>
        </w:rPr>
        <w:t xml:space="preserve">Rooms</w:t>
      </w:r>
      <w:r>
        <w:t xml:space="preserve">), Einheiten</w:t>
      </w:r>
      <w:r>
        <w:t xml:space="preserve"> </w:t>
      </w:r>
      <w:r>
        <w:t xml:space="preserve">(</w:t>
      </w:r>
      <w:r>
        <w:rPr>
          <w:rStyle w:val="VerbatimChar"/>
        </w:rPr>
        <w:t xml:space="preserve">Units</w:t>
      </w:r>
      <w:r>
        <w:t xml:space="preserve">), Schlafzimmer (</w:t>
      </w:r>
      <w:r>
        <w:rPr>
          <w:rStyle w:val="VerbatimChar"/>
        </w:rPr>
        <w:t xml:space="preserve">Bdrms</w:t>
      </w:r>
      <w:r>
        <w:t xml:space="preserve">), Badezimmer (</w:t>
      </w:r>
      <w:r>
        <w:rPr>
          <w:rStyle w:val="VerbatimChar"/>
        </w:rPr>
        <w:t xml:space="preserve">Fbath</w:t>
      </w:r>
      <w:r>
        <w:t xml:space="preserve">,</w:t>
      </w:r>
      <w:r>
        <w:t xml:space="preserve"> </w:t>
      </w:r>
      <w:r>
        <w:rPr>
          <w:rStyle w:val="VerbatimChar"/>
        </w:rPr>
        <w:t xml:space="preserve">Hbath</w:t>
      </w:r>
      <w:r>
        <w:t xml:space="preserve">),</w:t>
      </w:r>
      <w:r>
        <w:t xml:space="preserve"> </w:t>
      </w:r>
      <w:r>
        <w:t xml:space="preserve">Stockwerke (</w:t>
      </w:r>
      <w:r>
        <w:rPr>
          <w:rStyle w:val="VerbatimChar"/>
        </w:rPr>
        <w:t xml:space="preserve">Stories</w:t>
      </w:r>
      <w:r>
        <w:t xml:space="preserve">) sowie Jahr, Monat und Tag des Verkaufs.</w:t>
      </w:r>
    </w:p>
    <w:p>
      <w:pPr>
        <w:pStyle w:val="FirstParagraph"/>
      </w:pPr>
      <w:r>
        <w:t xml:space="preserve">Die Daten wurden zufällig in Trainings‑ (80 %) und Testdaten (20 %)</w:t>
      </w:r>
      <w:r>
        <w:t xml:space="preserve"> </w:t>
      </w:r>
      <w:r>
        <w:t xml:space="preserve">aufgeteilt. Zur Vorverarbeitung kamen scikit‑learn‑Pipelines zum</w:t>
      </w:r>
      <w:r>
        <w:t xml:space="preserve"> </w:t>
      </w:r>
      <w:r>
        <w:t xml:space="preserve">Einsatz, die fehlende Werte medianbasiert imputierten,</w:t>
      </w:r>
      <w:r>
        <w:t xml:space="preserve"> </w:t>
      </w:r>
      <w:r>
        <w:t xml:space="preserve">Kategoriewerte per One‑Hot kodierten und numerische Features</w:t>
      </w:r>
      <w:r>
        <w:t xml:space="preserve"> </w:t>
      </w:r>
      <w:r>
        <w:t xml:space="preserve">standardisierten. Folgende Modelle wurden trainiert: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Lineare Regression</w:t>
      </w:r>
      <w:r>
        <w:t xml:space="preserve"> </w:t>
      </w:r>
      <w:r>
        <w:t xml:space="preserve">– dient als Baseline. Sie kann nur lineare</w:t>
      </w:r>
      <w:r>
        <w:t xml:space="preserve"> </w:t>
      </w:r>
      <w:r>
        <w:t xml:space="preserve">Zusammenhänge abbilden und bildet daher einen unteren</w:t>
      </w:r>
      <w:r>
        <w:t xml:space="preserve"> </w:t>
      </w:r>
      <w:r>
        <w:t xml:space="preserve">Leistungsschätzer.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Entscheidungsbaum</w:t>
      </w:r>
      <w:r>
        <w:t xml:space="preserve"> </w:t>
      </w:r>
      <w:r>
        <w:t xml:space="preserve">– ein einzelner Baum mit begrenzter Tiefe,</w:t>
      </w:r>
      <w:r>
        <w:t xml:space="preserve"> </w:t>
      </w:r>
      <w:r>
        <w:t xml:space="preserve">der nichtlineare Beziehungen erfasst, aber leicht überfittet.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Random Forest</w:t>
      </w:r>
      <w:r>
        <w:t xml:space="preserve"> </w:t>
      </w:r>
      <w:r>
        <w:t xml:space="preserve">– ein Ensemble aus vielen Entscheidungsbäumen,</w:t>
      </w:r>
      <w:r>
        <w:t xml:space="preserve"> </w:t>
      </w:r>
      <w:r>
        <w:t xml:space="preserve">das Rauschen ausgleicht und robuste Vorhersagen liefert.</w:t>
      </w:r>
    </w:p>
    <w:p>
      <w:pPr>
        <w:numPr>
          <w:ilvl w:val="0"/>
          <w:numId w:val="1002"/>
        </w:numPr>
        <w:pStyle w:val="Compact"/>
      </w:pPr>
      <w:r>
        <w:rPr>
          <w:bCs/>
          <w:b/>
        </w:rPr>
        <w:t xml:space="preserve">Gradient Boosting</w:t>
      </w:r>
      <w:r>
        <w:t xml:space="preserve"> </w:t>
      </w:r>
      <w:r>
        <w:t xml:space="preserve">– baut sequentiell schwache Modelle auf und</w:t>
      </w:r>
      <w:r>
        <w:t xml:space="preserve"> </w:t>
      </w:r>
      <w:r>
        <w:t xml:space="preserve">minimiert die Fehler iterativ. Die Hyperparameter wurden in</w:t>
      </w:r>
      <w:r>
        <w:t xml:space="preserve"> </w:t>
      </w:r>
      <w:r>
        <w:t xml:space="preserve">kleinen Grids gesucht, um die Rechenzeit zu begrenzen.</w:t>
      </w:r>
    </w:p>
    <w:bookmarkEnd w:id="32"/>
    <w:bookmarkEnd w:id="33"/>
    <w:bookmarkStart w:id="34" w:name="ergebnisse"/>
    <w:p>
      <w:pPr>
        <w:pStyle w:val="Heading1"/>
      </w:pPr>
      <w:r>
        <w:t xml:space="preserve">Ergebnisse</w:t>
      </w:r>
    </w:p>
    <w:p>
      <w:pPr>
        <w:pStyle w:val="FirstParagraph"/>
      </w:pPr>
      <w:r>
        <w:t xml:space="preserve">Die Modelle wurden anhand des mittleren absoluten Fehlers (MAE), der</w:t>
      </w:r>
      <w:r>
        <w:t xml:space="preserve"> </w:t>
      </w:r>
      <w:r>
        <w:t xml:space="preserve">Wurzel des mittleren quadratischen Fehlers (RMSE) und des</w:t>
      </w:r>
      <w:r>
        <w:t xml:space="preserve"> </w:t>
      </w:r>
      <w:r>
        <w:t xml:space="preserve">Bestimmtheitsmaßes (R²) auf den Testdaten verglichen. Tabelle 1</w:t>
      </w:r>
      <w:r>
        <w:t xml:space="preserve"> </w:t>
      </w:r>
      <w:r>
        <w:t xml:space="preserve">fasst die Ergebnisse zusammen.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Modell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MAE (USD)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RMSE (USD)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R²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Lineare Regression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103 322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345 917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0,644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Entscheidungsbaum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33 780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309 754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0,715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Random Forest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30 433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267 413</w:t>
            </w:r>
          </w:p>
        </w:tc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0,787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Gradient Boosting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83 760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268 580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0,785</w:t>
            </w:r>
          </w:p>
        </w:tc>
      </w:tr>
    </w:tbl>
    <w:p>
      <w:pPr>
        <w:pStyle w:val="BodyText"/>
      </w:pPr>
      <w:r>
        <w:rPr>
          <w:bCs/>
          <w:b/>
        </w:rPr>
        <w:t xml:space="preserve">Tabelle 1:</w:t>
      </w:r>
      <w:r>
        <w:t xml:space="preserve"> </w:t>
      </w:r>
      <w:r>
        <w:t xml:space="preserve">Vergleich der Regressionsmodelle. Beste Werte sind</w:t>
      </w:r>
      <w:r>
        <w:t xml:space="preserve"> </w:t>
      </w:r>
      <w:r>
        <w:t xml:space="preserve">fett hervorgehoben.</w:t>
      </w:r>
    </w:p>
    <w:p>
      <w:pPr>
        <w:pStyle w:val="BodyText"/>
      </w:pPr>
      <w:r>
        <w:t xml:space="preserve">Der Random Forest erzielte den niedrigsten Fehler und das höchste R².</w:t>
      </w:r>
      <w:r>
        <w:t xml:space="preserve"> </w:t>
      </w:r>
      <w:r>
        <w:t xml:space="preserve">Dies unterstreicht, dass Ensemble‑Methoden für heterogene Daten mit</w:t>
      </w:r>
      <w:r>
        <w:t xml:space="preserve"> </w:t>
      </w:r>
      <w:r>
        <w:t xml:space="preserve">nichtlinearen Beziehungen besonders geeignet sind. Der</w:t>
      </w:r>
      <w:r>
        <w:t xml:space="preserve"> </w:t>
      </w:r>
      <w:r>
        <w:t xml:space="preserve">Entscheidungsbaum liefert zwar brauchbare Ergebnisse, ist aber weniger</w:t>
      </w:r>
      <w:r>
        <w:t xml:space="preserve"> </w:t>
      </w:r>
      <w:r>
        <w:t xml:space="preserve">präzise. Die lineare Regression ist deutlich unterlegen, da sie das</w:t>
      </w:r>
      <w:r>
        <w:t xml:space="preserve"> </w:t>
      </w:r>
      <w:r>
        <w:t xml:space="preserve">nichtlineare Zusammenwirken der Merkmale unterschätzt. Das</w:t>
      </w:r>
      <w:r>
        <w:t xml:space="preserve"> </w:t>
      </w:r>
      <w:r>
        <w:t xml:space="preserve">Gradient‑Boosting‑Modell schnitt in dieser Konfiguration etwas schlechter</w:t>
      </w:r>
      <w:r>
        <w:t xml:space="preserve"> </w:t>
      </w:r>
      <w:r>
        <w:t xml:space="preserve">ab als der Random Forest; eine feinere Hyperparametersuche könnte die</w:t>
      </w:r>
      <w:r>
        <w:t xml:space="preserve"> </w:t>
      </w:r>
      <w:r>
        <w:t xml:space="preserve">Performance verbessern.</w:t>
      </w:r>
    </w:p>
    <w:p>
      <w:pPr>
        <w:pStyle w:val="BodyText"/>
      </w:pPr>
      <w:r>
        <w:t xml:space="preserve">Zur Analyse des Pandemieeffekts wurde der durchschnittliche Verkaufspreis</w:t>
      </w:r>
      <w:r>
        <w:t xml:space="preserve"> </w:t>
      </w:r>
      <w:r>
        <w:t xml:space="preserve">vor und während der Pandemie berechnet. Vor dem 1. Februar 2020 lag der</w:t>
      </w:r>
      <w:r>
        <w:t xml:space="preserve"> </w:t>
      </w:r>
      <w:r>
        <w:t xml:space="preserve">Durchschnittspreis bei etwa</w:t>
      </w:r>
      <w:r>
        <w:t xml:space="preserve"> </w:t>
      </w:r>
      <w:r>
        <w:rPr>
          <w:bCs/>
          <w:b/>
        </w:rPr>
        <w:t xml:space="preserve">269 000 USD</w:t>
      </w:r>
      <w:r>
        <w:t xml:space="preserve">, während er während der</w:t>
      </w:r>
      <w:r>
        <w:t xml:space="preserve"> </w:t>
      </w:r>
      <w:r>
        <w:t xml:space="preserve">Pandemie auf</w:t>
      </w:r>
      <w:r>
        <w:t xml:space="preserve"> </w:t>
      </w:r>
      <w:r>
        <w:rPr>
          <w:bCs/>
          <w:b/>
        </w:rPr>
        <w:t xml:space="preserve">257 000 USD</w:t>
      </w:r>
      <w:r>
        <w:t xml:space="preserve"> </w:t>
      </w:r>
      <w:r>
        <w:t xml:space="preserve">sank. Die Anzahl der Verkäufe nahm in den</w:t>
      </w:r>
      <w:r>
        <w:t xml:space="preserve"> </w:t>
      </w:r>
      <w:r>
        <w:t xml:space="preserve">Pandemiejahren jedoch deutlich zu, was auf Marktdynamiken wie</w:t>
      </w:r>
      <w:r>
        <w:t xml:space="preserve"> </w:t>
      </w:r>
      <w:r>
        <w:t xml:space="preserve">Zinsänderungen oder veränderte Nachfrage hinweisen könnte.</w:t>
      </w:r>
    </w:p>
    <w:bookmarkEnd w:id="34"/>
    <w:bookmarkStart w:id="35" w:name="diskussion"/>
    <w:p>
      <w:pPr>
        <w:pStyle w:val="Heading1"/>
      </w:pPr>
      <w:r>
        <w:t xml:space="preserve">Diskussion</w:t>
      </w:r>
    </w:p>
    <w:p>
      <w:pPr>
        <w:pStyle w:val="FirstParagraph"/>
      </w:pPr>
      <w:r>
        <w:t xml:space="preserve">Die Ergebnisse zeigen, dass komplexere Ensemble‑Modelle die</w:t>
      </w:r>
      <w:r>
        <w:t xml:space="preserve"> </w:t>
      </w:r>
      <w:r>
        <w:t xml:space="preserve">Vorhersagegüte erheblich steigern können. Der Random Forest profitiert</w:t>
      </w:r>
      <w:r>
        <w:t xml:space="preserve"> </w:t>
      </w:r>
      <w:r>
        <w:t xml:space="preserve">von vielen Entscheidungsbäumen, die unterschiedliche Teilmengen der</w:t>
      </w:r>
      <w:r>
        <w:t xml:space="preserve"> </w:t>
      </w:r>
      <w:r>
        <w:t xml:space="preserve">Daten betrachten; dadurch werden Varianz und Überanpassung reduziert.</w:t>
      </w:r>
      <w:r>
        <w:t xml:space="preserve"> </w:t>
      </w:r>
      <w:r>
        <w:t xml:space="preserve">Allerdings bleibt das Modell weniger transparent als ein einzelner</w:t>
      </w:r>
      <w:r>
        <w:t xml:space="preserve"> </w:t>
      </w:r>
      <w:r>
        <w:t xml:space="preserve">Entscheidungsbaum. Für praktische Anwendungen könnten daher</w:t>
      </w:r>
      <w:r>
        <w:t xml:space="preserve"> </w:t>
      </w:r>
      <w:r>
        <w:t xml:space="preserve">Erklärmethoden wie Feature‑Importances oder SHAP‑Werte eingesetzt</w:t>
      </w:r>
      <w:r>
        <w:t xml:space="preserve"> </w:t>
      </w:r>
      <w:r>
        <w:t xml:space="preserve">werden, um die Entscheidungskriterien besser zu verstehen.</w:t>
      </w:r>
    </w:p>
    <w:p>
      <w:pPr>
        <w:pStyle w:val="BodyText"/>
      </w:pPr>
      <w:r>
        <w:t xml:space="preserve">Die Pandemieanalyse legt nahe, dass die durchschnittlichen</w:t>
      </w:r>
      <w:r>
        <w:t xml:space="preserve"> </w:t>
      </w:r>
      <w:r>
        <w:t xml:space="preserve">Verkaufspreise leicht gesunken sind, die Zahl der Transaktionen aber</w:t>
      </w:r>
      <w:r>
        <w:t xml:space="preserve"> </w:t>
      </w:r>
      <w:r>
        <w:t xml:space="preserve">stieg. Diese Beobachtung deckt sich mit allgemeinen Markttrends,</w:t>
      </w:r>
      <w:r>
        <w:t xml:space="preserve"> </w:t>
      </w:r>
      <w:r>
        <w:t xml:space="preserve">wonach niedrige Zinsen und eine hohe Nachfrage nach Wohnraum während</w:t>
      </w:r>
      <w:r>
        <w:t xml:space="preserve"> </w:t>
      </w:r>
      <w:r>
        <w:t xml:space="preserve">Corona zu einem regen Immobilienmarkt führten. Für eine robuste</w:t>
      </w:r>
      <w:r>
        <w:t xml:space="preserve"> </w:t>
      </w:r>
      <w:r>
        <w:t xml:space="preserve">Kausalitätsanalyse wären allerdings weitere Variablen (z.B.</w:t>
      </w:r>
      <w:r>
        <w:t xml:space="preserve"> </w:t>
      </w:r>
      <w:r>
        <w:t xml:space="preserve">Haushaltseinkommen, Zinsniveau, Makrodaten) erforderlich.</w:t>
      </w:r>
    </w:p>
    <w:p>
      <w:pPr>
        <w:pStyle w:val="BodyText"/>
      </w:pPr>
      <w:r>
        <w:t xml:space="preserve">Die Datenbasis weist einige Einschränkungen auf: (1) Räumliche</w:t>
      </w:r>
      <w:r>
        <w:t xml:space="preserve"> </w:t>
      </w:r>
      <w:r>
        <w:t xml:space="preserve">Informationen sind nur indirekt über den Bezirk abgedeckt; präzisere</w:t>
      </w:r>
      <w:r>
        <w:t xml:space="preserve"> </w:t>
      </w:r>
      <w:r>
        <w:t xml:space="preserve">Koordinaten könnten Lageeffekte genauer modellieren. (2) Manche</w:t>
      </w:r>
      <w:r>
        <w:t xml:space="preserve"> </w:t>
      </w:r>
      <w:r>
        <w:t xml:space="preserve">kategorielle Merkmale wie Nachbarschaft oder Stil wurden aus</w:t>
      </w:r>
      <w:r>
        <w:t xml:space="preserve"> </w:t>
      </w:r>
      <w:r>
        <w:t xml:space="preserve">Generalitätsgründen weggelassen; ihre Einbeziehung könnte die</w:t>
      </w:r>
      <w:r>
        <w:t xml:space="preserve"> </w:t>
      </w:r>
      <w:r>
        <w:t xml:space="preserve">Vorhersage verbessern, erfordert aber eine sorgfältige Behandlung von</w:t>
      </w:r>
      <w:r>
        <w:t xml:space="preserve"> </w:t>
      </w:r>
      <w:r>
        <w:t xml:space="preserve">seltenen Kategorien. (3) Die Hyperparametersuche wurde zur</w:t>
      </w:r>
      <w:r>
        <w:t xml:space="preserve"> </w:t>
      </w:r>
      <w:r>
        <w:t xml:space="preserve">Laufzeitbegrenzung auf kleine Bereiche beschränkt; eine erweiterte</w:t>
      </w:r>
      <w:r>
        <w:t xml:space="preserve"> </w:t>
      </w:r>
      <w:r>
        <w:t xml:space="preserve">Suche könnte insbesondere für Gradient Boosting bessere Ergebnisse</w:t>
      </w:r>
      <w:r>
        <w:t xml:space="preserve"> </w:t>
      </w:r>
      <w:r>
        <w:t xml:space="preserve">liefern.</w:t>
      </w:r>
    </w:p>
    <w:bookmarkEnd w:id="35"/>
    <w:bookmarkStart w:id="36" w:name="fazit"/>
    <w:p>
      <w:pPr>
        <w:pStyle w:val="Heading1"/>
      </w:pPr>
      <w:r>
        <w:t xml:space="preserve">Fazit</w:t>
      </w:r>
    </w:p>
    <w:p>
      <w:pPr>
        <w:pStyle w:val="FirstParagraph"/>
      </w:pPr>
      <w:r>
        <w:t xml:space="preserve">Das Projekt demonstriert, wie sich öffentliche Immobilienverkaufsdaten</w:t>
      </w:r>
      <w:r>
        <w:t xml:space="preserve"> </w:t>
      </w:r>
      <w:r>
        <w:t xml:space="preserve">in einer strukturierten Pipeline verarbeiten und für die Modellbildung</w:t>
      </w:r>
      <w:r>
        <w:t xml:space="preserve"> </w:t>
      </w:r>
      <w:r>
        <w:t xml:space="preserve">nutzen lassen. Durch die Kombination aus Datenbereinigung,</w:t>
      </w:r>
      <w:r>
        <w:t xml:space="preserve"> </w:t>
      </w:r>
      <w:r>
        <w:t xml:space="preserve">Exploration, Feature Engineering und dem Vergleich mehrerer Modelle</w:t>
      </w:r>
      <w:r>
        <w:t xml:space="preserve"> </w:t>
      </w:r>
      <w:r>
        <w:t xml:space="preserve">konnten genaue Vorhersagen für Verkaufspreise erzielt werden. Der</w:t>
      </w:r>
      <w:r>
        <w:t xml:space="preserve"> </w:t>
      </w:r>
      <w:r>
        <w:t xml:space="preserve">Random Forest erwies sich in der vorliegenden Analyse als bestes</w:t>
      </w:r>
      <w:r>
        <w:t xml:space="preserve"> </w:t>
      </w:r>
      <w:r>
        <w:t xml:space="preserve">Modell. Eine moderate Auswirkung der COVID‑19‑Pandemie auf die</w:t>
      </w:r>
      <w:r>
        <w:t xml:space="preserve"> </w:t>
      </w:r>
      <w:r>
        <w:t xml:space="preserve">Verkaufspreise wurde beobachtet. Zukünftige Arbeiten könnten den</w:t>
      </w:r>
      <w:r>
        <w:t xml:space="preserve"> </w:t>
      </w:r>
      <w:r>
        <w:t xml:space="preserve">Datensatz um weitere Jahre und Variablen erweitern, komplexere</w:t>
      </w:r>
      <w:r>
        <w:t xml:space="preserve"> </w:t>
      </w:r>
      <w:r>
        <w:t xml:space="preserve">Modelle testen und erklärbare KI‑Methoden einsetzen, um die</w:t>
      </w:r>
      <w:r>
        <w:t xml:space="preserve"> </w:t>
      </w:r>
      <w:r>
        <w:t xml:space="preserve">Prognosen für Anwender transparenter zu machen.</w:t>
      </w:r>
    </w:p>
    <w:bookmarkEnd w:id="36"/>
    <w:bookmarkStart w:id="37" w:name="literatur"/>
    <w:p>
      <w:pPr>
        <w:pStyle w:val="Heading1"/>
      </w:pPr>
      <w:r>
        <w:t xml:space="preserve">Literatur</w:t>
      </w:r>
    </w:p>
    <w:p>
      <w:pPr>
        <w:numPr>
          <w:ilvl w:val="0"/>
          <w:numId w:val="1003"/>
        </w:numPr>
        <w:pStyle w:val="Compact"/>
      </w:pPr>
      <w:r>
        <w:t xml:space="preserve">City of Milwaukee,</w:t>
      </w:r>
      <w:r>
        <w:t xml:space="preserve"> </w:t>
      </w:r>
      <w:r>
        <w:rPr>
          <w:iCs/>
          <w:i/>
        </w:rPr>
        <w:t xml:space="preserve">Property Sales Data</w:t>
      </w:r>
      <w:r>
        <w:t xml:space="preserve">. Open‑Data‑Portal (abgerufen 2025)【366478921414254†L38-L154】.</w:t>
      </w:r>
    </w:p>
    <w:p>
      <w:pPr>
        <w:numPr>
          <w:ilvl w:val="0"/>
          <w:numId w:val="1003"/>
        </w:numPr>
        <w:pStyle w:val="Compact"/>
      </w:pPr>
      <w:r>
        <w:t xml:space="preserve">Géron, A. (2022):</w:t>
      </w:r>
      <w:r>
        <w:t xml:space="preserve"> </w:t>
      </w:r>
      <w:r>
        <w:rPr>
          <w:iCs/>
          <w:i/>
        </w:rPr>
        <w:t xml:space="preserve">Hands‑On Machine Learning with Scikit‑Learn,</w:t>
      </w:r>
      <w:r>
        <w:rPr>
          <w:iCs/>
          <w:i/>
        </w:rPr>
        <w:t xml:space="preserve"> </w:t>
      </w:r>
      <w:r>
        <w:rPr>
          <w:iCs/>
          <w:i/>
        </w:rPr>
        <w:t xml:space="preserve">Keras, and TensorFlow</w:t>
      </w:r>
      <w:r>
        <w:t xml:space="preserve">. 3rd Edition. O’Reilly Media.</w:t>
      </w:r>
    </w:p>
    <w:p>
      <w:pPr>
        <w:numPr>
          <w:ilvl w:val="0"/>
          <w:numId w:val="1003"/>
        </w:numPr>
        <w:pStyle w:val="Compact"/>
      </w:pPr>
      <w:r>
        <w:t xml:space="preserve">Friedman, J., Hastie, T., Tibshirani, R. (2001):</w:t>
      </w:r>
      <w:r>
        <w:t xml:space="preserve"> </w:t>
      </w:r>
      <w:r>
        <w:rPr>
          <w:iCs/>
          <w:i/>
        </w:rPr>
        <w:t xml:space="preserve">The Elements of</w:t>
      </w:r>
      <w:r>
        <w:rPr>
          <w:iCs/>
          <w:i/>
        </w:rPr>
        <w:t xml:space="preserve"> </w:t>
      </w:r>
      <w:r>
        <w:rPr>
          <w:iCs/>
          <w:i/>
        </w:rPr>
        <w:t xml:space="preserve">Statistical Learning</w:t>
      </w:r>
      <w:r>
        <w:t xml:space="preserve">. Springer.</w:t>
      </w:r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7" Target="media/rId27.png" /><Relationship Type="http://schemas.openxmlformats.org/officeDocument/2006/relationships/image" Id="rId23" Target="media/rId23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Analyse der Immobilienverkaufsdaten in Milwaukee (2019–2024)</dc:title>
  <dc:creator>Autor: </dc:creator>
  <cp:keywords/>
  <dcterms:created xsi:type="dcterms:W3CDTF">2025-10-22T08:33:44Z</dcterms:created>
  <dcterms:modified xsi:type="dcterms:W3CDTF">2025-10-22T08:33:44Z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Datum: 21. Oktober 2025</vt:lpwstr>
  </property>
</Properties>
</file>