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1C03C" w14:textId="6AAE22BF" w:rsidR="00FC7860" w:rsidRPr="00FC7860" w:rsidRDefault="00FC7860" w:rsidP="00FC7860">
      <w:pPr>
        <w:pStyle w:val="TOC1"/>
      </w:pPr>
      <w:r w:rsidRPr="00FC7860">
        <w:t>TABLE OF CONTENTS</w:t>
      </w:r>
    </w:p>
    <w:p w14:paraId="39D43AED" w14:textId="626E73EA" w:rsidR="00FC7860" w:rsidRDefault="00FC7860" w:rsidP="00FC7860">
      <w:pPr>
        <w:pStyle w:val="TOC1"/>
        <w:rPr>
          <w:noProof/>
        </w:rPr>
      </w:pPr>
      <w:r>
        <w:fldChar w:fldCharType="begin"/>
      </w:r>
      <w:r>
        <w:instrText xml:space="preserve"> TOC \o "1-2" \h \z \u </w:instrText>
      </w:r>
      <w:r>
        <w:fldChar w:fldCharType="separate"/>
      </w:r>
      <w:hyperlink w:anchor="_Toc197346462" w:history="1">
        <w:r w:rsidRPr="00036D1B">
          <w:rPr>
            <w:rStyle w:val="Hyperlink"/>
            <w:noProof/>
          </w:rPr>
          <w:t>Platform</w:t>
        </w:r>
        <w:r>
          <w:rPr>
            <w:noProof/>
            <w:webHidden/>
          </w:rPr>
          <w:tab/>
        </w:r>
        <w:r>
          <w:rPr>
            <w:noProof/>
            <w:webHidden/>
          </w:rPr>
          <w:fldChar w:fldCharType="begin"/>
        </w:r>
        <w:r>
          <w:rPr>
            <w:noProof/>
            <w:webHidden/>
          </w:rPr>
          <w:instrText xml:space="preserve"> PAGEREF _Toc197346462 \h </w:instrText>
        </w:r>
        <w:r>
          <w:rPr>
            <w:noProof/>
            <w:webHidden/>
          </w:rPr>
        </w:r>
        <w:r>
          <w:rPr>
            <w:noProof/>
            <w:webHidden/>
          </w:rPr>
          <w:fldChar w:fldCharType="separate"/>
        </w:r>
        <w:r>
          <w:rPr>
            <w:noProof/>
            <w:webHidden/>
          </w:rPr>
          <w:t>2</w:t>
        </w:r>
        <w:r>
          <w:rPr>
            <w:noProof/>
            <w:webHidden/>
          </w:rPr>
          <w:fldChar w:fldCharType="end"/>
        </w:r>
      </w:hyperlink>
    </w:p>
    <w:p w14:paraId="1DE55D95" w14:textId="053800EE" w:rsidR="00FC7860" w:rsidRDefault="00FC7860">
      <w:pPr>
        <w:pStyle w:val="TOC2"/>
        <w:tabs>
          <w:tab w:val="right" w:leader="underscore" w:pos="9350"/>
        </w:tabs>
        <w:rPr>
          <w:noProof/>
        </w:rPr>
      </w:pPr>
      <w:hyperlink w:anchor="_Toc197346463" w:history="1">
        <w:r w:rsidRPr="00036D1B">
          <w:rPr>
            <w:rStyle w:val="Hyperlink"/>
            <w:rFonts w:eastAsia="Times New Roman"/>
            <w:noProof/>
          </w:rPr>
          <w:t>Platform: Definition and Purpose</w:t>
        </w:r>
        <w:r>
          <w:rPr>
            <w:noProof/>
            <w:webHidden/>
          </w:rPr>
          <w:tab/>
        </w:r>
        <w:r>
          <w:rPr>
            <w:noProof/>
            <w:webHidden/>
          </w:rPr>
          <w:fldChar w:fldCharType="begin"/>
        </w:r>
        <w:r>
          <w:rPr>
            <w:noProof/>
            <w:webHidden/>
          </w:rPr>
          <w:instrText xml:space="preserve"> PAGEREF _Toc197346463 \h </w:instrText>
        </w:r>
        <w:r>
          <w:rPr>
            <w:noProof/>
            <w:webHidden/>
          </w:rPr>
        </w:r>
        <w:r>
          <w:rPr>
            <w:noProof/>
            <w:webHidden/>
          </w:rPr>
          <w:fldChar w:fldCharType="separate"/>
        </w:r>
        <w:r>
          <w:rPr>
            <w:noProof/>
            <w:webHidden/>
          </w:rPr>
          <w:t>2</w:t>
        </w:r>
        <w:r>
          <w:rPr>
            <w:noProof/>
            <w:webHidden/>
          </w:rPr>
          <w:fldChar w:fldCharType="end"/>
        </w:r>
      </w:hyperlink>
    </w:p>
    <w:p w14:paraId="0343DB8C" w14:textId="19B8BF72" w:rsidR="00FC7860" w:rsidRDefault="00FC7860">
      <w:pPr>
        <w:pStyle w:val="TOC2"/>
        <w:tabs>
          <w:tab w:val="right" w:leader="underscore" w:pos="9350"/>
        </w:tabs>
        <w:rPr>
          <w:noProof/>
        </w:rPr>
      </w:pPr>
      <w:hyperlink w:anchor="_Toc197346464" w:history="1">
        <w:r w:rsidRPr="00036D1B">
          <w:rPr>
            <w:rStyle w:val="Hyperlink"/>
            <w:rFonts w:eastAsia="Times New Roman"/>
            <w:noProof/>
          </w:rPr>
          <w:t>Platform: Foundational Infrastructure</w:t>
        </w:r>
        <w:r>
          <w:rPr>
            <w:noProof/>
            <w:webHidden/>
          </w:rPr>
          <w:tab/>
        </w:r>
        <w:r>
          <w:rPr>
            <w:noProof/>
            <w:webHidden/>
          </w:rPr>
          <w:fldChar w:fldCharType="begin"/>
        </w:r>
        <w:r>
          <w:rPr>
            <w:noProof/>
            <w:webHidden/>
          </w:rPr>
          <w:instrText xml:space="preserve"> PAGEREF _Toc197346464 \h </w:instrText>
        </w:r>
        <w:r>
          <w:rPr>
            <w:noProof/>
            <w:webHidden/>
          </w:rPr>
        </w:r>
        <w:r>
          <w:rPr>
            <w:noProof/>
            <w:webHidden/>
          </w:rPr>
          <w:fldChar w:fldCharType="separate"/>
        </w:r>
        <w:r>
          <w:rPr>
            <w:noProof/>
            <w:webHidden/>
          </w:rPr>
          <w:t>2</w:t>
        </w:r>
        <w:r>
          <w:rPr>
            <w:noProof/>
            <w:webHidden/>
          </w:rPr>
          <w:fldChar w:fldCharType="end"/>
        </w:r>
      </w:hyperlink>
    </w:p>
    <w:p w14:paraId="5D4A4919" w14:textId="500AB778" w:rsidR="00FC7860" w:rsidRDefault="00FC7860">
      <w:pPr>
        <w:pStyle w:val="TOC2"/>
        <w:tabs>
          <w:tab w:val="right" w:leader="underscore" w:pos="9350"/>
        </w:tabs>
        <w:rPr>
          <w:noProof/>
        </w:rPr>
      </w:pPr>
      <w:hyperlink w:anchor="_Toc197346465" w:history="1">
        <w:r w:rsidRPr="00036D1B">
          <w:rPr>
            <w:rStyle w:val="Hyperlink"/>
            <w:rFonts w:eastAsia="Times New Roman"/>
            <w:noProof/>
          </w:rPr>
          <w:t>Platform: Core Functionality: Creation and Management</w:t>
        </w:r>
        <w:r>
          <w:rPr>
            <w:noProof/>
            <w:webHidden/>
          </w:rPr>
          <w:tab/>
        </w:r>
        <w:r>
          <w:rPr>
            <w:noProof/>
            <w:webHidden/>
          </w:rPr>
          <w:fldChar w:fldCharType="begin"/>
        </w:r>
        <w:r>
          <w:rPr>
            <w:noProof/>
            <w:webHidden/>
          </w:rPr>
          <w:instrText xml:space="preserve"> PAGEREF _Toc197346465 \h </w:instrText>
        </w:r>
        <w:r>
          <w:rPr>
            <w:noProof/>
            <w:webHidden/>
          </w:rPr>
        </w:r>
        <w:r>
          <w:rPr>
            <w:noProof/>
            <w:webHidden/>
          </w:rPr>
          <w:fldChar w:fldCharType="separate"/>
        </w:r>
        <w:r>
          <w:rPr>
            <w:noProof/>
            <w:webHidden/>
          </w:rPr>
          <w:t>3</w:t>
        </w:r>
        <w:r>
          <w:rPr>
            <w:noProof/>
            <w:webHidden/>
          </w:rPr>
          <w:fldChar w:fldCharType="end"/>
        </w:r>
      </w:hyperlink>
    </w:p>
    <w:p w14:paraId="05E3299E" w14:textId="4CDA6CDE" w:rsidR="00FC7860" w:rsidRDefault="00FC7860">
      <w:pPr>
        <w:pStyle w:val="TOC2"/>
        <w:tabs>
          <w:tab w:val="right" w:leader="underscore" w:pos="9350"/>
        </w:tabs>
        <w:rPr>
          <w:noProof/>
        </w:rPr>
      </w:pPr>
      <w:hyperlink w:anchor="_Toc197346466" w:history="1">
        <w:r w:rsidRPr="00036D1B">
          <w:rPr>
            <w:rStyle w:val="Hyperlink"/>
            <w:rFonts w:eastAsia="Times New Roman"/>
            <w:noProof/>
          </w:rPr>
          <w:t>Platform: Core Functionality: Integration</w:t>
        </w:r>
        <w:r>
          <w:rPr>
            <w:noProof/>
            <w:webHidden/>
          </w:rPr>
          <w:tab/>
        </w:r>
        <w:r>
          <w:rPr>
            <w:noProof/>
            <w:webHidden/>
          </w:rPr>
          <w:fldChar w:fldCharType="begin"/>
        </w:r>
        <w:r>
          <w:rPr>
            <w:noProof/>
            <w:webHidden/>
          </w:rPr>
          <w:instrText xml:space="preserve"> PAGEREF _Toc197346466 \h </w:instrText>
        </w:r>
        <w:r>
          <w:rPr>
            <w:noProof/>
            <w:webHidden/>
          </w:rPr>
        </w:r>
        <w:r>
          <w:rPr>
            <w:noProof/>
            <w:webHidden/>
          </w:rPr>
          <w:fldChar w:fldCharType="separate"/>
        </w:r>
        <w:r>
          <w:rPr>
            <w:noProof/>
            <w:webHidden/>
          </w:rPr>
          <w:t>3</w:t>
        </w:r>
        <w:r>
          <w:rPr>
            <w:noProof/>
            <w:webHidden/>
          </w:rPr>
          <w:fldChar w:fldCharType="end"/>
        </w:r>
      </w:hyperlink>
    </w:p>
    <w:p w14:paraId="76C03B3B" w14:textId="02DF6A44" w:rsidR="00FC7860" w:rsidRDefault="00FC7860">
      <w:pPr>
        <w:pStyle w:val="TOC2"/>
        <w:tabs>
          <w:tab w:val="right" w:leader="underscore" w:pos="9350"/>
        </w:tabs>
        <w:rPr>
          <w:noProof/>
        </w:rPr>
      </w:pPr>
      <w:hyperlink w:anchor="_Toc197346467" w:history="1">
        <w:r w:rsidRPr="00036D1B">
          <w:rPr>
            <w:rStyle w:val="Hyperlink"/>
            <w:rFonts w:eastAsia="Times New Roman"/>
            <w:noProof/>
          </w:rPr>
          <w:t>Platform: Technical Delivery: SaaS Architecture</w:t>
        </w:r>
        <w:r>
          <w:rPr>
            <w:noProof/>
            <w:webHidden/>
          </w:rPr>
          <w:tab/>
        </w:r>
        <w:r>
          <w:rPr>
            <w:noProof/>
            <w:webHidden/>
          </w:rPr>
          <w:fldChar w:fldCharType="begin"/>
        </w:r>
        <w:r>
          <w:rPr>
            <w:noProof/>
            <w:webHidden/>
          </w:rPr>
          <w:instrText xml:space="preserve"> PAGEREF _Toc197346467 \h </w:instrText>
        </w:r>
        <w:r>
          <w:rPr>
            <w:noProof/>
            <w:webHidden/>
          </w:rPr>
        </w:r>
        <w:r>
          <w:rPr>
            <w:noProof/>
            <w:webHidden/>
          </w:rPr>
          <w:fldChar w:fldCharType="separate"/>
        </w:r>
        <w:r>
          <w:rPr>
            <w:noProof/>
            <w:webHidden/>
          </w:rPr>
          <w:t>4</w:t>
        </w:r>
        <w:r>
          <w:rPr>
            <w:noProof/>
            <w:webHidden/>
          </w:rPr>
          <w:fldChar w:fldCharType="end"/>
        </w:r>
      </w:hyperlink>
    </w:p>
    <w:p w14:paraId="47AD4669" w14:textId="14E90987" w:rsidR="00FC7860" w:rsidRDefault="00FC7860">
      <w:pPr>
        <w:pStyle w:val="TOC2"/>
        <w:tabs>
          <w:tab w:val="right" w:leader="underscore" w:pos="9350"/>
        </w:tabs>
        <w:rPr>
          <w:noProof/>
        </w:rPr>
      </w:pPr>
      <w:hyperlink w:anchor="_Toc197346468" w:history="1">
        <w:r w:rsidRPr="00036D1B">
          <w:rPr>
            <w:rStyle w:val="Hyperlink"/>
            <w:rFonts w:eastAsia="Times New Roman"/>
            <w:noProof/>
          </w:rPr>
          <w:t>Platform: Technical Delivery: Administration</w:t>
        </w:r>
        <w:r>
          <w:rPr>
            <w:noProof/>
            <w:webHidden/>
          </w:rPr>
          <w:tab/>
        </w:r>
        <w:r>
          <w:rPr>
            <w:noProof/>
            <w:webHidden/>
          </w:rPr>
          <w:fldChar w:fldCharType="begin"/>
        </w:r>
        <w:r>
          <w:rPr>
            <w:noProof/>
            <w:webHidden/>
          </w:rPr>
          <w:instrText xml:space="preserve"> PAGEREF _Toc197346468 \h </w:instrText>
        </w:r>
        <w:r>
          <w:rPr>
            <w:noProof/>
            <w:webHidden/>
          </w:rPr>
        </w:r>
        <w:r>
          <w:rPr>
            <w:noProof/>
            <w:webHidden/>
          </w:rPr>
          <w:fldChar w:fldCharType="separate"/>
        </w:r>
        <w:r>
          <w:rPr>
            <w:noProof/>
            <w:webHidden/>
          </w:rPr>
          <w:t>4</w:t>
        </w:r>
        <w:r>
          <w:rPr>
            <w:noProof/>
            <w:webHidden/>
          </w:rPr>
          <w:fldChar w:fldCharType="end"/>
        </w:r>
      </w:hyperlink>
    </w:p>
    <w:p w14:paraId="5D730D46" w14:textId="6540DB26" w:rsidR="00FC7860" w:rsidRDefault="00FC7860">
      <w:pPr>
        <w:pStyle w:val="TOC2"/>
        <w:tabs>
          <w:tab w:val="right" w:leader="underscore" w:pos="9350"/>
        </w:tabs>
        <w:rPr>
          <w:noProof/>
        </w:rPr>
      </w:pPr>
      <w:hyperlink w:anchor="_Toc197346469" w:history="1">
        <w:r w:rsidRPr="00036D1B">
          <w:rPr>
            <w:rStyle w:val="Hyperlink"/>
            <w:rFonts w:eastAsia="Times New Roman"/>
            <w:noProof/>
          </w:rPr>
          <w:t>Platform: Pricing Structure: Contract Components</w:t>
        </w:r>
        <w:r>
          <w:rPr>
            <w:noProof/>
            <w:webHidden/>
          </w:rPr>
          <w:tab/>
        </w:r>
        <w:r>
          <w:rPr>
            <w:noProof/>
            <w:webHidden/>
          </w:rPr>
          <w:fldChar w:fldCharType="begin"/>
        </w:r>
        <w:r>
          <w:rPr>
            <w:noProof/>
            <w:webHidden/>
          </w:rPr>
          <w:instrText xml:space="preserve"> PAGEREF _Toc197346469 \h </w:instrText>
        </w:r>
        <w:r>
          <w:rPr>
            <w:noProof/>
            <w:webHidden/>
          </w:rPr>
        </w:r>
        <w:r>
          <w:rPr>
            <w:noProof/>
            <w:webHidden/>
          </w:rPr>
          <w:fldChar w:fldCharType="separate"/>
        </w:r>
        <w:r>
          <w:rPr>
            <w:noProof/>
            <w:webHidden/>
          </w:rPr>
          <w:t>5</w:t>
        </w:r>
        <w:r>
          <w:rPr>
            <w:noProof/>
            <w:webHidden/>
          </w:rPr>
          <w:fldChar w:fldCharType="end"/>
        </w:r>
      </w:hyperlink>
    </w:p>
    <w:p w14:paraId="21D11C2F" w14:textId="0EC9B59B" w:rsidR="00FC7860" w:rsidRDefault="00FC7860" w:rsidP="00FC7860">
      <w:pPr>
        <w:pStyle w:val="TOC1"/>
        <w:rPr>
          <w:noProof/>
        </w:rPr>
      </w:pPr>
      <w:hyperlink w:anchor="_Toc197346470" w:history="1">
        <w:r w:rsidRPr="00036D1B">
          <w:rPr>
            <w:rStyle w:val="Hyperlink"/>
            <w:noProof/>
          </w:rPr>
          <w:t>Application: Tele App</w:t>
        </w:r>
        <w:r>
          <w:rPr>
            <w:noProof/>
            <w:webHidden/>
          </w:rPr>
          <w:tab/>
        </w:r>
        <w:r>
          <w:rPr>
            <w:noProof/>
            <w:webHidden/>
          </w:rPr>
          <w:fldChar w:fldCharType="begin"/>
        </w:r>
        <w:r>
          <w:rPr>
            <w:noProof/>
            <w:webHidden/>
          </w:rPr>
          <w:instrText xml:space="preserve"> PAGEREF _Toc197346470 \h </w:instrText>
        </w:r>
        <w:r>
          <w:rPr>
            <w:noProof/>
            <w:webHidden/>
          </w:rPr>
        </w:r>
        <w:r>
          <w:rPr>
            <w:noProof/>
            <w:webHidden/>
          </w:rPr>
          <w:fldChar w:fldCharType="separate"/>
        </w:r>
        <w:r>
          <w:rPr>
            <w:noProof/>
            <w:webHidden/>
          </w:rPr>
          <w:t>6</w:t>
        </w:r>
        <w:r>
          <w:rPr>
            <w:noProof/>
            <w:webHidden/>
          </w:rPr>
          <w:fldChar w:fldCharType="end"/>
        </w:r>
      </w:hyperlink>
    </w:p>
    <w:p w14:paraId="6E33042C" w14:textId="509C6582" w:rsidR="00FC7860" w:rsidRDefault="00FC7860">
      <w:pPr>
        <w:pStyle w:val="TOC2"/>
        <w:tabs>
          <w:tab w:val="right" w:leader="underscore" w:pos="9350"/>
        </w:tabs>
        <w:rPr>
          <w:noProof/>
        </w:rPr>
      </w:pPr>
      <w:hyperlink w:anchor="_Toc197346471" w:history="1">
        <w:r w:rsidRPr="00036D1B">
          <w:rPr>
            <w:rStyle w:val="Hyperlink"/>
            <w:rFonts w:eastAsia="Times New Roman"/>
            <w:noProof/>
          </w:rPr>
          <w:t>Application: Core Functionality: Creating Immersive Spaces</w:t>
        </w:r>
        <w:r>
          <w:rPr>
            <w:noProof/>
            <w:webHidden/>
          </w:rPr>
          <w:tab/>
        </w:r>
        <w:r>
          <w:rPr>
            <w:noProof/>
            <w:webHidden/>
          </w:rPr>
          <w:fldChar w:fldCharType="begin"/>
        </w:r>
        <w:r>
          <w:rPr>
            <w:noProof/>
            <w:webHidden/>
          </w:rPr>
          <w:instrText xml:space="preserve"> PAGEREF _Toc197346471 \h </w:instrText>
        </w:r>
        <w:r>
          <w:rPr>
            <w:noProof/>
            <w:webHidden/>
          </w:rPr>
        </w:r>
        <w:r>
          <w:rPr>
            <w:noProof/>
            <w:webHidden/>
          </w:rPr>
          <w:fldChar w:fldCharType="separate"/>
        </w:r>
        <w:r>
          <w:rPr>
            <w:noProof/>
            <w:webHidden/>
          </w:rPr>
          <w:t>7</w:t>
        </w:r>
        <w:r>
          <w:rPr>
            <w:noProof/>
            <w:webHidden/>
          </w:rPr>
          <w:fldChar w:fldCharType="end"/>
        </w:r>
      </w:hyperlink>
    </w:p>
    <w:p w14:paraId="363408AA" w14:textId="40BE0F3D" w:rsidR="00FC7860" w:rsidRDefault="00FC7860">
      <w:pPr>
        <w:pStyle w:val="TOC2"/>
        <w:tabs>
          <w:tab w:val="right" w:leader="underscore" w:pos="9350"/>
        </w:tabs>
        <w:rPr>
          <w:noProof/>
        </w:rPr>
      </w:pPr>
      <w:hyperlink w:anchor="_Toc197346472" w:history="1">
        <w:r w:rsidRPr="00036D1B">
          <w:rPr>
            <w:rStyle w:val="Hyperlink"/>
            <w:rFonts w:eastAsia="Times New Roman"/>
            <w:noProof/>
          </w:rPr>
          <w:t>Application: Core Functionality: Managing Transitions</w:t>
        </w:r>
        <w:r>
          <w:rPr>
            <w:noProof/>
            <w:webHidden/>
          </w:rPr>
          <w:tab/>
        </w:r>
        <w:r>
          <w:rPr>
            <w:noProof/>
            <w:webHidden/>
          </w:rPr>
          <w:fldChar w:fldCharType="begin"/>
        </w:r>
        <w:r>
          <w:rPr>
            <w:noProof/>
            <w:webHidden/>
          </w:rPr>
          <w:instrText xml:space="preserve"> PAGEREF _Toc197346472 \h </w:instrText>
        </w:r>
        <w:r>
          <w:rPr>
            <w:noProof/>
            <w:webHidden/>
          </w:rPr>
        </w:r>
        <w:r>
          <w:rPr>
            <w:noProof/>
            <w:webHidden/>
          </w:rPr>
          <w:fldChar w:fldCharType="separate"/>
        </w:r>
        <w:r>
          <w:rPr>
            <w:noProof/>
            <w:webHidden/>
          </w:rPr>
          <w:t>7</w:t>
        </w:r>
        <w:r>
          <w:rPr>
            <w:noProof/>
            <w:webHidden/>
          </w:rPr>
          <w:fldChar w:fldCharType="end"/>
        </w:r>
      </w:hyperlink>
    </w:p>
    <w:p w14:paraId="053D4531" w14:textId="6AD022E9" w:rsidR="00FC7860" w:rsidRDefault="00FC7860">
      <w:pPr>
        <w:pStyle w:val="TOC2"/>
        <w:tabs>
          <w:tab w:val="right" w:leader="underscore" w:pos="9350"/>
        </w:tabs>
        <w:rPr>
          <w:noProof/>
        </w:rPr>
      </w:pPr>
      <w:hyperlink w:anchor="_Toc197346473" w:history="1">
        <w:r w:rsidRPr="00036D1B">
          <w:rPr>
            <w:rStyle w:val="Hyperlink"/>
            <w:rFonts w:eastAsia="Times New Roman"/>
            <w:noProof/>
          </w:rPr>
          <w:t>Application: Core Functionality: Connecting Participants</w:t>
        </w:r>
        <w:r>
          <w:rPr>
            <w:noProof/>
            <w:webHidden/>
          </w:rPr>
          <w:tab/>
        </w:r>
        <w:r>
          <w:rPr>
            <w:noProof/>
            <w:webHidden/>
          </w:rPr>
          <w:fldChar w:fldCharType="begin"/>
        </w:r>
        <w:r>
          <w:rPr>
            <w:noProof/>
            <w:webHidden/>
          </w:rPr>
          <w:instrText xml:space="preserve"> PAGEREF _Toc197346473 \h </w:instrText>
        </w:r>
        <w:r>
          <w:rPr>
            <w:noProof/>
            <w:webHidden/>
          </w:rPr>
        </w:r>
        <w:r>
          <w:rPr>
            <w:noProof/>
            <w:webHidden/>
          </w:rPr>
          <w:fldChar w:fldCharType="separate"/>
        </w:r>
        <w:r>
          <w:rPr>
            <w:noProof/>
            <w:webHidden/>
          </w:rPr>
          <w:t>8</w:t>
        </w:r>
        <w:r>
          <w:rPr>
            <w:noProof/>
            <w:webHidden/>
          </w:rPr>
          <w:fldChar w:fldCharType="end"/>
        </w:r>
      </w:hyperlink>
    </w:p>
    <w:p w14:paraId="1A941DB4" w14:textId="28E2745C" w:rsidR="00FC7860" w:rsidRDefault="00FC7860">
      <w:pPr>
        <w:pStyle w:val="TOC2"/>
        <w:tabs>
          <w:tab w:val="right" w:leader="underscore" w:pos="9350"/>
        </w:tabs>
        <w:rPr>
          <w:noProof/>
        </w:rPr>
      </w:pPr>
      <w:hyperlink w:anchor="_Toc197346474" w:history="1">
        <w:r w:rsidRPr="00036D1B">
          <w:rPr>
            <w:rStyle w:val="Hyperlink"/>
            <w:rFonts w:eastAsia="Times New Roman"/>
            <w:noProof/>
          </w:rPr>
          <w:t>Application: Core Functionality: Presenting Enterprise Data</w:t>
        </w:r>
        <w:r>
          <w:rPr>
            <w:noProof/>
            <w:webHidden/>
          </w:rPr>
          <w:tab/>
        </w:r>
        <w:r>
          <w:rPr>
            <w:noProof/>
            <w:webHidden/>
          </w:rPr>
          <w:fldChar w:fldCharType="begin"/>
        </w:r>
        <w:r>
          <w:rPr>
            <w:noProof/>
            <w:webHidden/>
          </w:rPr>
          <w:instrText xml:space="preserve"> PAGEREF _Toc197346474 \h </w:instrText>
        </w:r>
        <w:r>
          <w:rPr>
            <w:noProof/>
            <w:webHidden/>
          </w:rPr>
        </w:r>
        <w:r>
          <w:rPr>
            <w:noProof/>
            <w:webHidden/>
          </w:rPr>
          <w:fldChar w:fldCharType="separate"/>
        </w:r>
        <w:r>
          <w:rPr>
            <w:noProof/>
            <w:webHidden/>
          </w:rPr>
          <w:t>9</w:t>
        </w:r>
        <w:r>
          <w:rPr>
            <w:noProof/>
            <w:webHidden/>
          </w:rPr>
          <w:fldChar w:fldCharType="end"/>
        </w:r>
      </w:hyperlink>
    </w:p>
    <w:p w14:paraId="3F443F02" w14:textId="2A1956F8" w:rsidR="00FC7860" w:rsidRDefault="00FC7860">
      <w:pPr>
        <w:pStyle w:val="TOC2"/>
        <w:tabs>
          <w:tab w:val="right" w:leader="underscore" w:pos="9350"/>
        </w:tabs>
        <w:rPr>
          <w:noProof/>
        </w:rPr>
      </w:pPr>
      <w:hyperlink w:anchor="_Toc197346475" w:history="1">
        <w:r w:rsidRPr="00036D1B">
          <w:rPr>
            <w:rStyle w:val="Hyperlink"/>
            <w:rFonts w:eastAsia="Times New Roman"/>
            <w:noProof/>
          </w:rPr>
          <w:t>Application: Technical Delivery: WebGL/Unity Application</w:t>
        </w:r>
        <w:r>
          <w:rPr>
            <w:noProof/>
            <w:webHidden/>
          </w:rPr>
          <w:tab/>
        </w:r>
        <w:r>
          <w:rPr>
            <w:noProof/>
            <w:webHidden/>
          </w:rPr>
          <w:fldChar w:fldCharType="begin"/>
        </w:r>
        <w:r>
          <w:rPr>
            <w:noProof/>
            <w:webHidden/>
          </w:rPr>
          <w:instrText xml:space="preserve"> PAGEREF _Toc197346475 \h </w:instrText>
        </w:r>
        <w:r>
          <w:rPr>
            <w:noProof/>
            <w:webHidden/>
          </w:rPr>
        </w:r>
        <w:r>
          <w:rPr>
            <w:noProof/>
            <w:webHidden/>
          </w:rPr>
          <w:fldChar w:fldCharType="separate"/>
        </w:r>
        <w:r>
          <w:rPr>
            <w:noProof/>
            <w:webHidden/>
          </w:rPr>
          <w:t>9</w:t>
        </w:r>
        <w:r>
          <w:rPr>
            <w:noProof/>
            <w:webHidden/>
          </w:rPr>
          <w:fldChar w:fldCharType="end"/>
        </w:r>
      </w:hyperlink>
    </w:p>
    <w:p w14:paraId="3832078B" w14:textId="4CC65CFA" w:rsidR="00FC7860" w:rsidRDefault="00FC7860">
      <w:pPr>
        <w:pStyle w:val="TOC2"/>
        <w:tabs>
          <w:tab w:val="right" w:leader="underscore" w:pos="9350"/>
        </w:tabs>
        <w:rPr>
          <w:noProof/>
        </w:rPr>
      </w:pPr>
      <w:hyperlink w:anchor="_Toc197346476" w:history="1">
        <w:r w:rsidRPr="00036D1B">
          <w:rPr>
            <w:rStyle w:val="Hyperlink"/>
            <w:rFonts w:eastAsia="Times New Roman"/>
            <w:noProof/>
          </w:rPr>
          <w:t>Application: Technical Delivery: Integration Options</w:t>
        </w:r>
        <w:r>
          <w:rPr>
            <w:noProof/>
            <w:webHidden/>
          </w:rPr>
          <w:tab/>
        </w:r>
        <w:r>
          <w:rPr>
            <w:noProof/>
            <w:webHidden/>
          </w:rPr>
          <w:fldChar w:fldCharType="begin"/>
        </w:r>
        <w:r>
          <w:rPr>
            <w:noProof/>
            <w:webHidden/>
          </w:rPr>
          <w:instrText xml:space="preserve"> PAGEREF _Toc197346476 \h </w:instrText>
        </w:r>
        <w:r>
          <w:rPr>
            <w:noProof/>
            <w:webHidden/>
          </w:rPr>
        </w:r>
        <w:r>
          <w:rPr>
            <w:noProof/>
            <w:webHidden/>
          </w:rPr>
          <w:fldChar w:fldCharType="separate"/>
        </w:r>
        <w:r>
          <w:rPr>
            <w:noProof/>
            <w:webHidden/>
          </w:rPr>
          <w:t>10</w:t>
        </w:r>
        <w:r>
          <w:rPr>
            <w:noProof/>
            <w:webHidden/>
          </w:rPr>
          <w:fldChar w:fldCharType="end"/>
        </w:r>
      </w:hyperlink>
    </w:p>
    <w:p w14:paraId="725834D6" w14:textId="51C717C9" w:rsidR="00FC7860" w:rsidRDefault="00FC7860">
      <w:pPr>
        <w:pStyle w:val="TOC2"/>
        <w:tabs>
          <w:tab w:val="right" w:leader="underscore" w:pos="9350"/>
        </w:tabs>
        <w:rPr>
          <w:noProof/>
        </w:rPr>
      </w:pPr>
      <w:hyperlink w:anchor="_Toc197346477" w:history="1">
        <w:r w:rsidRPr="00036D1B">
          <w:rPr>
            <w:rStyle w:val="Hyperlink"/>
            <w:rFonts w:eastAsia="Times New Roman"/>
            <w:noProof/>
          </w:rPr>
          <w:t>Application: Pricing Approach: Complexity Factors</w:t>
        </w:r>
        <w:r>
          <w:rPr>
            <w:noProof/>
            <w:webHidden/>
          </w:rPr>
          <w:tab/>
        </w:r>
        <w:r>
          <w:rPr>
            <w:noProof/>
            <w:webHidden/>
          </w:rPr>
          <w:fldChar w:fldCharType="begin"/>
        </w:r>
        <w:r>
          <w:rPr>
            <w:noProof/>
            <w:webHidden/>
          </w:rPr>
          <w:instrText xml:space="preserve"> PAGEREF _Toc197346477 \h </w:instrText>
        </w:r>
        <w:r>
          <w:rPr>
            <w:noProof/>
            <w:webHidden/>
          </w:rPr>
        </w:r>
        <w:r>
          <w:rPr>
            <w:noProof/>
            <w:webHidden/>
          </w:rPr>
          <w:fldChar w:fldCharType="separate"/>
        </w:r>
        <w:r>
          <w:rPr>
            <w:noProof/>
            <w:webHidden/>
          </w:rPr>
          <w:t>11</w:t>
        </w:r>
        <w:r>
          <w:rPr>
            <w:noProof/>
            <w:webHidden/>
          </w:rPr>
          <w:fldChar w:fldCharType="end"/>
        </w:r>
      </w:hyperlink>
    </w:p>
    <w:p w14:paraId="3CEFF1AD" w14:textId="38EDEDA9" w:rsidR="00FC7860" w:rsidRDefault="00FC7860">
      <w:pPr>
        <w:pStyle w:val="TOC2"/>
        <w:tabs>
          <w:tab w:val="right" w:leader="underscore" w:pos="9350"/>
        </w:tabs>
        <w:rPr>
          <w:noProof/>
        </w:rPr>
      </w:pPr>
      <w:hyperlink w:anchor="_Toc197346478" w:history="1">
        <w:r w:rsidRPr="00036D1B">
          <w:rPr>
            <w:rStyle w:val="Hyperlink"/>
            <w:rFonts w:eastAsia="Times New Roman"/>
            <w:noProof/>
          </w:rPr>
          <w:t>Application: Pricing Approach: Customization Factors</w:t>
        </w:r>
        <w:r>
          <w:rPr>
            <w:noProof/>
            <w:webHidden/>
          </w:rPr>
          <w:tab/>
        </w:r>
        <w:r>
          <w:rPr>
            <w:noProof/>
            <w:webHidden/>
          </w:rPr>
          <w:fldChar w:fldCharType="begin"/>
        </w:r>
        <w:r>
          <w:rPr>
            <w:noProof/>
            <w:webHidden/>
          </w:rPr>
          <w:instrText xml:space="preserve"> PAGEREF _Toc197346478 \h </w:instrText>
        </w:r>
        <w:r>
          <w:rPr>
            <w:noProof/>
            <w:webHidden/>
          </w:rPr>
        </w:r>
        <w:r>
          <w:rPr>
            <w:noProof/>
            <w:webHidden/>
          </w:rPr>
          <w:fldChar w:fldCharType="separate"/>
        </w:r>
        <w:r>
          <w:rPr>
            <w:noProof/>
            <w:webHidden/>
          </w:rPr>
          <w:t>11</w:t>
        </w:r>
        <w:r>
          <w:rPr>
            <w:noProof/>
            <w:webHidden/>
          </w:rPr>
          <w:fldChar w:fldCharType="end"/>
        </w:r>
      </w:hyperlink>
    </w:p>
    <w:p w14:paraId="5C173DF5" w14:textId="1C79AA2D" w:rsidR="00FC7860" w:rsidRDefault="00FC7860" w:rsidP="00FC7860">
      <w:pPr>
        <w:pStyle w:val="TOC1"/>
        <w:rPr>
          <w:noProof/>
        </w:rPr>
      </w:pPr>
      <w:hyperlink w:anchor="_Toc197346479" w:history="1">
        <w:r w:rsidRPr="00036D1B">
          <w:rPr>
            <w:rStyle w:val="Hyperlink"/>
            <w:noProof/>
          </w:rPr>
          <w:t>Core Capability: Telepath</w:t>
        </w:r>
        <w:r>
          <w:rPr>
            <w:noProof/>
            <w:webHidden/>
          </w:rPr>
          <w:tab/>
        </w:r>
        <w:r>
          <w:rPr>
            <w:noProof/>
            <w:webHidden/>
          </w:rPr>
          <w:fldChar w:fldCharType="begin"/>
        </w:r>
        <w:r>
          <w:rPr>
            <w:noProof/>
            <w:webHidden/>
          </w:rPr>
          <w:instrText xml:space="preserve"> PAGEREF _Toc197346479 \h </w:instrText>
        </w:r>
        <w:r>
          <w:rPr>
            <w:noProof/>
            <w:webHidden/>
          </w:rPr>
        </w:r>
        <w:r>
          <w:rPr>
            <w:noProof/>
            <w:webHidden/>
          </w:rPr>
          <w:fldChar w:fldCharType="separate"/>
        </w:r>
        <w:r>
          <w:rPr>
            <w:noProof/>
            <w:webHidden/>
          </w:rPr>
          <w:t>12</w:t>
        </w:r>
        <w:r>
          <w:rPr>
            <w:noProof/>
            <w:webHidden/>
          </w:rPr>
          <w:fldChar w:fldCharType="end"/>
        </w:r>
      </w:hyperlink>
    </w:p>
    <w:p w14:paraId="02B0BE1E" w14:textId="0FA44474" w:rsidR="00FC7860" w:rsidRDefault="00FC7860">
      <w:pPr>
        <w:pStyle w:val="TOC2"/>
        <w:tabs>
          <w:tab w:val="right" w:leader="underscore" w:pos="9350"/>
        </w:tabs>
        <w:rPr>
          <w:noProof/>
        </w:rPr>
      </w:pPr>
      <w:hyperlink w:anchor="_Toc197346480" w:history="1">
        <w:r w:rsidRPr="00036D1B">
          <w:rPr>
            <w:rStyle w:val="Hyperlink"/>
            <w:rFonts w:eastAsia="Times New Roman"/>
            <w:noProof/>
          </w:rPr>
          <w:t>Telepath: Definition and Purpose: Workflow Orchestration</w:t>
        </w:r>
        <w:r>
          <w:rPr>
            <w:noProof/>
            <w:webHidden/>
          </w:rPr>
          <w:tab/>
        </w:r>
        <w:r>
          <w:rPr>
            <w:noProof/>
            <w:webHidden/>
          </w:rPr>
          <w:fldChar w:fldCharType="begin"/>
        </w:r>
        <w:r>
          <w:rPr>
            <w:noProof/>
            <w:webHidden/>
          </w:rPr>
          <w:instrText xml:space="preserve"> PAGEREF _Toc197346480 \h </w:instrText>
        </w:r>
        <w:r>
          <w:rPr>
            <w:noProof/>
            <w:webHidden/>
          </w:rPr>
        </w:r>
        <w:r>
          <w:rPr>
            <w:noProof/>
            <w:webHidden/>
          </w:rPr>
          <w:fldChar w:fldCharType="separate"/>
        </w:r>
        <w:r>
          <w:rPr>
            <w:noProof/>
            <w:webHidden/>
          </w:rPr>
          <w:t>12</w:t>
        </w:r>
        <w:r>
          <w:rPr>
            <w:noProof/>
            <w:webHidden/>
          </w:rPr>
          <w:fldChar w:fldCharType="end"/>
        </w:r>
      </w:hyperlink>
    </w:p>
    <w:p w14:paraId="517A3DC5" w14:textId="3A9A7EC2" w:rsidR="00FC7860" w:rsidRDefault="00FC7860">
      <w:pPr>
        <w:pStyle w:val="TOC2"/>
        <w:tabs>
          <w:tab w:val="right" w:leader="underscore" w:pos="9350"/>
        </w:tabs>
        <w:rPr>
          <w:noProof/>
        </w:rPr>
      </w:pPr>
      <w:hyperlink w:anchor="_Toc197346481" w:history="1">
        <w:r w:rsidRPr="00036D1B">
          <w:rPr>
            <w:rStyle w:val="Hyperlink"/>
            <w:rFonts w:eastAsia="Times New Roman"/>
            <w:noProof/>
          </w:rPr>
          <w:t>Telepath: Definition and Purpose: Node-Based Experience System</w:t>
        </w:r>
        <w:r>
          <w:rPr>
            <w:noProof/>
            <w:webHidden/>
          </w:rPr>
          <w:tab/>
        </w:r>
        <w:r>
          <w:rPr>
            <w:noProof/>
            <w:webHidden/>
          </w:rPr>
          <w:fldChar w:fldCharType="begin"/>
        </w:r>
        <w:r>
          <w:rPr>
            <w:noProof/>
            <w:webHidden/>
          </w:rPr>
          <w:instrText xml:space="preserve"> PAGEREF _Toc197346481 \h </w:instrText>
        </w:r>
        <w:r>
          <w:rPr>
            <w:noProof/>
            <w:webHidden/>
          </w:rPr>
        </w:r>
        <w:r>
          <w:rPr>
            <w:noProof/>
            <w:webHidden/>
          </w:rPr>
          <w:fldChar w:fldCharType="separate"/>
        </w:r>
        <w:r>
          <w:rPr>
            <w:noProof/>
            <w:webHidden/>
          </w:rPr>
          <w:t>12</w:t>
        </w:r>
        <w:r>
          <w:rPr>
            <w:noProof/>
            <w:webHidden/>
          </w:rPr>
          <w:fldChar w:fldCharType="end"/>
        </w:r>
      </w:hyperlink>
    </w:p>
    <w:p w14:paraId="59A0833D" w14:textId="655A3890" w:rsidR="00FC7860" w:rsidRDefault="00FC7860">
      <w:pPr>
        <w:pStyle w:val="TOC2"/>
        <w:tabs>
          <w:tab w:val="right" w:leader="underscore" w:pos="9350"/>
        </w:tabs>
        <w:rPr>
          <w:noProof/>
        </w:rPr>
      </w:pPr>
      <w:hyperlink w:anchor="_Toc197346482" w:history="1">
        <w:r w:rsidRPr="00036D1B">
          <w:rPr>
            <w:rStyle w:val="Hyperlink"/>
            <w:rFonts w:eastAsia="Times New Roman"/>
            <w:noProof/>
          </w:rPr>
          <w:t>Telepath: Core Functionality: Orchestrating Dynamic Flows</w:t>
        </w:r>
        <w:r>
          <w:rPr>
            <w:noProof/>
            <w:webHidden/>
          </w:rPr>
          <w:tab/>
        </w:r>
        <w:r>
          <w:rPr>
            <w:noProof/>
            <w:webHidden/>
          </w:rPr>
          <w:fldChar w:fldCharType="begin"/>
        </w:r>
        <w:r>
          <w:rPr>
            <w:noProof/>
            <w:webHidden/>
          </w:rPr>
          <w:instrText xml:space="preserve"> PAGEREF _Toc197346482 \h </w:instrText>
        </w:r>
        <w:r>
          <w:rPr>
            <w:noProof/>
            <w:webHidden/>
          </w:rPr>
        </w:r>
        <w:r>
          <w:rPr>
            <w:noProof/>
            <w:webHidden/>
          </w:rPr>
          <w:fldChar w:fldCharType="separate"/>
        </w:r>
        <w:r>
          <w:rPr>
            <w:noProof/>
            <w:webHidden/>
          </w:rPr>
          <w:t>13</w:t>
        </w:r>
        <w:r>
          <w:rPr>
            <w:noProof/>
            <w:webHidden/>
          </w:rPr>
          <w:fldChar w:fldCharType="end"/>
        </w:r>
      </w:hyperlink>
    </w:p>
    <w:p w14:paraId="7DD78F60" w14:textId="5E3CE8ED" w:rsidR="00FC7860" w:rsidRDefault="00FC7860">
      <w:pPr>
        <w:pStyle w:val="TOC2"/>
        <w:tabs>
          <w:tab w:val="right" w:leader="underscore" w:pos="9350"/>
        </w:tabs>
        <w:rPr>
          <w:noProof/>
        </w:rPr>
      </w:pPr>
      <w:hyperlink w:anchor="_Toc197346483" w:history="1">
        <w:r w:rsidRPr="00036D1B">
          <w:rPr>
            <w:rStyle w:val="Hyperlink"/>
            <w:rFonts w:eastAsia="Times New Roman"/>
            <w:noProof/>
          </w:rPr>
          <w:t>Telepath: Core Functionality: Tracking Business Outcomes</w:t>
        </w:r>
        <w:r>
          <w:rPr>
            <w:noProof/>
            <w:webHidden/>
          </w:rPr>
          <w:tab/>
        </w:r>
        <w:r>
          <w:rPr>
            <w:noProof/>
            <w:webHidden/>
          </w:rPr>
          <w:fldChar w:fldCharType="begin"/>
        </w:r>
        <w:r>
          <w:rPr>
            <w:noProof/>
            <w:webHidden/>
          </w:rPr>
          <w:instrText xml:space="preserve"> PAGEREF _Toc197346483 \h </w:instrText>
        </w:r>
        <w:r>
          <w:rPr>
            <w:noProof/>
            <w:webHidden/>
          </w:rPr>
        </w:r>
        <w:r>
          <w:rPr>
            <w:noProof/>
            <w:webHidden/>
          </w:rPr>
          <w:fldChar w:fldCharType="separate"/>
        </w:r>
        <w:r>
          <w:rPr>
            <w:noProof/>
            <w:webHidden/>
          </w:rPr>
          <w:t>14</w:t>
        </w:r>
        <w:r>
          <w:rPr>
            <w:noProof/>
            <w:webHidden/>
          </w:rPr>
          <w:fldChar w:fldCharType="end"/>
        </w:r>
      </w:hyperlink>
    </w:p>
    <w:p w14:paraId="51A45C5F" w14:textId="28944764" w:rsidR="00FC7860" w:rsidRDefault="00FC7860">
      <w:pPr>
        <w:pStyle w:val="TOC2"/>
        <w:tabs>
          <w:tab w:val="right" w:leader="underscore" w:pos="9350"/>
        </w:tabs>
        <w:rPr>
          <w:noProof/>
        </w:rPr>
      </w:pPr>
      <w:hyperlink w:anchor="_Toc197346484" w:history="1">
        <w:r w:rsidRPr="00036D1B">
          <w:rPr>
            <w:rStyle w:val="Hyperlink"/>
            <w:rFonts w:eastAsia="Times New Roman"/>
            <w:noProof/>
          </w:rPr>
          <w:t>Telepath: Technical Implementation: Visual Workflow Builder</w:t>
        </w:r>
        <w:r>
          <w:rPr>
            <w:noProof/>
            <w:webHidden/>
          </w:rPr>
          <w:tab/>
        </w:r>
        <w:r>
          <w:rPr>
            <w:noProof/>
            <w:webHidden/>
          </w:rPr>
          <w:fldChar w:fldCharType="begin"/>
        </w:r>
        <w:r>
          <w:rPr>
            <w:noProof/>
            <w:webHidden/>
          </w:rPr>
          <w:instrText xml:space="preserve"> PAGEREF _Toc197346484 \h </w:instrText>
        </w:r>
        <w:r>
          <w:rPr>
            <w:noProof/>
            <w:webHidden/>
          </w:rPr>
        </w:r>
        <w:r>
          <w:rPr>
            <w:noProof/>
            <w:webHidden/>
          </w:rPr>
          <w:fldChar w:fldCharType="separate"/>
        </w:r>
        <w:r>
          <w:rPr>
            <w:noProof/>
            <w:webHidden/>
          </w:rPr>
          <w:t>14</w:t>
        </w:r>
        <w:r>
          <w:rPr>
            <w:noProof/>
            <w:webHidden/>
          </w:rPr>
          <w:fldChar w:fldCharType="end"/>
        </w:r>
      </w:hyperlink>
    </w:p>
    <w:p w14:paraId="29788427" w14:textId="3DE6DEE3" w:rsidR="00FC7860" w:rsidRDefault="00FC7860">
      <w:pPr>
        <w:pStyle w:val="TOC2"/>
        <w:tabs>
          <w:tab w:val="right" w:leader="underscore" w:pos="9350"/>
        </w:tabs>
        <w:rPr>
          <w:noProof/>
        </w:rPr>
      </w:pPr>
      <w:hyperlink w:anchor="_Toc197346485" w:history="1">
        <w:r w:rsidRPr="00036D1B">
          <w:rPr>
            <w:rStyle w:val="Hyperlink"/>
            <w:rFonts w:eastAsia="Times New Roman"/>
            <w:noProof/>
          </w:rPr>
          <w:t>Telepath: Technical Implementation: Event-Driven State Management</w:t>
        </w:r>
        <w:r>
          <w:rPr>
            <w:noProof/>
            <w:webHidden/>
          </w:rPr>
          <w:tab/>
        </w:r>
        <w:r>
          <w:rPr>
            <w:noProof/>
            <w:webHidden/>
          </w:rPr>
          <w:fldChar w:fldCharType="begin"/>
        </w:r>
        <w:r>
          <w:rPr>
            <w:noProof/>
            <w:webHidden/>
          </w:rPr>
          <w:instrText xml:space="preserve"> PAGEREF _Toc197346485 \h </w:instrText>
        </w:r>
        <w:r>
          <w:rPr>
            <w:noProof/>
            <w:webHidden/>
          </w:rPr>
        </w:r>
        <w:r>
          <w:rPr>
            <w:noProof/>
            <w:webHidden/>
          </w:rPr>
          <w:fldChar w:fldCharType="separate"/>
        </w:r>
        <w:r>
          <w:rPr>
            <w:noProof/>
            <w:webHidden/>
          </w:rPr>
          <w:t>15</w:t>
        </w:r>
        <w:r>
          <w:rPr>
            <w:noProof/>
            <w:webHidden/>
          </w:rPr>
          <w:fldChar w:fldCharType="end"/>
        </w:r>
      </w:hyperlink>
    </w:p>
    <w:p w14:paraId="0F728544" w14:textId="15D53064" w:rsidR="00FC7860" w:rsidRDefault="00FC7860">
      <w:pPr>
        <w:pStyle w:val="TOC2"/>
        <w:tabs>
          <w:tab w:val="right" w:leader="underscore" w:pos="9350"/>
        </w:tabs>
        <w:rPr>
          <w:noProof/>
        </w:rPr>
      </w:pPr>
      <w:hyperlink w:anchor="_Toc197346486" w:history="1">
        <w:r w:rsidRPr="00036D1B">
          <w:rPr>
            <w:rStyle w:val="Hyperlink"/>
            <w:rFonts w:eastAsia="Times New Roman"/>
            <w:noProof/>
          </w:rPr>
          <w:t>Telepath: Pricing Structure: Subscription Tiers</w:t>
        </w:r>
        <w:r>
          <w:rPr>
            <w:noProof/>
            <w:webHidden/>
          </w:rPr>
          <w:tab/>
        </w:r>
        <w:r>
          <w:rPr>
            <w:noProof/>
            <w:webHidden/>
          </w:rPr>
          <w:fldChar w:fldCharType="begin"/>
        </w:r>
        <w:r>
          <w:rPr>
            <w:noProof/>
            <w:webHidden/>
          </w:rPr>
          <w:instrText xml:space="preserve"> PAGEREF _Toc197346486 \h </w:instrText>
        </w:r>
        <w:r>
          <w:rPr>
            <w:noProof/>
            <w:webHidden/>
          </w:rPr>
        </w:r>
        <w:r>
          <w:rPr>
            <w:noProof/>
            <w:webHidden/>
          </w:rPr>
          <w:fldChar w:fldCharType="separate"/>
        </w:r>
        <w:r>
          <w:rPr>
            <w:noProof/>
            <w:webHidden/>
          </w:rPr>
          <w:t>15</w:t>
        </w:r>
        <w:r>
          <w:rPr>
            <w:noProof/>
            <w:webHidden/>
          </w:rPr>
          <w:fldChar w:fldCharType="end"/>
        </w:r>
      </w:hyperlink>
    </w:p>
    <w:p w14:paraId="376F44EA" w14:textId="0742B3FD" w:rsidR="00FC7860" w:rsidRDefault="00FC7860">
      <w:pPr>
        <w:pStyle w:val="TOC2"/>
        <w:tabs>
          <w:tab w:val="right" w:leader="underscore" w:pos="9350"/>
        </w:tabs>
        <w:rPr>
          <w:noProof/>
        </w:rPr>
      </w:pPr>
      <w:hyperlink w:anchor="_Toc197346487" w:history="1">
        <w:r w:rsidRPr="00036D1B">
          <w:rPr>
            <w:rStyle w:val="Hyperlink"/>
            <w:rFonts w:eastAsia="Times New Roman"/>
            <w:noProof/>
          </w:rPr>
          <w:t>Telepath: Pricing Structure: Premium Features</w:t>
        </w:r>
        <w:r>
          <w:rPr>
            <w:noProof/>
            <w:webHidden/>
          </w:rPr>
          <w:tab/>
        </w:r>
        <w:r>
          <w:rPr>
            <w:noProof/>
            <w:webHidden/>
          </w:rPr>
          <w:fldChar w:fldCharType="begin"/>
        </w:r>
        <w:r>
          <w:rPr>
            <w:noProof/>
            <w:webHidden/>
          </w:rPr>
          <w:instrText xml:space="preserve"> PAGEREF _Toc197346487 \h </w:instrText>
        </w:r>
        <w:r>
          <w:rPr>
            <w:noProof/>
            <w:webHidden/>
          </w:rPr>
        </w:r>
        <w:r>
          <w:rPr>
            <w:noProof/>
            <w:webHidden/>
          </w:rPr>
          <w:fldChar w:fldCharType="separate"/>
        </w:r>
        <w:r>
          <w:rPr>
            <w:noProof/>
            <w:webHidden/>
          </w:rPr>
          <w:t>16</w:t>
        </w:r>
        <w:r>
          <w:rPr>
            <w:noProof/>
            <w:webHidden/>
          </w:rPr>
          <w:fldChar w:fldCharType="end"/>
        </w:r>
      </w:hyperlink>
    </w:p>
    <w:p w14:paraId="42B39C39" w14:textId="042F825D" w:rsidR="00FC7860" w:rsidRDefault="00FC7860" w:rsidP="00FC7860">
      <w:pPr>
        <w:pStyle w:val="TOC1"/>
        <w:rPr>
          <w:noProof/>
        </w:rPr>
      </w:pPr>
      <w:hyperlink w:anchor="_Toc197346488" w:history="1">
        <w:r w:rsidRPr="00036D1B">
          <w:rPr>
            <w:rStyle w:val="Hyperlink"/>
            <w:noProof/>
          </w:rPr>
          <w:t>Component: Skills</w:t>
        </w:r>
        <w:r>
          <w:rPr>
            <w:noProof/>
            <w:webHidden/>
          </w:rPr>
          <w:tab/>
        </w:r>
        <w:r>
          <w:rPr>
            <w:noProof/>
            <w:webHidden/>
          </w:rPr>
          <w:fldChar w:fldCharType="begin"/>
        </w:r>
        <w:r>
          <w:rPr>
            <w:noProof/>
            <w:webHidden/>
          </w:rPr>
          <w:instrText xml:space="preserve"> PAGEREF _Toc197346488 \h </w:instrText>
        </w:r>
        <w:r>
          <w:rPr>
            <w:noProof/>
            <w:webHidden/>
          </w:rPr>
        </w:r>
        <w:r>
          <w:rPr>
            <w:noProof/>
            <w:webHidden/>
          </w:rPr>
          <w:fldChar w:fldCharType="separate"/>
        </w:r>
        <w:r>
          <w:rPr>
            <w:noProof/>
            <w:webHidden/>
          </w:rPr>
          <w:t>17</w:t>
        </w:r>
        <w:r>
          <w:rPr>
            <w:noProof/>
            <w:webHidden/>
          </w:rPr>
          <w:fldChar w:fldCharType="end"/>
        </w:r>
      </w:hyperlink>
    </w:p>
    <w:p w14:paraId="7F7D2107" w14:textId="017F3562" w:rsidR="00FC7860" w:rsidRDefault="00FC7860">
      <w:pPr>
        <w:pStyle w:val="TOC2"/>
        <w:tabs>
          <w:tab w:val="right" w:leader="underscore" w:pos="9350"/>
        </w:tabs>
        <w:rPr>
          <w:noProof/>
        </w:rPr>
      </w:pPr>
      <w:hyperlink w:anchor="_Toc197346489" w:history="1">
        <w:r w:rsidRPr="00036D1B">
          <w:rPr>
            <w:rStyle w:val="Hyperlink"/>
            <w:rFonts w:eastAsia="Times New Roman"/>
            <w:noProof/>
          </w:rPr>
          <w:t>Skills: Definition and Architecture: Modular Capabilities</w:t>
        </w:r>
        <w:r>
          <w:rPr>
            <w:noProof/>
            <w:webHidden/>
          </w:rPr>
          <w:tab/>
        </w:r>
        <w:r>
          <w:rPr>
            <w:noProof/>
            <w:webHidden/>
          </w:rPr>
          <w:fldChar w:fldCharType="begin"/>
        </w:r>
        <w:r>
          <w:rPr>
            <w:noProof/>
            <w:webHidden/>
          </w:rPr>
          <w:instrText xml:space="preserve"> PAGEREF _Toc197346489 \h </w:instrText>
        </w:r>
        <w:r>
          <w:rPr>
            <w:noProof/>
            <w:webHidden/>
          </w:rPr>
        </w:r>
        <w:r>
          <w:rPr>
            <w:noProof/>
            <w:webHidden/>
          </w:rPr>
          <w:fldChar w:fldCharType="separate"/>
        </w:r>
        <w:r>
          <w:rPr>
            <w:noProof/>
            <w:webHidden/>
          </w:rPr>
          <w:t>17</w:t>
        </w:r>
        <w:r>
          <w:rPr>
            <w:noProof/>
            <w:webHidden/>
          </w:rPr>
          <w:fldChar w:fldCharType="end"/>
        </w:r>
      </w:hyperlink>
    </w:p>
    <w:p w14:paraId="7E690013" w14:textId="7F1F8500" w:rsidR="00FC7860" w:rsidRDefault="00FC7860">
      <w:pPr>
        <w:pStyle w:val="TOC2"/>
        <w:tabs>
          <w:tab w:val="right" w:leader="underscore" w:pos="9350"/>
        </w:tabs>
        <w:rPr>
          <w:noProof/>
        </w:rPr>
      </w:pPr>
      <w:hyperlink w:anchor="_Toc197346490" w:history="1">
        <w:r w:rsidRPr="00036D1B">
          <w:rPr>
            <w:rStyle w:val="Hyperlink"/>
            <w:rFonts w:eastAsia="Times New Roman"/>
            <w:noProof/>
          </w:rPr>
          <w:t>Skills: Definition and Architecture: Functional Components</w:t>
        </w:r>
        <w:r>
          <w:rPr>
            <w:noProof/>
            <w:webHidden/>
          </w:rPr>
          <w:tab/>
        </w:r>
        <w:r>
          <w:rPr>
            <w:noProof/>
            <w:webHidden/>
          </w:rPr>
          <w:fldChar w:fldCharType="begin"/>
        </w:r>
        <w:r>
          <w:rPr>
            <w:noProof/>
            <w:webHidden/>
          </w:rPr>
          <w:instrText xml:space="preserve"> PAGEREF _Toc197346490 \h </w:instrText>
        </w:r>
        <w:r>
          <w:rPr>
            <w:noProof/>
            <w:webHidden/>
          </w:rPr>
        </w:r>
        <w:r>
          <w:rPr>
            <w:noProof/>
            <w:webHidden/>
          </w:rPr>
          <w:fldChar w:fldCharType="separate"/>
        </w:r>
        <w:r>
          <w:rPr>
            <w:noProof/>
            <w:webHidden/>
          </w:rPr>
          <w:t>17</w:t>
        </w:r>
        <w:r>
          <w:rPr>
            <w:noProof/>
            <w:webHidden/>
          </w:rPr>
          <w:fldChar w:fldCharType="end"/>
        </w:r>
      </w:hyperlink>
    </w:p>
    <w:p w14:paraId="1D34E6BE" w14:textId="3AF5E405" w:rsidR="00FC7860" w:rsidRDefault="00FC7860">
      <w:pPr>
        <w:pStyle w:val="TOC2"/>
        <w:tabs>
          <w:tab w:val="right" w:leader="underscore" w:pos="9350"/>
        </w:tabs>
        <w:rPr>
          <w:noProof/>
        </w:rPr>
      </w:pPr>
      <w:hyperlink w:anchor="_Toc197346491" w:history="1">
        <w:r w:rsidRPr="00036D1B">
          <w:rPr>
            <w:rStyle w:val="Hyperlink"/>
            <w:rFonts w:eastAsia="Times New Roman"/>
            <w:noProof/>
          </w:rPr>
          <w:t>Skills: Core Capabilities: Enterprise System Connection</w:t>
        </w:r>
        <w:r>
          <w:rPr>
            <w:noProof/>
            <w:webHidden/>
          </w:rPr>
          <w:tab/>
        </w:r>
        <w:r>
          <w:rPr>
            <w:noProof/>
            <w:webHidden/>
          </w:rPr>
          <w:fldChar w:fldCharType="begin"/>
        </w:r>
        <w:r>
          <w:rPr>
            <w:noProof/>
            <w:webHidden/>
          </w:rPr>
          <w:instrText xml:space="preserve"> PAGEREF _Toc197346491 \h </w:instrText>
        </w:r>
        <w:r>
          <w:rPr>
            <w:noProof/>
            <w:webHidden/>
          </w:rPr>
        </w:r>
        <w:r>
          <w:rPr>
            <w:noProof/>
            <w:webHidden/>
          </w:rPr>
          <w:fldChar w:fldCharType="separate"/>
        </w:r>
        <w:r>
          <w:rPr>
            <w:noProof/>
            <w:webHidden/>
          </w:rPr>
          <w:t>18</w:t>
        </w:r>
        <w:r>
          <w:rPr>
            <w:noProof/>
            <w:webHidden/>
          </w:rPr>
          <w:fldChar w:fldCharType="end"/>
        </w:r>
      </w:hyperlink>
    </w:p>
    <w:p w14:paraId="1184DB05" w14:textId="70717272" w:rsidR="00FC7860" w:rsidRDefault="00FC7860">
      <w:pPr>
        <w:pStyle w:val="TOC2"/>
        <w:tabs>
          <w:tab w:val="right" w:leader="underscore" w:pos="9350"/>
        </w:tabs>
        <w:rPr>
          <w:noProof/>
        </w:rPr>
      </w:pPr>
      <w:hyperlink w:anchor="_Toc197346492" w:history="1">
        <w:r w:rsidRPr="00036D1B">
          <w:rPr>
            <w:rStyle w:val="Hyperlink"/>
            <w:rFonts w:eastAsia="Times New Roman"/>
            <w:noProof/>
          </w:rPr>
          <w:t>Skills: Core Capabilities: Decision Support</w:t>
        </w:r>
        <w:r>
          <w:rPr>
            <w:noProof/>
            <w:webHidden/>
          </w:rPr>
          <w:tab/>
        </w:r>
        <w:r>
          <w:rPr>
            <w:noProof/>
            <w:webHidden/>
          </w:rPr>
          <w:fldChar w:fldCharType="begin"/>
        </w:r>
        <w:r>
          <w:rPr>
            <w:noProof/>
            <w:webHidden/>
          </w:rPr>
          <w:instrText xml:space="preserve"> PAGEREF _Toc197346492 \h </w:instrText>
        </w:r>
        <w:r>
          <w:rPr>
            <w:noProof/>
            <w:webHidden/>
          </w:rPr>
        </w:r>
        <w:r>
          <w:rPr>
            <w:noProof/>
            <w:webHidden/>
          </w:rPr>
          <w:fldChar w:fldCharType="separate"/>
        </w:r>
        <w:r>
          <w:rPr>
            <w:noProof/>
            <w:webHidden/>
          </w:rPr>
          <w:t>19</w:t>
        </w:r>
        <w:r>
          <w:rPr>
            <w:noProof/>
            <w:webHidden/>
          </w:rPr>
          <w:fldChar w:fldCharType="end"/>
        </w:r>
      </w:hyperlink>
    </w:p>
    <w:p w14:paraId="30D31A0C" w14:textId="3CE2C81D" w:rsidR="00FC7860" w:rsidRDefault="00FC7860">
      <w:pPr>
        <w:pStyle w:val="TOC2"/>
        <w:tabs>
          <w:tab w:val="right" w:leader="underscore" w:pos="9350"/>
        </w:tabs>
        <w:rPr>
          <w:noProof/>
        </w:rPr>
      </w:pPr>
      <w:hyperlink w:anchor="_Toc197346493" w:history="1">
        <w:r w:rsidRPr="00036D1B">
          <w:rPr>
            <w:rStyle w:val="Hyperlink"/>
            <w:rFonts w:eastAsia="Times New Roman"/>
            <w:noProof/>
          </w:rPr>
          <w:t>Skills: Technical Implementation: Integration Adapters</w:t>
        </w:r>
        <w:r>
          <w:rPr>
            <w:noProof/>
            <w:webHidden/>
          </w:rPr>
          <w:tab/>
        </w:r>
        <w:r>
          <w:rPr>
            <w:noProof/>
            <w:webHidden/>
          </w:rPr>
          <w:fldChar w:fldCharType="begin"/>
        </w:r>
        <w:r>
          <w:rPr>
            <w:noProof/>
            <w:webHidden/>
          </w:rPr>
          <w:instrText xml:space="preserve"> PAGEREF _Toc197346493 \h </w:instrText>
        </w:r>
        <w:r>
          <w:rPr>
            <w:noProof/>
            <w:webHidden/>
          </w:rPr>
        </w:r>
        <w:r>
          <w:rPr>
            <w:noProof/>
            <w:webHidden/>
          </w:rPr>
          <w:fldChar w:fldCharType="separate"/>
        </w:r>
        <w:r>
          <w:rPr>
            <w:noProof/>
            <w:webHidden/>
          </w:rPr>
          <w:t>19</w:t>
        </w:r>
        <w:r>
          <w:rPr>
            <w:noProof/>
            <w:webHidden/>
          </w:rPr>
          <w:fldChar w:fldCharType="end"/>
        </w:r>
      </w:hyperlink>
    </w:p>
    <w:p w14:paraId="2D9AFFEC" w14:textId="7C9490C7" w:rsidR="00FC7860" w:rsidRDefault="00FC7860">
      <w:pPr>
        <w:pStyle w:val="TOC2"/>
        <w:tabs>
          <w:tab w:val="right" w:leader="underscore" w:pos="9350"/>
        </w:tabs>
        <w:rPr>
          <w:noProof/>
        </w:rPr>
      </w:pPr>
      <w:hyperlink w:anchor="_Toc197346494" w:history="1">
        <w:r w:rsidRPr="00036D1B">
          <w:rPr>
            <w:rStyle w:val="Hyperlink"/>
            <w:rFonts w:eastAsia="Times New Roman"/>
            <w:noProof/>
          </w:rPr>
          <w:t>Skills: Technical Implementation: Configuration Management</w:t>
        </w:r>
        <w:r>
          <w:rPr>
            <w:noProof/>
            <w:webHidden/>
          </w:rPr>
          <w:tab/>
        </w:r>
        <w:r>
          <w:rPr>
            <w:noProof/>
            <w:webHidden/>
          </w:rPr>
          <w:fldChar w:fldCharType="begin"/>
        </w:r>
        <w:r>
          <w:rPr>
            <w:noProof/>
            <w:webHidden/>
          </w:rPr>
          <w:instrText xml:space="preserve"> PAGEREF _Toc197346494 \h </w:instrText>
        </w:r>
        <w:r>
          <w:rPr>
            <w:noProof/>
            <w:webHidden/>
          </w:rPr>
        </w:r>
        <w:r>
          <w:rPr>
            <w:noProof/>
            <w:webHidden/>
          </w:rPr>
          <w:fldChar w:fldCharType="separate"/>
        </w:r>
        <w:r>
          <w:rPr>
            <w:noProof/>
            <w:webHidden/>
          </w:rPr>
          <w:t>20</w:t>
        </w:r>
        <w:r>
          <w:rPr>
            <w:noProof/>
            <w:webHidden/>
          </w:rPr>
          <w:fldChar w:fldCharType="end"/>
        </w:r>
      </w:hyperlink>
    </w:p>
    <w:p w14:paraId="2E58D81A" w14:textId="596DFAF6" w:rsidR="00FC7860" w:rsidRDefault="00FC7860">
      <w:pPr>
        <w:pStyle w:val="TOC2"/>
        <w:tabs>
          <w:tab w:val="right" w:leader="underscore" w:pos="9350"/>
        </w:tabs>
        <w:rPr>
          <w:noProof/>
        </w:rPr>
      </w:pPr>
      <w:hyperlink w:anchor="_Toc197346495" w:history="1">
        <w:r w:rsidRPr="00036D1B">
          <w:rPr>
            <w:rStyle w:val="Hyperlink"/>
            <w:rFonts w:eastAsia="Times New Roman"/>
            <w:noProof/>
          </w:rPr>
          <w:t>Skills: Pricing Approach: Core and Premium Skills</w:t>
        </w:r>
        <w:r>
          <w:rPr>
            <w:noProof/>
            <w:webHidden/>
          </w:rPr>
          <w:tab/>
        </w:r>
        <w:r>
          <w:rPr>
            <w:noProof/>
            <w:webHidden/>
          </w:rPr>
          <w:fldChar w:fldCharType="begin"/>
        </w:r>
        <w:r>
          <w:rPr>
            <w:noProof/>
            <w:webHidden/>
          </w:rPr>
          <w:instrText xml:space="preserve"> PAGEREF _Toc197346495 \h </w:instrText>
        </w:r>
        <w:r>
          <w:rPr>
            <w:noProof/>
            <w:webHidden/>
          </w:rPr>
        </w:r>
        <w:r>
          <w:rPr>
            <w:noProof/>
            <w:webHidden/>
          </w:rPr>
          <w:fldChar w:fldCharType="separate"/>
        </w:r>
        <w:r>
          <w:rPr>
            <w:noProof/>
            <w:webHidden/>
          </w:rPr>
          <w:t>20</w:t>
        </w:r>
        <w:r>
          <w:rPr>
            <w:noProof/>
            <w:webHidden/>
          </w:rPr>
          <w:fldChar w:fldCharType="end"/>
        </w:r>
      </w:hyperlink>
    </w:p>
    <w:p w14:paraId="21672F58" w14:textId="246416F8" w:rsidR="00FC7860" w:rsidRDefault="00FC7860">
      <w:pPr>
        <w:pStyle w:val="TOC2"/>
        <w:tabs>
          <w:tab w:val="right" w:leader="underscore" w:pos="9350"/>
        </w:tabs>
        <w:rPr>
          <w:noProof/>
        </w:rPr>
      </w:pPr>
      <w:hyperlink w:anchor="_Toc197346496" w:history="1">
        <w:r w:rsidRPr="00036D1B">
          <w:rPr>
            <w:rStyle w:val="Hyperlink"/>
            <w:rFonts w:eastAsia="Times New Roman"/>
            <w:noProof/>
          </w:rPr>
          <w:t>Skills: Pricing Approach: Custom Development</w:t>
        </w:r>
        <w:r>
          <w:rPr>
            <w:noProof/>
            <w:webHidden/>
          </w:rPr>
          <w:tab/>
        </w:r>
        <w:r>
          <w:rPr>
            <w:noProof/>
            <w:webHidden/>
          </w:rPr>
          <w:fldChar w:fldCharType="begin"/>
        </w:r>
        <w:r>
          <w:rPr>
            <w:noProof/>
            <w:webHidden/>
          </w:rPr>
          <w:instrText xml:space="preserve"> PAGEREF _Toc197346496 \h </w:instrText>
        </w:r>
        <w:r>
          <w:rPr>
            <w:noProof/>
            <w:webHidden/>
          </w:rPr>
        </w:r>
        <w:r>
          <w:rPr>
            <w:noProof/>
            <w:webHidden/>
          </w:rPr>
          <w:fldChar w:fldCharType="separate"/>
        </w:r>
        <w:r>
          <w:rPr>
            <w:noProof/>
            <w:webHidden/>
          </w:rPr>
          <w:t>21</w:t>
        </w:r>
        <w:r>
          <w:rPr>
            <w:noProof/>
            <w:webHidden/>
          </w:rPr>
          <w:fldChar w:fldCharType="end"/>
        </w:r>
      </w:hyperlink>
    </w:p>
    <w:p w14:paraId="0E900AE7" w14:textId="5CAB77CF" w:rsidR="00FC7860" w:rsidRDefault="00FC7860">
      <w:pPr>
        <w:pStyle w:val="TOC2"/>
        <w:tabs>
          <w:tab w:val="right" w:leader="underscore" w:pos="9350"/>
        </w:tabs>
        <w:rPr>
          <w:noProof/>
        </w:rPr>
      </w:pPr>
      <w:hyperlink w:anchor="_Toc197346497" w:history="1">
        <w:r w:rsidRPr="00036D1B">
          <w:rPr>
            <w:rStyle w:val="Hyperlink"/>
            <w:rFonts w:eastAsia="Times New Roman"/>
            <w:noProof/>
          </w:rPr>
          <w:t>Skills: Pricing Approach: Volume Considerations</w:t>
        </w:r>
        <w:r>
          <w:rPr>
            <w:noProof/>
            <w:webHidden/>
          </w:rPr>
          <w:tab/>
        </w:r>
        <w:r>
          <w:rPr>
            <w:noProof/>
            <w:webHidden/>
          </w:rPr>
          <w:fldChar w:fldCharType="begin"/>
        </w:r>
        <w:r>
          <w:rPr>
            <w:noProof/>
            <w:webHidden/>
          </w:rPr>
          <w:instrText xml:space="preserve"> PAGEREF _Toc197346497 \h </w:instrText>
        </w:r>
        <w:r>
          <w:rPr>
            <w:noProof/>
            <w:webHidden/>
          </w:rPr>
        </w:r>
        <w:r>
          <w:rPr>
            <w:noProof/>
            <w:webHidden/>
          </w:rPr>
          <w:fldChar w:fldCharType="separate"/>
        </w:r>
        <w:r>
          <w:rPr>
            <w:noProof/>
            <w:webHidden/>
          </w:rPr>
          <w:t>22</w:t>
        </w:r>
        <w:r>
          <w:rPr>
            <w:noProof/>
            <w:webHidden/>
          </w:rPr>
          <w:fldChar w:fldCharType="end"/>
        </w:r>
      </w:hyperlink>
    </w:p>
    <w:p w14:paraId="46FF01C8" w14:textId="7E6E242B" w:rsidR="00FC7860" w:rsidRDefault="00FC7860">
      <w:pPr>
        <w:pStyle w:val="TOC2"/>
        <w:tabs>
          <w:tab w:val="right" w:leader="underscore" w:pos="9350"/>
        </w:tabs>
        <w:rPr>
          <w:noProof/>
        </w:rPr>
      </w:pPr>
      <w:hyperlink w:anchor="_Toc197346498" w:history="1">
        <w:r w:rsidRPr="00036D1B">
          <w:rPr>
            <w:rStyle w:val="Hyperlink"/>
            <w:rFonts w:eastAsia="Times New Roman"/>
            <w:noProof/>
          </w:rPr>
          <w:t>Skills: Pricing Approach: API Access</w:t>
        </w:r>
        <w:r>
          <w:rPr>
            <w:noProof/>
            <w:webHidden/>
          </w:rPr>
          <w:tab/>
        </w:r>
        <w:r>
          <w:rPr>
            <w:noProof/>
            <w:webHidden/>
          </w:rPr>
          <w:fldChar w:fldCharType="begin"/>
        </w:r>
        <w:r>
          <w:rPr>
            <w:noProof/>
            <w:webHidden/>
          </w:rPr>
          <w:instrText xml:space="preserve"> PAGEREF _Toc197346498 \h </w:instrText>
        </w:r>
        <w:r>
          <w:rPr>
            <w:noProof/>
            <w:webHidden/>
          </w:rPr>
        </w:r>
        <w:r>
          <w:rPr>
            <w:noProof/>
            <w:webHidden/>
          </w:rPr>
          <w:fldChar w:fldCharType="separate"/>
        </w:r>
        <w:r>
          <w:rPr>
            <w:noProof/>
            <w:webHidden/>
          </w:rPr>
          <w:t>22</w:t>
        </w:r>
        <w:r>
          <w:rPr>
            <w:noProof/>
            <w:webHidden/>
          </w:rPr>
          <w:fldChar w:fldCharType="end"/>
        </w:r>
      </w:hyperlink>
    </w:p>
    <w:p w14:paraId="5E293C07" w14:textId="3FF42288" w:rsidR="00FC7860" w:rsidRDefault="00FC7860" w:rsidP="00FC7860">
      <w:pPr>
        <w:pStyle w:val="Heading1"/>
        <w:rPr>
          <w:rFonts w:eastAsia="Times New Roman"/>
        </w:rPr>
      </w:pPr>
      <w:r>
        <w:rPr>
          <w:rFonts w:eastAsia="Times New Roman"/>
        </w:rPr>
        <w:fldChar w:fldCharType="end"/>
      </w:r>
    </w:p>
    <w:p w14:paraId="31B823CA" w14:textId="55EF735B" w:rsidR="00196554" w:rsidRPr="00FC7860" w:rsidRDefault="00196554" w:rsidP="00FC7860">
      <w:pPr>
        <w:pStyle w:val="Heading1"/>
        <w:rPr>
          <w:rFonts w:eastAsia="Times New Roman"/>
        </w:rPr>
      </w:pPr>
      <w:bookmarkStart w:id="0" w:name="_Toc197346462"/>
      <w:r w:rsidRPr="00FC7860">
        <w:rPr>
          <w:rFonts w:eastAsia="Times New Roman"/>
        </w:rPr>
        <w:t>Platform</w:t>
      </w:r>
      <w:bookmarkEnd w:id="0"/>
    </w:p>
    <w:p w14:paraId="0041D9D3" w14:textId="008BF6BF" w:rsidR="00196554" w:rsidRPr="00FC7860" w:rsidRDefault="00FC7860" w:rsidP="00FC7860">
      <w:pPr>
        <w:pStyle w:val="Heading2"/>
        <w:rPr>
          <w:rFonts w:eastAsia="Times New Roman"/>
        </w:rPr>
      </w:pPr>
      <w:bookmarkStart w:id="1" w:name="_Toc197346463"/>
      <w:r w:rsidRPr="00FC7860">
        <w:rPr>
          <w:rFonts w:eastAsia="Times New Roman"/>
        </w:rPr>
        <w:t xml:space="preserve">Platform: </w:t>
      </w:r>
      <w:r w:rsidR="00196554" w:rsidRPr="00FC7860">
        <w:rPr>
          <w:rFonts w:eastAsia="Times New Roman"/>
        </w:rPr>
        <w:t>Definition and Purpose</w:t>
      </w:r>
      <w:bookmarkEnd w:id="1"/>
    </w:p>
    <w:p w14:paraId="794E142B" w14:textId="2F0EC681"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platform represents a revolutionary leap in enterprise SaaS offerings, creating immersive web-based experiences for human-AI interaction without requiring specialized hardware. At its core, </w:t>
      </w:r>
      <w:r w:rsidR="00FC7860" w:rsidRPr="00FC7860">
        <w:rPr>
          <w:rFonts w:ascii="Graphik Regular" w:eastAsia="Times New Roman" w:hAnsi="Graphik Regular" w:cs="Times New Roman"/>
          <w:kern w:val="0"/>
          <w14:ligatures w14:val="none"/>
        </w:rPr>
        <w:t>t</w:t>
      </w:r>
      <w:r w:rsidRPr="00FC7860">
        <w:rPr>
          <w:rFonts w:ascii="Graphik Regular" w:eastAsia="Times New Roman" w:hAnsi="Graphik Regular" w:cs="Times New Roman"/>
          <w:kern w:val="0"/>
          <w14:ligatures w14:val="none"/>
        </w:rPr>
        <w:t>he platform redefines how organizations connect with users by transforming standard web browsers into sophisticated interaction environments. The platform leverages advanced rendering technologies, natural language processing, and behavioral analytics to create experiences that adapt dynamically to each user. Unlike traditional web applications that provide static information or limited interactivity, Platform environments respond intelligently to user behavior, preferences, and needs. The platform's architecture is designed for enterprise-grade scalability, supporting organizations from mid-market to global enterprise scale with appropriate security, compliance, and performance characteristics. The platform stands apart from conventional chatbots or video conferencing by creating spatially-aware contexts where information and interaction blend seamlessly, providing users with an intuitive understanding of complex information through both verbal and visual communication channels.</w:t>
      </w:r>
    </w:p>
    <w:p w14:paraId="4368AF62" w14:textId="19B99B6A" w:rsidR="00196554" w:rsidRPr="00FC7860" w:rsidRDefault="00FC7860" w:rsidP="00FC7860">
      <w:pPr>
        <w:pStyle w:val="Heading2"/>
        <w:rPr>
          <w:rFonts w:eastAsia="Times New Roman"/>
        </w:rPr>
      </w:pPr>
      <w:bookmarkStart w:id="2" w:name="_Toc197346464"/>
      <w:r w:rsidRPr="00FC7860">
        <w:rPr>
          <w:rFonts w:eastAsia="Times New Roman"/>
        </w:rPr>
        <w:t xml:space="preserve">Platform: </w:t>
      </w:r>
      <w:r w:rsidR="00196554" w:rsidRPr="00FC7860">
        <w:rPr>
          <w:rFonts w:eastAsia="Times New Roman"/>
        </w:rPr>
        <w:t>Foundational Infrastructure</w:t>
      </w:r>
      <w:bookmarkEnd w:id="2"/>
    </w:p>
    <w:p w14:paraId="221D0AC2" w14:textId="5307BFE2"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As the foundational infrastructure powering telehumans and virtual environments, </w:t>
      </w:r>
      <w:r w:rsidR="00DA0C77" w:rsidRPr="00FC7860">
        <w:rPr>
          <w:rFonts w:ascii="Graphik Regular" w:eastAsia="Times New Roman" w:hAnsi="Graphik Regular" w:cs="Times New Roman"/>
          <w:kern w:val="0"/>
          <w14:ligatures w14:val="none"/>
        </w:rPr>
        <w:t>t</w:t>
      </w:r>
      <w:r w:rsidRPr="00FC7860">
        <w:rPr>
          <w:rFonts w:ascii="Graphik Regular" w:eastAsia="Times New Roman" w:hAnsi="Graphik Regular" w:cs="Times New Roman"/>
          <w:kern w:val="0"/>
          <w14:ligatures w14:val="none"/>
        </w:rPr>
        <w:t xml:space="preserve">he platform provides the essential building blocks that enable the entire ecosystem to function cohesively. The platform maintains a comprehensive asset management system for 3D models, animations, textures, and audio components </w:t>
      </w:r>
      <w:r w:rsidRPr="00FC7860">
        <w:rPr>
          <w:rFonts w:ascii="Graphik Regular" w:eastAsia="Times New Roman" w:hAnsi="Graphik Regular" w:cs="Times New Roman"/>
          <w:kern w:val="0"/>
          <w14:ligatures w14:val="none"/>
        </w:rPr>
        <w:lastRenderedPageBreak/>
        <w:t>that constitute tele avatars and their environments. Its sophisticated orchestration layer coordinates real-time communication between multiple services, including natural language understanding pipelines, knowledge retrieval systems, enterprise data connectors, and rendering engines. The platform incorporates extensive telemetry and analytics capabilities that track user engagement, interaction patterns, and outcome achievement, providing organizations with actionable insights. The platform maintains strict separation between tenant data while offering flexible deployment options ranging from fully cloud-hosted to hybrid configurations that respect data sovereignty requirements. The infrastructure includes comprehensive development tools, APIs, and SDKs that allow organizations to extend platform capabilities and integrate with existing business systems, creating a flexible foundation that can adapt to evolving business needs while maintaining enterprise-grade security and compliance measures.</w:t>
      </w:r>
    </w:p>
    <w:p w14:paraId="4F328B3E" w14:textId="634FD984" w:rsidR="00196554" w:rsidRPr="00FC7860" w:rsidRDefault="00FC7860" w:rsidP="00FC7860">
      <w:pPr>
        <w:pStyle w:val="Heading2"/>
        <w:rPr>
          <w:rFonts w:eastAsia="Times New Roman"/>
        </w:rPr>
      </w:pPr>
      <w:bookmarkStart w:id="3" w:name="_Toc197346465"/>
      <w:r>
        <w:rPr>
          <w:rFonts w:eastAsia="Times New Roman"/>
        </w:rPr>
        <w:t xml:space="preserve">Platform: </w:t>
      </w:r>
      <w:r w:rsidR="00196554" w:rsidRPr="00FC7860">
        <w:rPr>
          <w:rFonts w:eastAsia="Times New Roman"/>
        </w:rPr>
        <w:t>Core Functionality: Creation and Management</w:t>
      </w:r>
      <w:bookmarkEnd w:id="3"/>
    </w:p>
    <w:p w14:paraId="6114B066" w14:textId="7DB1474B"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The platform enables the seamless creation and management of AI-powered virtual colleagues (teles) through an intuitive yet powerful configuration system. Organizations can define tele personalities, appearance, knowledge domains, and behavioral patterns through a visual interface that requires no specialized programming skills. The platform provides template libraries containing pre-configured tele personalities optimized for specific industries and use cases, from retail customer service to healthcare guidance. Configuration workflows guide administrators through persona development, including voice characteristics, visual styling, conversation patterns, and knowledge integration. Once deployed, the platform offers comprehensive management capabilities including performance monitoring, conversation review, knowledge updates, and behavior refinement. System administrators can analyze interaction patterns to identify improvement opportunities, update knowledge bases in real-time, and implement behavioral adjustments without service interruption. The platform's version control system allows organizations to test changes in staging environments before production deployment and roll back to previous versions if needed. This sophisticated creation and management system allows organizations to rapidly deploy teles that reflect their brand voice and domain expertise while continuously improving performance based on real-world interactions.</w:t>
      </w:r>
    </w:p>
    <w:p w14:paraId="71C021F4" w14:textId="549902B7" w:rsidR="00196554" w:rsidRPr="00FC7860" w:rsidRDefault="00FC7860" w:rsidP="00FC7860">
      <w:pPr>
        <w:pStyle w:val="Heading2"/>
        <w:rPr>
          <w:rFonts w:eastAsia="Times New Roman"/>
        </w:rPr>
      </w:pPr>
      <w:bookmarkStart w:id="4" w:name="_Toc197346466"/>
      <w:r>
        <w:rPr>
          <w:rFonts w:eastAsia="Times New Roman"/>
        </w:rPr>
        <w:t xml:space="preserve">Platform: </w:t>
      </w:r>
      <w:r w:rsidR="00196554" w:rsidRPr="00FC7860">
        <w:rPr>
          <w:rFonts w:eastAsia="Times New Roman"/>
        </w:rPr>
        <w:t>Core Functionality: Integration</w:t>
      </w:r>
      <w:bookmarkEnd w:id="4"/>
    </w:p>
    <w:p w14:paraId="72E372DE" w14:textId="7DBD9A86"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platform integrates AI backends with enterprise systems to create seamless user experiences that leverage organizational data and processes. The platform features a comprehensive integration framework with pre-built connectors for major enterprise systems including CRM (Salesforce, Microsoft Dynamics), ERP (SAP, Oracle), e-commerce platforms (Shopify, Magento), content management systems, and customer support tools. These connectors support bidirectional data flow, allowing teles to access real-time information and write back transaction data, preferences, and interaction outcomes. The platform's integration layer incorporates sophisticated data transformation capabilities that normalize </w:t>
      </w:r>
      <w:r w:rsidRPr="00FC7860">
        <w:rPr>
          <w:rFonts w:ascii="Graphik Regular" w:eastAsia="Times New Roman" w:hAnsi="Graphik Regular" w:cs="Times New Roman"/>
          <w:kern w:val="0"/>
          <w14:ligatures w14:val="none"/>
        </w:rPr>
        <w:lastRenderedPageBreak/>
        <w:t xml:space="preserve">information from diverse sources into consistent formats usable by teles. For custom or legacy systems, </w:t>
      </w:r>
      <w:proofErr w:type="gramStart"/>
      <w:r w:rsidRPr="00FC7860">
        <w:rPr>
          <w:rFonts w:ascii="Graphik Regular" w:eastAsia="Times New Roman" w:hAnsi="Graphik Regular" w:cs="Times New Roman"/>
          <w:kern w:val="0"/>
          <w14:ligatures w14:val="none"/>
        </w:rPr>
        <w:t>The</w:t>
      </w:r>
      <w:proofErr w:type="gramEnd"/>
      <w:r w:rsidRPr="00FC7860">
        <w:rPr>
          <w:rFonts w:ascii="Graphik Regular" w:eastAsia="Times New Roman" w:hAnsi="Graphik Regular" w:cs="Times New Roman"/>
          <w:kern w:val="0"/>
          <w14:ligatures w14:val="none"/>
        </w:rPr>
        <w:t xml:space="preserve"> platform provides a flexible API framework with comprehensive documentation and development tools. Security is maintained through granular permission controls, encrypted data transmission, and audit logging of all system interactions. The integration capabilities extend beyond data access to include process automation, allowing teles to initiate workflows, process transactions, and coordinate activities across multiple enterprise systems. This deep integration ensures that teles have access to the information and operational capabilities needed to provide meaningful assistance rather than just conversational engagement.</w:t>
      </w:r>
    </w:p>
    <w:p w14:paraId="1ABA97C7" w14:textId="753C5B5E" w:rsidR="00196554" w:rsidRPr="00FC7860" w:rsidRDefault="00FC7860" w:rsidP="00FC7860">
      <w:pPr>
        <w:pStyle w:val="Heading2"/>
        <w:rPr>
          <w:rFonts w:eastAsia="Times New Roman"/>
        </w:rPr>
      </w:pPr>
      <w:bookmarkStart w:id="5" w:name="_Toc197346467"/>
      <w:r>
        <w:rPr>
          <w:rFonts w:eastAsia="Times New Roman"/>
        </w:rPr>
        <w:t xml:space="preserve">Platform: </w:t>
      </w:r>
      <w:r w:rsidR="00196554" w:rsidRPr="00FC7860">
        <w:rPr>
          <w:rFonts w:eastAsia="Times New Roman"/>
        </w:rPr>
        <w:t>Technical Delivery: SaaS Architecture</w:t>
      </w:r>
      <w:bookmarkEnd w:id="5"/>
    </w:p>
    <w:p w14:paraId="035D5AC7" w14:textId="146C462B"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The platform is delivered as a traditional SaaS solution with a sophisticated multi-tenant cloud architecture optimized for performance, security, and reliability. The platform utilizes containerized microservices deployed across geographically distributed cloud regions to ensure low-latency access and compliance with regional data regulations. Each tenant's data and configuration are logically isolated through comprehensive security controls including encryption at rest and in transit, role-based access controls, and regular security audits. The architecture incorporates intelligent scaling capabilities that automatically adjust computational resources based on usage patterns, ensuring consistent performance during peak demand while optimizing costs during periods of lower activity. Redundancy is built into every system layer with automated failover mechanisms that maintain service availability even during infrastructure disruptions. The platform employs continuous monitoring with predictive analytics to identify potential issues before they impact performance. Deployment follows a blue-green strategy that eliminates downtime during updates while allowing for immediate rollback if unexpected issues arise. This enterprise-grade architecture ensures that the platform delivers consistent performance and reliability while maintaining the security standards required for handling sensitive business data and customer interactions.</w:t>
      </w:r>
    </w:p>
    <w:p w14:paraId="2F704196" w14:textId="14EE0BE7" w:rsidR="00196554" w:rsidRPr="00FC7860" w:rsidRDefault="00FC7860" w:rsidP="00FC7860">
      <w:pPr>
        <w:pStyle w:val="Heading2"/>
        <w:rPr>
          <w:rFonts w:eastAsia="Times New Roman"/>
        </w:rPr>
      </w:pPr>
      <w:bookmarkStart w:id="6" w:name="_Toc197346468"/>
      <w:r>
        <w:rPr>
          <w:rFonts w:eastAsia="Times New Roman"/>
        </w:rPr>
        <w:t xml:space="preserve">Platform: </w:t>
      </w:r>
      <w:r w:rsidR="00196554" w:rsidRPr="00FC7860">
        <w:rPr>
          <w:rFonts w:eastAsia="Times New Roman"/>
        </w:rPr>
        <w:t>Technical Delivery: Administration</w:t>
      </w:r>
      <w:bookmarkEnd w:id="6"/>
    </w:p>
    <w:p w14:paraId="0090E14D" w14:textId="5D982E73"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centralized administration console serves as command central for managing all aspects of the platform ecosystem, providing intuitive interfaces for both technical and non-technical users. The console features role-based access controls that allow organizations to delegate specific management responsibilities while maintaining appropriate security boundaries. For tele management, the console provides comprehensive tools for personality configuration, knowledge base maintenance, and performance monitoring. These include visual editors for defining conversation flows, knowledge domain mapping tools, and dashboards that track user satisfaction and goal completion rates. Environment design tools allow administrators to create and modify teleport spaces through intuitive drag-and-drop interfaces with real-time previews. For system integration, the console offers connection wizards that guide administrators through API setup processes </w:t>
      </w:r>
      <w:r w:rsidRPr="00FC7860">
        <w:rPr>
          <w:rFonts w:ascii="Graphik Regular" w:eastAsia="Times New Roman" w:hAnsi="Graphik Regular" w:cs="Times New Roman"/>
          <w:kern w:val="0"/>
          <w14:ligatures w14:val="none"/>
        </w:rPr>
        <w:lastRenderedPageBreak/>
        <w:t>with major enterprise systems, alongside a comprehensive API management section for custom integrations. The console incorporates extensive analytics capabilities with customizable dashboards that provide insights into usage patterns, user engagement, and business outcomes. Automated alerts notify administrators of anomalous patterns or performance issues that require attention. This comprehensive administration environment ensures that organizations can manage their platform implementation efficiently while continuously optimizing performance based on real-world usage data.</w:t>
      </w:r>
    </w:p>
    <w:p w14:paraId="511FF73A" w14:textId="7A45D7D3" w:rsidR="00196554" w:rsidRPr="00FC7860" w:rsidRDefault="00FC7860" w:rsidP="00196554">
      <w:pPr>
        <w:spacing w:before="100" w:beforeAutospacing="1" w:after="100" w:afterAutospacing="1" w:line="240" w:lineRule="auto"/>
        <w:outlineLvl w:val="2"/>
        <w:rPr>
          <w:rFonts w:ascii="Graphik Regular" w:eastAsia="Times New Roman" w:hAnsi="Graphik Regular" w:cs="Times New Roman"/>
          <w:b/>
          <w:bCs/>
          <w:kern w:val="0"/>
          <w:sz w:val="27"/>
          <w:szCs w:val="27"/>
          <w14:ligatures w14:val="none"/>
        </w:rPr>
      </w:pPr>
      <w:r>
        <w:rPr>
          <w:rFonts w:ascii="Graphik Regular" w:eastAsia="Times New Roman" w:hAnsi="Graphik Regular" w:cs="Times New Roman"/>
          <w:b/>
          <w:bCs/>
          <w:kern w:val="0"/>
          <w:sz w:val="27"/>
          <w:szCs w:val="27"/>
          <w14:ligatures w14:val="none"/>
        </w:rPr>
        <w:t xml:space="preserve">Platform: </w:t>
      </w:r>
      <w:r w:rsidR="00196554" w:rsidRPr="00FC7860">
        <w:rPr>
          <w:rFonts w:ascii="Graphik Regular" w:eastAsia="Times New Roman" w:hAnsi="Graphik Regular" w:cs="Times New Roman"/>
          <w:b/>
          <w:bCs/>
          <w:kern w:val="0"/>
          <w:sz w:val="27"/>
          <w:szCs w:val="27"/>
          <w14:ligatures w14:val="none"/>
        </w:rPr>
        <w:t>Pricing Structure: Subscription Model</w:t>
      </w:r>
    </w:p>
    <w:p w14:paraId="525C4503" w14:textId="111468DE"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The platform employs an enterprise subscription model with tiered pricing based on usage metrics, designed to align costs with realized business value. The subscription tiers typically range from Starter packages suitable for departmental implementations to Enterprise offerings supporting global deployments with advanced customization requirements. Core pricing factors include the number of active teleports, monthly active users interacting with the system, and peak concurrent usage statistics. The platform offers flexible consumption models where organizations can purchase committed usage volumes at discounted rates while maintaining the ability to burst beyond these commitments during peak periods. Enterprise agreements often include guaranteed service levels with financial penalties for availability or performance shortfalls. The subscription includes regular platform updates, security maintenance, and access to new features as they become available. For organizations with specific needs, custom pricing arrangements can accommodate unique usage patterns or specialized implementation requirements. Most subscriptions include basic implementation support, with premium support packages available for organizations requiring dedicated assistance or extended coverage hours. This value-based pricing approach ensures that organizations can start with implementations matched to their immediate needs while scaling investment as they expand usage and realize additional business benefits.</w:t>
      </w:r>
    </w:p>
    <w:p w14:paraId="38D05A55" w14:textId="024FA6A5" w:rsidR="00196554" w:rsidRPr="00FC7860" w:rsidRDefault="00FC7860" w:rsidP="00FC7860">
      <w:pPr>
        <w:pStyle w:val="Heading2"/>
        <w:rPr>
          <w:rFonts w:eastAsia="Times New Roman"/>
        </w:rPr>
      </w:pPr>
      <w:bookmarkStart w:id="7" w:name="_Toc197346469"/>
      <w:r>
        <w:rPr>
          <w:rFonts w:eastAsia="Times New Roman"/>
        </w:rPr>
        <w:t xml:space="preserve">Platform: </w:t>
      </w:r>
      <w:r w:rsidR="00196554" w:rsidRPr="00FC7860">
        <w:rPr>
          <w:rFonts w:eastAsia="Times New Roman"/>
        </w:rPr>
        <w:t>Pricing Structure: Contract Components</w:t>
      </w:r>
      <w:bookmarkEnd w:id="7"/>
    </w:p>
    <w:p w14:paraId="2C264B58" w14:textId="2DF0BEB1"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Annual contracts typically include a base platform fee plus usage-based charges structured to provide predictability while allowing for growth. The base platform fee covers access to core system capabilities, standard integration options, and fundamental support services. This fee varies based on selected tier and implementation scope, with discounts available for multi-year commitments. Usage-based components may include charges for active tele hours, environmental complexity factors, concurrent user sessions, and premium skill utilization. To provide budget predictability, contracts often include pre-purchased usage bundles with the ability to add capacity as needed. Enterprise agreements frequently incorporate volume-based discounting that automatically reduces unit costs as usage increases throughout the contract term. Additional contract components may include professional services for implementation, custom development work, or specialized training programs. For organizations with unique requirements, contracts can include provisions for custom development, </w:t>
      </w:r>
      <w:r w:rsidRPr="00FC7860">
        <w:rPr>
          <w:rFonts w:ascii="Graphik Regular" w:eastAsia="Times New Roman" w:hAnsi="Graphik Regular" w:cs="Times New Roman"/>
          <w:kern w:val="0"/>
          <w14:ligatures w14:val="none"/>
        </w:rPr>
        <w:lastRenderedPageBreak/>
        <w:t>enhanced service levels, or specialized compliance certifications. Most contracts include clearly defined upgrade paths that allow organizations to transition between tiers as their requirements evolve without penalty. This flexible contract structure ensures that organizations can align their platform investment with both current requirements and anticipated growth while maintaining appropriate budget controls.</w:t>
      </w:r>
    </w:p>
    <w:p w14:paraId="5CFA8B79" w14:textId="77777777" w:rsidR="00196554" w:rsidRPr="00FC7860" w:rsidRDefault="00196554" w:rsidP="00FC7860">
      <w:pPr>
        <w:pStyle w:val="Heading1"/>
        <w:rPr>
          <w:rFonts w:eastAsia="Times New Roman"/>
        </w:rPr>
      </w:pPr>
      <w:bookmarkStart w:id="8" w:name="_Toc197346470"/>
      <w:r w:rsidRPr="00FC7860">
        <w:rPr>
          <w:rFonts w:eastAsia="Times New Roman"/>
        </w:rPr>
        <w:t>Application: Tele App</w:t>
      </w:r>
      <w:bookmarkEnd w:id="8"/>
    </w:p>
    <w:p w14:paraId="12C58165" w14:textId="0DE9DB30" w:rsidR="00196554" w:rsidRPr="00FC7860" w:rsidRDefault="00FC7860" w:rsidP="00196554">
      <w:pPr>
        <w:spacing w:before="100" w:beforeAutospacing="1" w:after="100" w:afterAutospacing="1" w:line="240" w:lineRule="auto"/>
        <w:outlineLvl w:val="2"/>
        <w:rPr>
          <w:rFonts w:ascii="Graphik Regular" w:eastAsia="Times New Roman" w:hAnsi="Graphik Regular" w:cs="Times New Roman"/>
          <w:b/>
          <w:bCs/>
          <w:kern w:val="0"/>
          <w:sz w:val="27"/>
          <w:szCs w:val="27"/>
          <w14:ligatures w14:val="none"/>
        </w:rPr>
      </w:pPr>
      <w:r>
        <w:rPr>
          <w:rFonts w:ascii="Graphik Regular" w:eastAsia="Times New Roman" w:hAnsi="Graphik Regular" w:cs="Times New Roman"/>
          <w:b/>
          <w:bCs/>
          <w:kern w:val="0"/>
          <w:sz w:val="27"/>
          <w:szCs w:val="27"/>
          <w14:ligatures w14:val="none"/>
        </w:rPr>
        <w:t xml:space="preserve">Application: </w:t>
      </w:r>
      <w:r w:rsidR="00196554" w:rsidRPr="00FC7860">
        <w:rPr>
          <w:rFonts w:ascii="Graphik Regular" w:eastAsia="Times New Roman" w:hAnsi="Graphik Regular" w:cs="Times New Roman"/>
          <w:b/>
          <w:bCs/>
          <w:kern w:val="0"/>
          <w:sz w:val="27"/>
          <w:szCs w:val="27"/>
          <w14:ligatures w14:val="none"/>
        </w:rPr>
        <w:t>Definition and Structure: Virtual Space Application</w:t>
      </w:r>
    </w:p>
    <w:p w14:paraId="3E01AA67" w14:textId="0A72ABB9"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The Tele App represents a sophisticated virtual space application configured on the platform, serving as the digital environment where users engage with telehumans and enterprise content. Unlike conventional web applications that present information through standard interface paradigms, the Tele App creates dimensionally-aware spaces that leverage spatial cognition to enhance understanding and engagement. At its architectural core, the Tele App implements a scene-based structure where different functional areas are organized as interconnected environments, each optimized for specific interaction types or information presentation scenarios. These scenes employ consistent navigation patterns and transitional cues that maintain user orientation while moving between different functional contexts. The underlying structure utilizes a component-based framework where spaces are assembled from reusable, configurable elements including structural boundaries, interactive objects, information displays, media viewers, and atmospheric systems. This modular approach enables rapid customization while maintaining consistent performance characteristics and interaction patterns across diverse implementations. The application architecture incorporates dynamic content management systems that enable real-time updates to environmental elements based on changing backend data, ensuring that spaces reflect current information without requiring complete scene regeneration. This sophisticated structure creates cohesive, responsive environments that guide users through complex information landscapes while maintaining engaging, intuitive interaction paradigms.</w:t>
      </w:r>
    </w:p>
    <w:p w14:paraId="60F2F96C" w14:textId="22C5BDD0" w:rsidR="00196554" w:rsidRPr="00FC7860" w:rsidRDefault="00FC7860" w:rsidP="00196554">
      <w:pPr>
        <w:spacing w:before="100" w:beforeAutospacing="1" w:after="100" w:afterAutospacing="1" w:line="240" w:lineRule="auto"/>
        <w:outlineLvl w:val="2"/>
        <w:rPr>
          <w:rFonts w:ascii="Graphik Regular" w:eastAsia="Times New Roman" w:hAnsi="Graphik Regular" w:cs="Times New Roman"/>
          <w:b/>
          <w:bCs/>
          <w:kern w:val="0"/>
          <w:sz w:val="27"/>
          <w:szCs w:val="27"/>
          <w14:ligatures w14:val="none"/>
        </w:rPr>
      </w:pPr>
      <w:r>
        <w:rPr>
          <w:rFonts w:ascii="Graphik Regular" w:eastAsia="Times New Roman" w:hAnsi="Graphik Regular" w:cs="Times New Roman"/>
          <w:b/>
          <w:bCs/>
          <w:kern w:val="0"/>
          <w:sz w:val="27"/>
          <w:szCs w:val="27"/>
          <w14:ligatures w14:val="none"/>
        </w:rPr>
        <w:t xml:space="preserve">Application: </w:t>
      </w:r>
      <w:r w:rsidR="00196554" w:rsidRPr="00FC7860">
        <w:rPr>
          <w:rFonts w:ascii="Graphik Regular" w:eastAsia="Times New Roman" w:hAnsi="Graphik Regular" w:cs="Times New Roman"/>
          <w:b/>
          <w:bCs/>
          <w:kern w:val="0"/>
          <w:sz w:val="27"/>
          <w:szCs w:val="27"/>
          <w14:ligatures w14:val="none"/>
        </w:rPr>
        <w:t>Definition and Structure: Interconnected Scenes</w:t>
      </w:r>
    </w:p>
    <w:p w14:paraId="6457936D"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creates richly detailed virtual experiences through collections of interconnected scenes with precisely defined interactions and transition pathways. Each scene functions as a self-contained interaction environment with its own spatial layout, functional components, and contextual purpose, whether presenting product showcases, educational content, service interfaces, or collaborative workspaces. These scenes implement hierarchical organization principles where primary information occupies prominent positions while supporting details remain accessible without overwhelming visual complexity. The interconnection framework establishes meaningful relationships between scenes through both spatial metaphors—where adjacent scenes represent related concepts—and logical workflows that guide users through sequential processes. </w:t>
      </w:r>
      <w:r w:rsidRPr="00FC7860">
        <w:rPr>
          <w:rFonts w:ascii="Graphik Regular" w:eastAsia="Times New Roman" w:hAnsi="Graphik Regular" w:cs="Times New Roman"/>
          <w:kern w:val="0"/>
          <w14:ligatures w14:val="none"/>
        </w:rPr>
        <w:lastRenderedPageBreak/>
        <w:t>Navigation between scenes incorporates thoughtful transitions that maintain context and orientation, whether through continuous spatial movement, dissolve effects, or transformational animations that highlight conceptual relationships. The scene framework supports both predetermined pathways optimized for specific user journeys and dynamically generated connections that adapt to emergent user needs or changing information contexts. For complex applications, scenes can implement layered complexity where environments reveal additional details or functional capabilities as users demonstrate mastery of basic interactions or express interest in deeper exploration. This sophisticated scene structure creates intuitive information architecture that guides users through complex conceptual landscapes without requiring explicit navigation instructions or disruptive context switching typically experienced in traditional web interfaces.</w:t>
      </w:r>
    </w:p>
    <w:p w14:paraId="0EBFABB8" w14:textId="1BA91815" w:rsidR="00196554" w:rsidRPr="00FC7860" w:rsidRDefault="00FC7860" w:rsidP="00FC7860">
      <w:pPr>
        <w:pStyle w:val="Heading2"/>
        <w:rPr>
          <w:rFonts w:eastAsia="Times New Roman"/>
        </w:rPr>
      </w:pPr>
      <w:bookmarkStart w:id="9" w:name="_Toc197346471"/>
      <w:r>
        <w:rPr>
          <w:rFonts w:eastAsia="Times New Roman"/>
        </w:rPr>
        <w:t xml:space="preserve">Application: </w:t>
      </w:r>
      <w:r w:rsidR="00196554" w:rsidRPr="00FC7860">
        <w:rPr>
          <w:rFonts w:eastAsia="Times New Roman"/>
        </w:rPr>
        <w:t>Core Functionality: Creating Immersive Spaces</w:t>
      </w:r>
      <w:bookmarkEnd w:id="9"/>
    </w:p>
    <w:p w14:paraId="6A2B73A1"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The Tele App creates branded immersive spaces specifically engineered for business purposes, transforming abstract concepts and information into spatially coherent environments that leverage natural cognitive processing. The application employs sophisticated environmental design principles that create meaningful contexts for different interaction types—whether configuring product showcases where features can be demonstrated naturally, service environments that establish appropriate engagement atmospheres, learning spaces that organize information logically, or collaborative environments that facilitate shared attention and co-creation. For brand alignment, the system implements comprehensive styling frameworks that ensure visual consistency with established identity guidelines while optimizing for clarity and engagement in three-dimensional contexts. These frameworks extend beyond basic color and logo applications to include architectural elements, material properties, lighting characteristics, and ambient effects that collectively establish distinctive branded atmospheres. The immersive creation capabilities include both template-based approaches for rapid deployment and custom design tools for organizations requiring specialized environments. For global organizations, the system supports localization frameworks that adapt not only language elements but also cultural signifiers, spatial arrangement preferences, and interaction patterns appropriate for different regions. The application integrates sophisticated rendering pipelines that create visually appealing environments across diverse device capabilities, implementing smart optimization techniques that maintain essential brand characteristics and functional clarity even on lower-capability devices. This approach transforms standard business interactions into memorable branded experiences that significantly enhance engagement and information retention.</w:t>
      </w:r>
    </w:p>
    <w:p w14:paraId="1FFFD3C3" w14:textId="4C0F679D" w:rsidR="00196554" w:rsidRPr="00FC7860" w:rsidRDefault="00FC7860" w:rsidP="00FC7860">
      <w:pPr>
        <w:pStyle w:val="Heading2"/>
        <w:rPr>
          <w:rFonts w:eastAsia="Times New Roman"/>
        </w:rPr>
      </w:pPr>
      <w:bookmarkStart w:id="10" w:name="_Toc197346472"/>
      <w:r>
        <w:rPr>
          <w:rFonts w:eastAsia="Times New Roman"/>
        </w:rPr>
        <w:t xml:space="preserve">Application: </w:t>
      </w:r>
      <w:r w:rsidR="00196554" w:rsidRPr="00FC7860">
        <w:rPr>
          <w:rFonts w:eastAsia="Times New Roman"/>
        </w:rPr>
        <w:t>Core Functionality: Managing Transitions</w:t>
      </w:r>
      <w:bookmarkEnd w:id="10"/>
    </w:p>
    <w:p w14:paraId="346BA560"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implements sophisticated transition management between scenes based on user actions and system events, creating fluid experiences that maintain context and engagement throughout complex interaction journeys. The transition engine monitors multiple input channels—including direct user commands, </w:t>
      </w:r>
      <w:r w:rsidRPr="00FC7860">
        <w:rPr>
          <w:rFonts w:ascii="Graphik Regular" w:eastAsia="Times New Roman" w:hAnsi="Graphik Regular" w:cs="Times New Roman"/>
          <w:kern w:val="0"/>
          <w14:ligatures w14:val="none"/>
        </w:rPr>
        <w:lastRenderedPageBreak/>
        <w:t>implicit behavioral signals, conversation content, and backend system events—to identify appropriate moments for environmental changes. When transitions occur, the system implements contextually appropriate effects ranging from subtle ambient shifts that reflect conversation topics to complete scene transformations that introduce new functional capabilities. These transitions incorporate thoughtful choreography that maintains visual continuity through camera movement, lighting adjustments, and element persistence strategies that preserve important contextual elements across scene changes. For orientation purposes, the system implements clear signposting mechanisms that help users understand new environments through consistent navigation cues, spatial landmarks, and functional groupings that establish recognizable patterns across different scenes. The transition management includes sophisticated state preservation that maintains conversation context, user preferences, and interaction history across environmental changes, eliminating the disruptive reorientation typically required when switching between different functional areas in traditional interfaces. For performance optimization, the transition system implements predictive preloading that anticipates likely next environments based on conversation direction and user behavior patterns, ensuring smooth transitions even when moving between complex scenes. This sophisticated transition management transforms potentially disjointed interactions into coherent experiential journeys that maintain engagement and understanding throughout complex business processes.</w:t>
      </w:r>
    </w:p>
    <w:p w14:paraId="20B41CEF" w14:textId="643B4F40" w:rsidR="00196554" w:rsidRPr="00FC7860" w:rsidRDefault="00FC7860" w:rsidP="00FC7860">
      <w:pPr>
        <w:pStyle w:val="Heading2"/>
        <w:rPr>
          <w:rFonts w:eastAsia="Times New Roman"/>
        </w:rPr>
      </w:pPr>
      <w:bookmarkStart w:id="11" w:name="_Toc197346473"/>
      <w:r>
        <w:rPr>
          <w:rFonts w:eastAsia="Times New Roman"/>
        </w:rPr>
        <w:t xml:space="preserve">Application: </w:t>
      </w:r>
      <w:r w:rsidR="00196554" w:rsidRPr="00FC7860">
        <w:rPr>
          <w:rFonts w:eastAsia="Times New Roman"/>
        </w:rPr>
        <w:t>Core Functionality: Connecting Participants</w:t>
      </w:r>
      <w:bookmarkEnd w:id="11"/>
    </w:p>
    <w:p w14:paraId="38C6B41F"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connects multiple participants in shared experiences, creating collaborative environments where users can interact with each other and with telehumans in contextually relevant spaces. The multi-participant architecture implements sophisticated presence systems that represent each participant appropriately within the shared environment, whether through customizable avatars, video representations, or simplified indicators based on experience requirements and user preferences. Spatial audio capabilities create natural conversation dynamics where voice volume and directionality reflect relative positions within the environment, enhancing the sense of shared presence while improving communication clarity in group settings. For attention management, the system implements shared focus mechanisms where participants can highlight specific environmental elements or information displays, ensuring synchronized understanding during demonstrations or discussions. The collaborative functionality extends to interactive capabilities with appropriate permission systems that determine which participants can manipulate which environmental elements, preventing unwanted disruptions while enabling meaningful co-creation. For enterprise scenarios, the connection framework integrates with organizational identity systems to automatically establish appropriate role-based capabilities and access levels without requiring manual configuration. The synchronization engine maintains consistent environmental state across all participants despite varying network conditions and device capabilities, implementing intelligent update prioritization that ensures critical interactions remain responsive even under constrained connectivity. This sophisticated multi-participant capability transforms individual interactions into shared experiences that significantly enhance </w:t>
      </w:r>
      <w:r w:rsidRPr="00FC7860">
        <w:rPr>
          <w:rFonts w:ascii="Graphik Regular" w:eastAsia="Times New Roman" w:hAnsi="Graphik Regular" w:cs="Times New Roman"/>
          <w:kern w:val="0"/>
          <w14:ligatures w14:val="none"/>
        </w:rPr>
        <w:lastRenderedPageBreak/>
        <w:t>collaboration effectiveness for sales presentations, training sessions, consultation meetings, and other scenarios that benefit from shared context and synchronized understanding.</w:t>
      </w:r>
    </w:p>
    <w:p w14:paraId="39F8E50D" w14:textId="68FF9E93" w:rsidR="00196554" w:rsidRPr="00FC7860" w:rsidRDefault="00FC7860" w:rsidP="00FC7860">
      <w:pPr>
        <w:pStyle w:val="Heading2"/>
        <w:rPr>
          <w:rFonts w:eastAsia="Times New Roman"/>
        </w:rPr>
      </w:pPr>
      <w:bookmarkStart w:id="12" w:name="_Toc197346474"/>
      <w:r>
        <w:rPr>
          <w:rFonts w:eastAsia="Times New Roman"/>
        </w:rPr>
        <w:t xml:space="preserve">Application: </w:t>
      </w:r>
      <w:r w:rsidR="00196554" w:rsidRPr="00FC7860">
        <w:rPr>
          <w:rFonts w:eastAsia="Times New Roman"/>
        </w:rPr>
        <w:t>Core Functionality: Presenting Enterprise Data</w:t>
      </w:r>
      <w:bookmarkEnd w:id="12"/>
    </w:p>
    <w:p w14:paraId="1C77EAC2"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The Tele App presents enterprise data in spatial context, transforming abstract information into intuitive visual representations that enhance comprehension and decision-making. The data presentation framework implements sophisticated visualization techniques that map different information types to appropriate spatial representations—whether organizing hierarchical data through nested structures, showing relationships through proximity and connections, representing sequences through directional flows, or indicating relative importance through size and position hierarchies. For numerical information, the system supports both standard visualization types optimized for spatial presentation and more innovative approaches that leverage the full dimensional capabilities of immersive environments. The contextual presentation approach places information within relevant settings—showing product specifications alongside interactive models, displaying customer history within service environments, or presenting financial data within decision-making contexts—creating natural associations that enhance understanding without requiring explicit explanation. For complex data sets, the system implements progressive disclosure mechanisms that present essential insights immediately while allowing users to explore underlying details through natural interaction patterns. The integration with enterprise systems enables real-time data updates that automatically refresh visualizations as underlying information changes, ensuring that decisions are always based on current data. For personalization purposes, the presentation framework adapts information density, terminology complexity, and visualization style based on user expertise levels and stated preferences. This spatially-aware data presentation approach significantly enhances comprehension compared to traditional abstract presentations, particularly for complex information relationships, multidimensional datasets, and concepts with physical or spatial components.</w:t>
      </w:r>
    </w:p>
    <w:p w14:paraId="3F75CF72" w14:textId="645E2FBF" w:rsidR="00196554" w:rsidRPr="00FC7860" w:rsidRDefault="00FC7860" w:rsidP="00FC7860">
      <w:pPr>
        <w:pStyle w:val="Heading2"/>
        <w:rPr>
          <w:rFonts w:eastAsia="Times New Roman"/>
        </w:rPr>
      </w:pPr>
      <w:bookmarkStart w:id="13" w:name="_Toc197346475"/>
      <w:r>
        <w:rPr>
          <w:rFonts w:eastAsia="Times New Roman"/>
        </w:rPr>
        <w:t xml:space="preserve">Application: </w:t>
      </w:r>
      <w:r w:rsidR="00196554" w:rsidRPr="00FC7860">
        <w:rPr>
          <w:rFonts w:eastAsia="Times New Roman"/>
        </w:rPr>
        <w:t>Technical Delivery: WebGL/Unity Application</w:t>
      </w:r>
      <w:bookmarkEnd w:id="13"/>
    </w:p>
    <w:p w14:paraId="25A42062"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is delivered as a sophisticated WebGL/Unity application accessible via standard browsers, eliminating the need for specialized software installation while providing rich interactive experiences across diverse devices. The core rendering engine leverages WebGL's hardware acceleration capabilities through the Unity framework, creating visually compelling environments with appropriate performance optimization for different device capabilities. The application architecture implements progressive enhancement principles that establish baseline functionality for all devices while activating advanced features—including complex visual effects, sophisticated animations, and higher-resolution assets—when system capabilities permit. For consistent performance across diverse hardware, the application incorporates adaptive quality systems that dynamically adjust rendering complexity based on device performance monitoring, </w:t>
      </w:r>
      <w:r w:rsidRPr="00FC7860">
        <w:rPr>
          <w:rFonts w:ascii="Graphik Regular" w:eastAsia="Times New Roman" w:hAnsi="Graphik Regular" w:cs="Times New Roman"/>
          <w:kern w:val="0"/>
          <w14:ligatures w14:val="none"/>
        </w:rPr>
        <w:lastRenderedPageBreak/>
        <w:t>maintaining smooth interaction experiences even on lower-capability systems. The delivery framework implements sophisticated asset streaming with prioritized loading sequences that optimize initial display times while progressively enhancing environmental details as users engage with different areas. For network optimization, the system employs aggressive caching strategies, asset compression techniques, and delta updates that minimize bandwidth requirements while ensuring environments remain current. The Unity-based implementation provides sophisticated interaction handling that supports multiple input modalities—including mouse/keyboard, touch, and device orientation sensors—creating consistent experiences across desktop, mobile, and tablet devices. This browser-based delivery approach provides near-native application experiences without distribution friction, allowing organizations to deploy sophisticated spatial experiences through standard web infrastructure without requiring users to navigate app store approval processes or installation procedures.</w:t>
      </w:r>
    </w:p>
    <w:p w14:paraId="247B0C85" w14:textId="6D7265F2" w:rsidR="00196554" w:rsidRPr="00FC7860" w:rsidRDefault="00FC7860" w:rsidP="00FC7860">
      <w:pPr>
        <w:pStyle w:val="Heading2"/>
        <w:rPr>
          <w:rFonts w:eastAsia="Times New Roman"/>
        </w:rPr>
      </w:pPr>
      <w:bookmarkStart w:id="14" w:name="_Toc197346476"/>
      <w:r>
        <w:rPr>
          <w:rFonts w:eastAsia="Times New Roman"/>
        </w:rPr>
        <w:t xml:space="preserve">Application: </w:t>
      </w:r>
      <w:r w:rsidR="00196554" w:rsidRPr="00FC7860">
        <w:rPr>
          <w:rFonts w:eastAsia="Times New Roman"/>
        </w:rPr>
        <w:t>Technical Delivery: Integration Options</w:t>
      </w:r>
      <w:bookmarkEnd w:id="14"/>
    </w:p>
    <w:p w14:paraId="1F9C17A5"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can be embedded via </w:t>
      </w:r>
      <w:proofErr w:type="spellStart"/>
      <w:r w:rsidRPr="00FC7860">
        <w:rPr>
          <w:rFonts w:ascii="Graphik Regular" w:eastAsia="Times New Roman" w:hAnsi="Graphik Regular" w:cs="Times New Roman"/>
          <w:kern w:val="0"/>
          <w14:ligatures w14:val="none"/>
        </w:rPr>
        <w:t>iframe</w:t>
      </w:r>
      <w:proofErr w:type="spellEnd"/>
      <w:r w:rsidRPr="00FC7860">
        <w:rPr>
          <w:rFonts w:ascii="Graphik Regular" w:eastAsia="Times New Roman" w:hAnsi="Graphik Regular" w:cs="Times New Roman"/>
          <w:kern w:val="0"/>
          <w14:ligatures w14:val="none"/>
        </w:rPr>
        <w:t xml:space="preserve"> or direct integration into existing websites, allowing organizations to incorporate immersive experiences within established digital ecosystems. The </w:t>
      </w:r>
      <w:proofErr w:type="spellStart"/>
      <w:r w:rsidRPr="00FC7860">
        <w:rPr>
          <w:rFonts w:ascii="Graphik Regular" w:eastAsia="Times New Roman" w:hAnsi="Graphik Regular" w:cs="Times New Roman"/>
          <w:kern w:val="0"/>
          <w14:ligatures w14:val="none"/>
        </w:rPr>
        <w:t>iframe</w:t>
      </w:r>
      <w:proofErr w:type="spellEnd"/>
      <w:r w:rsidRPr="00FC7860">
        <w:rPr>
          <w:rFonts w:ascii="Graphik Regular" w:eastAsia="Times New Roman" w:hAnsi="Graphik Regular" w:cs="Times New Roman"/>
          <w:kern w:val="0"/>
          <w14:ligatures w14:val="none"/>
        </w:rPr>
        <w:t xml:space="preserve"> implementation provides the simplest deployment option with minimal technical requirements, creating contained experience windows that can be positioned within existing page layouts while maintaining independent functioning. For deeper integration, the application offers JavaScript API frameworks that enable bidirectional communication between the immersive environment and surrounding website components, allowing synchronized state management, coordinated navigation, and shared authentication contexts. The responsive container system automatically adjusts the application viewport based on available screen space, creating appropriate experiences whether deployed as full-page environments, embedded elements within larger layouts, or expandable components that transition between summary and immersive states. For visual consistency, the integration framework supports styling connectors that adapt application boundary treatments to match surrounding design systems, creating visually cohesive transitions between standard web interfaces and immersive experiences. The embedded implementation includes sophisticated focus management that appropriately handles input routing between the application and surrounding page elements, preventing interaction conflicts while enabling smooth transitions between different interface paradigms. For analytics coordination, the integration options include event broadcasting capabilities that synchronize user activity tracking across both the immersive application and standard website components, creating unified journey analytics. These flexible integration approaches allow organizations to implement immersive experiences within existing digital properties without requiring complete redevelopment, enabling incremental adoption strategies that align with broader digital transformation roadmaps.</w:t>
      </w:r>
    </w:p>
    <w:p w14:paraId="4243D9CD" w14:textId="5C3C8A7B" w:rsidR="00196554" w:rsidRPr="00FC7860" w:rsidRDefault="00FC7860" w:rsidP="00FC7860">
      <w:pPr>
        <w:pStyle w:val="Heading2"/>
        <w:rPr>
          <w:rFonts w:eastAsia="Times New Roman"/>
        </w:rPr>
      </w:pPr>
      <w:bookmarkStart w:id="15" w:name="_Toc197346477"/>
      <w:r>
        <w:rPr>
          <w:rFonts w:eastAsia="Times New Roman"/>
        </w:rPr>
        <w:lastRenderedPageBreak/>
        <w:t xml:space="preserve">Application: </w:t>
      </w:r>
      <w:r w:rsidR="00196554" w:rsidRPr="00FC7860">
        <w:rPr>
          <w:rFonts w:eastAsia="Times New Roman"/>
        </w:rPr>
        <w:t>Pricing Approach: Complexity Factors</w:t>
      </w:r>
      <w:bookmarkEnd w:id="15"/>
    </w:p>
    <w:p w14:paraId="4007648A"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pricing is fundamentally structured around scene complexity and concurrent user limits, creating scalable models that align costs with both implementation scope and usage patterns. Scene complexity assessment incorporates multiple factors including environmental size, interactive object count, dynamic element sophistication, custom animation requirements, and specialized rendering techniques required for specific visual effects. This complexity-based approach allows organizations to implement appropriately scaled solutions ranging from focused functional environments with essential elements to elaborate showcase spaces with sophisticated interactive capabilities, with pricing that reflects the underlying computational requirements and development complexity. The concurrent user dimension addresses both the technical infrastructure required to support simultaneous </w:t>
      </w:r>
      <w:proofErr w:type="gramStart"/>
      <w:r w:rsidRPr="00FC7860">
        <w:rPr>
          <w:rFonts w:ascii="Graphik Regular" w:eastAsia="Times New Roman" w:hAnsi="Graphik Regular" w:cs="Times New Roman"/>
          <w:kern w:val="0"/>
          <w14:ligatures w14:val="none"/>
        </w:rPr>
        <w:t>interactions</w:t>
      </w:r>
      <w:proofErr w:type="gramEnd"/>
      <w:r w:rsidRPr="00FC7860">
        <w:rPr>
          <w:rFonts w:ascii="Graphik Regular" w:eastAsia="Times New Roman" w:hAnsi="Graphik Regular" w:cs="Times New Roman"/>
          <w:kern w:val="0"/>
          <w14:ligatures w14:val="none"/>
        </w:rPr>
        <w:t xml:space="preserve"> and the business value derived from wider deployment. Basic implementations typically support standard concurrent user bands with predefined limits, while enterprise deployments can implement elastic scaling capabilities with consumption-based pricing for organizations with variable usage patterns. For predictable budgeting, organizations can select committed capacity levels at discounted rates with overflow capabilities that accommodate occasional usage spikes without requiring permanent capacity increases. The complexity assessment framework includes detailed estimation tools that help organizations predict costs during the planning phase, with transparent metrics that clearly connect specific features or capabilities with their associated resource requirements and pricing implications. This structured approach ensures that organizations implement solutions appropriately scaled to their requirements without unnecessary complexity or capacity limitations that would constrain business value realization.</w:t>
      </w:r>
    </w:p>
    <w:p w14:paraId="76A8DE84" w14:textId="7F8CD57D" w:rsidR="00196554" w:rsidRPr="00FC7860" w:rsidRDefault="00FC7860" w:rsidP="00FC7860">
      <w:pPr>
        <w:pStyle w:val="Heading2"/>
        <w:rPr>
          <w:rFonts w:eastAsia="Times New Roman"/>
        </w:rPr>
      </w:pPr>
      <w:bookmarkStart w:id="16" w:name="_Toc197346478"/>
      <w:r>
        <w:rPr>
          <w:rFonts w:eastAsia="Times New Roman"/>
        </w:rPr>
        <w:t xml:space="preserve">Application: </w:t>
      </w:r>
      <w:r w:rsidR="00196554" w:rsidRPr="00FC7860">
        <w:rPr>
          <w:rFonts w:eastAsia="Times New Roman"/>
        </w:rPr>
        <w:t>Pricing Approach: Customization Factors</w:t>
      </w:r>
      <w:bookmarkEnd w:id="16"/>
    </w:p>
    <w:p w14:paraId="0A532089" w14:textId="58E71EB6" w:rsidR="00196554" w:rsidRPr="00FC7860" w:rsidRDefault="00196554" w:rsidP="00FC7860">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 App pricing incorporates factors related to custom elements and integration requirements, ensuring that specialized implementations receive appropriate resources while maintaining predictable cost structures. Custom element development—including specialized 3D models, bespoke animations, unique interactive components, or distinctive visual effects—is typically structured through professional services engagements with defined deliverables and associated development costs. These custom elements become reusable assets within the customer's environment library, available for deployment across multiple scenes without additional development charges. For organizations requiring extensive customization, the platform offers design service retainer options that provide dedicated creative resources for ongoing environment evolution and enhancement. Integration complexity factors address the technical effort required to connect the application with existing business systems, considering both the number of integration points and the sophistication of data transformations required for each connection. Standard integrations with common enterprise systems utilize pre-built connectors with configuration-based setup, while specialized integrations with custom or legacy systems may require </w:t>
      </w:r>
      <w:r w:rsidRPr="00FC7860">
        <w:rPr>
          <w:rFonts w:ascii="Graphik Regular" w:eastAsia="Times New Roman" w:hAnsi="Graphik Regular" w:cs="Times New Roman"/>
          <w:kern w:val="0"/>
          <w14:ligatures w14:val="none"/>
        </w:rPr>
        <w:lastRenderedPageBreak/>
        <w:t>dedicated development effort with associated professional services costs. For organizations with ongoing integration needs, the platform offers integration framework licenses that provide self-service capabilities for technical teams to implement and maintain connections without requiring vendor involvement for each new integration point. The customization pricing framework includes clear scope definition tools that help organizations distinguish between essential custom elements that deliver significant business value and optional enhancements that might be deferred to subsequent implementation phases, ensuring efficient resource allocation aligned with priority business objectives.</w:t>
      </w:r>
    </w:p>
    <w:p w14:paraId="7A8657A8" w14:textId="1CDAA0AF" w:rsidR="00196554" w:rsidRPr="00FC7860" w:rsidRDefault="00196554" w:rsidP="00FC7860">
      <w:pPr>
        <w:pStyle w:val="Heading1"/>
        <w:rPr>
          <w:rFonts w:eastAsia="Times New Roman"/>
        </w:rPr>
      </w:pPr>
      <w:bookmarkStart w:id="17" w:name="_Toc197346479"/>
      <w:r w:rsidRPr="00FC7860">
        <w:rPr>
          <w:rFonts w:eastAsia="Times New Roman"/>
        </w:rPr>
        <w:t>Core Capability: Telepath</w:t>
      </w:r>
      <w:bookmarkEnd w:id="17"/>
    </w:p>
    <w:p w14:paraId="0EDDBBE0" w14:textId="590666E2" w:rsidR="00196554" w:rsidRPr="00FC7860" w:rsidRDefault="00FC7860" w:rsidP="00FC7860">
      <w:pPr>
        <w:pStyle w:val="Heading2"/>
        <w:rPr>
          <w:rFonts w:eastAsia="Times New Roman"/>
        </w:rPr>
      </w:pPr>
      <w:bookmarkStart w:id="18" w:name="_Toc197346480"/>
      <w:r>
        <w:rPr>
          <w:rFonts w:eastAsia="Times New Roman"/>
        </w:rPr>
        <w:t xml:space="preserve">Telepath: </w:t>
      </w:r>
      <w:r w:rsidR="00196554" w:rsidRPr="00FC7860">
        <w:rPr>
          <w:rFonts w:eastAsia="Times New Roman"/>
        </w:rPr>
        <w:t>Definition and Purpose: Workflow Orchestration</w:t>
      </w:r>
      <w:bookmarkEnd w:id="18"/>
    </w:p>
    <w:p w14:paraId="6B7D2CCE"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Telepath represents the sophisticated workflow orchestration capability within the Teleglass platform, providing the intelligent architecture that guides interactions toward meaningful business outcomes. Unlike rigid script-based systems that follow predetermined conversation flows, Telepath implements a dynamic orchestration model that adapts continuously based on user behaviors, conversation content, and contextual factors. At its conceptual core, Telepath transforms business processes from linear procedures into adaptive experience journeys where interactions evolve organically while still progressing toward defined objectives. The orchestration layer maintains awareness of both immediate conversation context and broader journey progression, ensuring that individual interactions feel natural while collectively advancing toward meaningful outcomes. This capability bridges traditional workflow automation with conversational intelligence, creating experiences that combine the efficiency of structured processes with the adaptability of human conversation. For business stakeholders, Telepath provides a strategic framework for translating business objectives into interactive experiences without requiring technical implementation details. The capability supports diverse orchestration needs across customer acquisition, service delivery, education, compliance verification, and other critical business processes. By establishing coherent, purposeful interaction flows that adapt to individual circumstances, Telepath ensures that tele interactions consistently deliver business value rather than just providing interesting but ultimately directionless conversations.</w:t>
      </w:r>
    </w:p>
    <w:p w14:paraId="3C2CD006" w14:textId="2E9610D0" w:rsidR="00196554" w:rsidRPr="00FC7860" w:rsidRDefault="00FC7860" w:rsidP="00FC7860">
      <w:pPr>
        <w:pStyle w:val="Heading2"/>
        <w:rPr>
          <w:rFonts w:eastAsia="Times New Roman"/>
        </w:rPr>
      </w:pPr>
      <w:bookmarkStart w:id="19" w:name="_Toc197346481"/>
      <w:r>
        <w:rPr>
          <w:rFonts w:eastAsia="Times New Roman"/>
        </w:rPr>
        <w:t xml:space="preserve">Telepath: </w:t>
      </w:r>
      <w:r w:rsidR="00196554" w:rsidRPr="00FC7860">
        <w:rPr>
          <w:rFonts w:eastAsia="Times New Roman"/>
        </w:rPr>
        <w:t>Definition and Purpose: Node-Based Experience System</w:t>
      </w:r>
      <w:bookmarkEnd w:id="19"/>
    </w:p>
    <w:p w14:paraId="1E355351"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Telepath implements a node-based experience graph system for defining user journeys (commonly referred to as "Path" for brevity), creating sophisticated interaction networks that balance structured progression with adaptive responsiveness. Each node within the system represents a distinct interaction state with defined objectives, content resources, available actions, and transition conditions. The graph structure establishes possible pathways between these nodes, creating a multidimensional decision space rather than a linear sequence. </w:t>
      </w:r>
      <w:r w:rsidRPr="00FC7860">
        <w:rPr>
          <w:rFonts w:ascii="Graphik Regular" w:eastAsia="Times New Roman" w:hAnsi="Graphik Regular" w:cs="Times New Roman"/>
          <w:kern w:val="0"/>
          <w14:ligatures w14:val="none"/>
        </w:rPr>
        <w:lastRenderedPageBreak/>
        <w:t>This approach enables experiences that accommodate diverse user needs while maintaining coherent progression toward business objectives. The node architecture implements encapsulation principles where each interaction state contains all resources required for that stage, enabling efficient asset management and clear responsibility boundaries during development. For complex journeys, nodes can be hierarchically organized where major experience phases contain nested interaction networks that handle specific sub-processes or exploration areas. The experience graph structure supports both deterministic transitions with clear progression requirements and probabilistic connections that adapt based on engagement patterns, conversation sentiment, and contextual factors. For global implementations, the node system enables culturally adaptive journeys where transition logic and content selection adjust based on regional preferences without requiring separate graph structures. This sophisticated experience definition approach allows organizations to create interactions that feel natural and responsive while still advancing consistently toward defined business outcomes, balancing the competing demands of conversational flexibility and process consistency.</w:t>
      </w:r>
    </w:p>
    <w:p w14:paraId="7ECA1BCB" w14:textId="50CDFE57" w:rsidR="00196554" w:rsidRPr="00FC7860" w:rsidRDefault="00FC7860" w:rsidP="00FC7860">
      <w:pPr>
        <w:pStyle w:val="Heading2"/>
        <w:rPr>
          <w:rFonts w:eastAsia="Times New Roman"/>
        </w:rPr>
      </w:pPr>
      <w:bookmarkStart w:id="20" w:name="_Toc197346482"/>
      <w:r>
        <w:rPr>
          <w:rFonts w:eastAsia="Times New Roman"/>
        </w:rPr>
        <w:t xml:space="preserve">Telepath: </w:t>
      </w:r>
      <w:r w:rsidR="00196554" w:rsidRPr="00FC7860">
        <w:rPr>
          <w:rFonts w:eastAsia="Times New Roman"/>
        </w:rPr>
        <w:t>Core Functionality: Orchestrating Dynamic Flows</w:t>
      </w:r>
      <w:bookmarkEnd w:id="20"/>
    </w:p>
    <w:p w14:paraId="2A9944FE" w14:textId="6E42278D"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Telepath orchestrates dynamic flows of scenes and interactions, creating coherent user journeys that adapt intelligently to emerging needs and preferences. The orchestration engine continuously monitors multiple input channels—including explicit user requests, implicit behavioral signals, conversation content analysis, and backend system events—to assess the current interaction state and identify appropriate progression options. Based on this continuous assessment, the system manages scene transitions, content presentation, tele behavior patterns, and interactive element availability to create appropriately paced experiences. For engagement optimization, the orchestration includes rhythm management that balances information delivery with interactive moments, preventing cognitive overload while maintaining appropriate engagement levels. The dynamic flow capabilities extend beyond simple conditional branching to include sophisticated adaptation strategies—adjusting explanation depth based on comprehension signals, modifying recommendation approaches when detecting hesitation, or shifting to alternative demonstration methods when attention metrics indicate disengagement. For long-running interactions, the orchestration implements appropriate resumption mechanisms that reestablish context when users return after interruptions, whether continuing within the same session or returning after longer intervals. The flow management includes intelligent recovery strategies that detect when interactions have diverged from productive paths and implement graceful redirection toward more valuable directions without creating jarring experience disruptions. This sophisticated orchestration capability transforms potentially fragmented interactions into coherent experience journeys that progress purposefully while remaining responsive to individual user characteristics and emergent conversation directions.</w:t>
      </w:r>
    </w:p>
    <w:p w14:paraId="54F87CB2" w14:textId="0C9F53CA" w:rsidR="00196554" w:rsidRPr="00FC7860" w:rsidRDefault="00FC7860" w:rsidP="00FC7860">
      <w:pPr>
        <w:pStyle w:val="Heading2"/>
        <w:rPr>
          <w:rFonts w:eastAsia="Times New Roman"/>
        </w:rPr>
      </w:pPr>
      <w:bookmarkStart w:id="21" w:name="_Toc197346483"/>
      <w:r>
        <w:rPr>
          <w:rFonts w:eastAsia="Times New Roman"/>
        </w:rPr>
        <w:lastRenderedPageBreak/>
        <w:t xml:space="preserve">Telepath: </w:t>
      </w:r>
      <w:r w:rsidR="00196554" w:rsidRPr="00FC7860">
        <w:rPr>
          <w:rFonts w:eastAsia="Times New Roman"/>
        </w:rPr>
        <w:t>Core Functionality: Tracking Business Outcomes</w:t>
      </w:r>
      <w:bookmarkEnd w:id="21"/>
    </w:p>
    <w:p w14:paraId="5BD489E3"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Telepath tracks journey progress toward defined business outcomes, providing real-time assessment of interaction effectiveness while generating actionable insights for experience optimization. The outcome tracking begins with sophisticated goal definition frameworks that translate business objectives into measurable interaction indicators, whether focused on commercial outcomes like conversion and purchase value, service metrics like resolution rate and satisfaction scores, educational measures like comprehension and retention, or other domain-specific success criteria. The tracking system implements multi-level assessment that monitors both immediate micro-conversions within the current interaction and broader journey progression across multiple sessions, creating comprehensive effectiveness evaluation that captures both short-term engagement and long-term relationship development. For complex journeys, the system supports weighted objective frameworks where multiple success criteria are balanced according to organizational priorities, creating nuanced assessment beyond binary completion metrics. The real-time tracking enables dynamic optimization where interaction approaches adjust based on predicted outcome likelihood, implementing alternative strategies when current approaches show reduced effectiveness probability. For organizational learning, the system generates structured insights that connect specific interaction patterns with outcome variations, identifying high-impact improvements for future experience refinement. The outcome tracking includes sophisticated attribution modeling that appropriately credits conversion influences across multiple interaction touchpoints, providing accurate value assessment for different journey components. This comprehensive tracking capability ensures that tele interactions consistently deliver measurable business value while continuously generating insights that drive ongoing experience optimization and more effective resource allocation.</w:t>
      </w:r>
    </w:p>
    <w:p w14:paraId="03BA9F69" w14:textId="5ADE9CB8" w:rsidR="00196554" w:rsidRPr="00FC7860" w:rsidRDefault="00FC7860" w:rsidP="00FC7860">
      <w:pPr>
        <w:pStyle w:val="Heading2"/>
        <w:rPr>
          <w:rFonts w:eastAsia="Times New Roman"/>
        </w:rPr>
      </w:pPr>
      <w:bookmarkStart w:id="22" w:name="_Toc197346484"/>
      <w:r>
        <w:rPr>
          <w:rFonts w:eastAsia="Times New Roman"/>
        </w:rPr>
        <w:t xml:space="preserve">Telepath: </w:t>
      </w:r>
      <w:r w:rsidR="00196554" w:rsidRPr="00FC7860">
        <w:rPr>
          <w:rFonts w:eastAsia="Times New Roman"/>
        </w:rPr>
        <w:t>Technical Implementation: Visual Workflow Builder</w:t>
      </w:r>
      <w:bookmarkEnd w:id="22"/>
    </w:p>
    <w:p w14:paraId="29823FBC"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Telepath is configured through an intuitive visual workflow builder with JSON-based graph configuration, enabling business stakeholders to define sophisticated interaction journeys without requiring specialized programming expertise. The builder implements a visual canvas where experience architects arrange nodes representing interaction states and establish connections indicating possible transitions, creating an intuitive representation of the overall journey structure. For each node, the configuration interface provides contextual editing tools for defining content resources, interaction capabilities, transition conditions, and integration requirements through guided forms rather than technical syntax. The visual representation maintains synchronized bidirectional relationships with the underlying JSON configuration, allowing technical teams to make advanced modifications through direct code editing when necessary while preserving visual consistency for business stakeholders. For complex implementations, the builder supports collaborative development with role-based permissions that allow different team members to focus on specific journey aspects—whether content development, integration configuration, or transition logic—within a unified project </w:t>
      </w:r>
      <w:r w:rsidRPr="00FC7860">
        <w:rPr>
          <w:rFonts w:ascii="Graphik Regular" w:eastAsia="Times New Roman" w:hAnsi="Graphik Regular" w:cs="Times New Roman"/>
          <w:kern w:val="0"/>
          <w14:ligatures w14:val="none"/>
        </w:rPr>
        <w:lastRenderedPageBreak/>
        <w:t>environment. The version control system maintains comprehensive change history with comparison tools that highlight modifications between iterations, supporting both controlled production deployment and experimental variation testing. For accelerated implementation, the system includes template libraries containing pre-configured patterns for common interaction scenarios, allowing teams to adapt established best practices rather than building each journey from scratch. This intuitive yet powerful configuration approach enables rapid experimentation and iteration, allowing organizations to continuously refine experiences based on performance insights without lengthy development cycles typically associated with traditional software modification.</w:t>
      </w:r>
    </w:p>
    <w:p w14:paraId="04D3D8CE" w14:textId="428F03B4" w:rsidR="00196554" w:rsidRPr="00FC7860" w:rsidRDefault="00FC7860" w:rsidP="00FC7860">
      <w:pPr>
        <w:pStyle w:val="Heading2"/>
        <w:rPr>
          <w:rFonts w:eastAsia="Times New Roman"/>
        </w:rPr>
      </w:pPr>
      <w:bookmarkStart w:id="23" w:name="_Toc197346485"/>
      <w:r>
        <w:rPr>
          <w:rFonts w:eastAsia="Times New Roman"/>
        </w:rPr>
        <w:t xml:space="preserve">Telepath: </w:t>
      </w:r>
      <w:r w:rsidR="00196554" w:rsidRPr="00FC7860">
        <w:rPr>
          <w:rFonts w:eastAsia="Times New Roman"/>
        </w:rPr>
        <w:t>Technical Implementation: Event-Driven State Management</w:t>
      </w:r>
      <w:bookmarkEnd w:id="23"/>
    </w:p>
    <w:p w14:paraId="4E311194"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Telepath employs sophisticated event-driven state management with analytics integration, creating responsive, data-informed experiences that adapt intelligently to user behavior patterns. The state management architecture implements a comprehensive event system where user actions, system occurrences, conversation markers, and external integrations generate structured notifications that trigger appropriate experience adaptations. This event-driven approach creates loosely coupled components that can evolve independently while maintaining coordinated behavior through standardized communication patterns. The state tracking maintains both session-specific information representing the current interaction context and persistent user profiles that preserve relationship continuity across multiple engagements. For consistency across distributed systems, the state management implements transactional models that maintain coherent experience state even when multiple backend services are involved in processing complex interactions. The analytics integration captures comprehensive behavioral data including navigation patterns, attention distribution, interaction timing, and conversation content markers, creating rich performance insights beyond simple completion metrics. For continuous optimization, the system implements both real-time adaptation where current behavior influences immediate experience adjustments and aggregate pattern recognition where accumulated data across multiple sessions identifies optimization opportunities for future implementations. The state management includes appropriate privacy controls with configurable retention policies and anonymization options that balance personalization benefits with data minimization principles. This sophisticated implementation creates experiences that respond intelligently to individual behavior patterns while continuously generating insights that drive systematic experience improvement across the entire implementation.</w:t>
      </w:r>
    </w:p>
    <w:p w14:paraId="4B7C4430" w14:textId="762D4E95" w:rsidR="00196554" w:rsidRPr="00FC7860" w:rsidRDefault="00FC7860" w:rsidP="00FC7860">
      <w:pPr>
        <w:pStyle w:val="Heading2"/>
        <w:rPr>
          <w:rFonts w:eastAsia="Times New Roman"/>
        </w:rPr>
      </w:pPr>
      <w:bookmarkStart w:id="24" w:name="_Toc197346486"/>
      <w:r>
        <w:rPr>
          <w:rFonts w:eastAsia="Times New Roman"/>
        </w:rPr>
        <w:t xml:space="preserve">Telepath: </w:t>
      </w:r>
      <w:r w:rsidR="00196554" w:rsidRPr="00FC7860">
        <w:rPr>
          <w:rFonts w:eastAsia="Times New Roman"/>
        </w:rPr>
        <w:t>Pricing Structure: Subscription Tiers</w:t>
      </w:r>
      <w:bookmarkEnd w:id="24"/>
    </w:p>
    <w:p w14:paraId="7950D514"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Telepath capabilities are included in platform subscription with tiered complexity limits, providing appropriately scaled orchestration capabilities aligned with different implementation requirements and organizational maturity levels. Entry-level subscriptions typically include essential orchestration capabilities with </w:t>
      </w:r>
      <w:r w:rsidRPr="00FC7860">
        <w:rPr>
          <w:rFonts w:ascii="Graphik Regular" w:eastAsia="Times New Roman" w:hAnsi="Graphik Regular" w:cs="Times New Roman"/>
          <w:kern w:val="0"/>
          <w14:ligatures w14:val="none"/>
        </w:rPr>
        <w:lastRenderedPageBreak/>
        <w:t>moderate complexity limits—supporting defined node counts, connection thresholds, and conditional logic complexity appropriate for focused implementation scenarios like guided product exploration or structured service interactions. As organizations progress to more sophisticated implementations, higher subscription tiers expand these constraints to accommodate complex customer journeys with multiple phases, adaptive pathways, and sophisticated decision logic. The tiered approach allows organizations to begin with targeted implementations that demonstrate value quickly while establishing clear expansion pathways as requirements evolve and orchestration expertise develops. For enterprise implementations, subscription levels often include dedicated performance resources that ensure consistent orchestration processing even during high-volume periods, with guaranteed response times appropriate for customer-facing critical processes. The subscription structure typically includes regular capability updates that introduce new orchestration features, expanded conditional logic options, and enhanced analytics capabilities as platform capabilities evolve. For capacity planning, the tiering framework includes detailed calculation tools that help organizations assess their implementation requirements against different subscription levels, identifying appropriate starting points with sustainable growth pathways. This structured approach ensures that organizations can implement appropriately scaled orchestration capabilities that deliver immediate value while providing expansion capacity aligned with evolving business requirements and implementation sophistication.</w:t>
      </w:r>
    </w:p>
    <w:p w14:paraId="2D0B52D5" w14:textId="593EB022" w:rsidR="00196554" w:rsidRPr="00FC7860" w:rsidRDefault="00FC7860" w:rsidP="00FC7860">
      <w:pPr>
        <w:pStyle w:val="Heading2"/>
        <w:rPr>
          <w:rFonts w:eastAsia="Times New Roman"/>
        </w:rPr>
      </w:pPr>
      <w:bookmarkStart w:id="25" w:name="_Toc197346487"/>
      <w:r>
        <w:rPr>
          <w:rFonts w:eastAsia="Times New Roman"/>
        </w:rPr>
        <w:t xml:space="preserve">Telepath: </w:t>
      </w:r>
      <w:r w:rsidR="00196554" w:rsidRPr="00FC7860">
        <w:rPr>
          <w:rFonts w:eastAsia="Times New Roman"/>
        </w:rPr>
        <w:t>Pricing Structure: Premium Features</w:t>
      </w:r>
      <w:bookmarkEnd w:id="25"/>
    </w:p>
    <w:p w14:paraId="267584E1"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Premium pricing applies for advanced orchestration features and analytics, providing specialized capabilities for organizations with sophisticated implementation requirements. Advanced graph complexity capabilities extend beyond basic node and connection limits to support sophisticated orchestration scenarios including parallel processing paths, conditional looping structures, state-dependent behavior variations, and dynamic subgraph activation based on contextual factors. Custom transition rule creation tools enable specialized progression logic incorporating complex condition combinations, weighted probability distributions, temporal factors, and external system dependencies beyond standard configuration options. For organizations with existing business logic systems, enterprise integration frameworks enable Telepath to incorporate rules and decision processes from external engines, maintaining consistent decision approaches across different customer touchpoints without duplicating logic implementation. Advanced analytics capabilities provide sophisticated journey visualization, comparative performance analysis, simulation modeling for proposed changes, and anomaly detection systems that identify unexpected behavior patterns requiring attention. For continuous optimization, premium features often include A/B testing frameworks that enable controlled experimentation with alternative orchestration approaches, automatically identifying higher-performing variations based on defined success metrics. Organizations with unique requirements can access extensibility frameworks that allow custom development of specialized orchestration components while maintaining compatibility with the overall platform architecture. This premium </w:t>
      </w:r>
      <w:r w:rsidRPr="00FC7860">
        <w:rPr>
          <w:rFonts w:ascii="Graphik Regular" w:eastAsia="Times New Roman" w:hAnsi="Graphik Regular" w:cs="Times New Roman"/>
          <w:kern w:val="0"/>
          <w14:ligatures w14:val="none"/>
        </w:rPr>
        <w:lastRenderedPageBreak/>
        <w:t>capability approach allows organizations to implement sophisticated orchestration strategies aligned with complex business processes and advanced customer experience requirements while maintaining the consistency, reliability, and supportability advantages of the platform foundation.</w:t>
      </w:r>
    </w:p>
    <w:p w14:paraId="71EB07F0" w14:textId="77777777" w:rsidR="00196554" w:rsidRPr="00FC7860" w:rsidRDefault="00196554" w:rsidP="00FC7860">
      <w:pPr>
        <w:pStyle w:val="Heading1"/>
        <w:rPr>
          <w:rFonts w:eastAsia="Times New Roman"/>
        </w:rPr>
      </w:pPr>
      <w:bookmarkStart w:id="26" w:name="_Toc197346488"/>
      <w:r w:rsidRPr="00FC7860">
        <w:rPr>
          <w:rFonts w:eastAsia="Times New Roman"/>
        </w:rPr>
        <w:t>Component: Skills</w:t>
      </w:r>
      <w:bookmarkEnd w:id="26"/>
    </w:p>
    <w:p w14:paraId="609C7713" w14:textId="55E64D6F" w:rsidR="00196554" w:rsidRPr="00FC7860" w:rsidRDefault="00FC7860" w:rsidP="00FC7860">
      <w:pPr>
        <w:pStyle w:val="Heading2"/>
        <w:rPr>
          <w:rFonts w:eastAsia="Times New Roman"/>
        </w:rPr>
      </w:pPr>
      <w:bookmarkStart w:id="27" w:name="_Toc197346489"/>
      <w:r>
        <w:rPr>
          <w:rFonts w:eastAsia="Times New Roman"/>
        </w:rPr>
        <w:t xml:space="preserve">Skills: </w:t>
      </w:r>
      <w:r w:rsidR="00196554" w:rsidRPr="00FC7860">
        <w:rPr>
          <w:rFonts w:eastAsia="Times New Roman"/>
        </w:rPr>
        <w:t>Definition and Architecture: Modular Capabilities</w:t>
      </w:r>
      <w:bookmarkEnd w:id="27"/>
    </w:p>
    <w:p w14:paraId="6D90FB87"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Skills represent the modular capabilities that extend tele functionality, providing the specialized abilities that enable virtual colleagues to perform valuable actions beyond basic conversation. Unlike monolithic systems where all functionality exists within a single codebase, the skills architecture implements a composable approach where capabilities are packaged as discrete functional units that can be individually deployed, updated, and managed based on specific implementation requirements. Each skill encapsulates all necessary components for a particular capability—including interaction handling, backend processing, data transformation, and response generation—within a standardized interface framework that ensures consistent integration with the broader platform. This modular architecture enables both rapid implementation through pre-built capabilities and custom development focused on organization-specific requirements without modifying core platform components. The architecture implements clear dependency management where skills can build upon foundation capabilities while maintaining appropriate isolation that prevents cascading failures across the system. For configuration flexibility, skills employ parameterization frameworks that enable functional customization without code modification, allowing business stakeholders to adjust behavior patterns through administrative interfaces rather than requiring technical development. This approach creates a continuously expanding capability ecosystem where organizations can selectively implement functionality aligned with their specific requirements while maintaining consistent interaction patterns and reliable system performance across different implementation scenarios.</w:t>
      </w:r>
    </w:p>
    <w:p w14:paraId="6E0E4BE6" w14:textId="7E094C0D" w:rsidR="00196554" w:rsidRPr="00FC7860" w:rsidRDefault="00FC7860" w:rsidP="00FC7860">
      <w:pPr>
        <w:pStyle w:val="Heading2"/>
        <w:rPr>
          <w:rFonts w:eastAsia="Times New Roman"/>
        </w:rPr>
      </w:pPr>
      <w:bookmarkStart w:id="28" w:name="_Toc197346490"/>
      <w:r>
        <w:rPr>
          <w:rFonts w:eastAsia="Times New Roman"/>
        </w:rPr>
        <w:t xml:space="preserve">Skills: </w:t>
      </w:r>
      <w:r w:rsidR="00196554" w:rsidRPr="00FC7860">
        <w:rPr>
          <w:rFonts w:eastAsia="Times New Roman"/>
        </w:rPr>
        <w:t>Definition and Architecture: Functional Components</w:t>
      </w:r>
      <w:bookmarkEnd w:id="28"/>
    </w:p>
    <w:p w14:paraId="358298F0"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Skills function as discrete functional components enabling specific data processing abilities, transforming general-purpose tele intelligence into specialized tools optimized for </w:t>
      </w:r>
      <w:proofErr w:type="gramStart"/>
      <w:r w:rsidRPr="00FC7860">
        <w:rPr>
          <w:rFonts w:ascii="Graphik Regular" w:eastAsia="Times New Roman" w:hAnsi="Graphik Regular" w:cs="Times New Roman"/>
          <w:kern w:val="0"/>
          <w14:ligatures w14:val="none"/>
        </w:rPr>
        <w:t>particular business</w:t>
      </w:r>
      <w:proofErr w:type="gramEnd"/>
      <w:r w:rsidRPr="00FC7860">
        <w:rPr>
          <w:rFonts w:ascii="Graphik Regular" w:eastAsia="Times New Roman" w:hAnsi="Graphik Regular" w:cs="Times New Roman"/>
          <w:kern w:val="0"/>
          <w14:ligatures w14:val="none"/>
        </w:rPr>
        <w:t xml:space="preserve"> requirements. Each skill implements a complete processing pipeline covering user input interpretation, backend system integration, data transformation, decision processing, and response formulation within its functional domain. This encapsulated processing approach ensures that skills can evolve independently while maintaining consistent platform integration through standardized interfaces. The component architecture implements capability discovery mechanisms where teles dynamically identify available skills relevant to current conversation contexts, enabling fluid capability utilization without explicit user direction. For interaction consistency, skills adhere to </w:t>
      </w:r>
      <w:r w:rsidRPr="00FC7860">
        <w:rPr>
          <w:rFonts w:ascii="Graphik Regular" w:eastAsia="Times New Roman" w:hAnsi="Graphik Regular" w:cs="Times New Roman"/>
          <w:kern w:val="0"/>
          <w14:ligatures w14:val="none"/>
        </w:rPr>
        <w:lastRenderedPageBreak/>
        <w:t>platform-wide design patterns that ensure functional capabilities manifest through familiar interaction models despite underlying implementation differences. The architecture supports multiple implementation approaches including cloud-based processing for computationally intensive operations, edge execution for latency-sensitive functions, and hybrid models that balance performance requirements with system resource constraints. For versioning stability, the component framework maintains compatibility layers that ensure existing integrations continue functioning when skills receive functionality enhancements, preventing disruption to production environments during capability evolution. The architecture includes robust error handling with graceful degradation patterns that maintain core functionality even when specific components encounter processing limitations or integration disruptions. This sophisticated component approach creates an extensible system where specialized capabilities can be rapidly integrated into the tele intelligence framework, transforming general conversational abilities into purpose-built tools optimized for specific business processes.</w:t>
      </w:r>
    </w:p>
    <w:p w14:paraId="6E31F5B1" w14:textId="0ED5860E" w:rsidR="00196554" w:rsidRPr="00FC7860" w:rsidRDefault="00FC7860" w:rsidP="00FC7860">
      <w:pPr>
        <w:pStyle w:val="Heading2"/>
        <w:rPr>
          <w:rFonts w:eastAsia="Times New Roman"/>
        </w:rPr>
      </w:pPr>
      <w:bookmarkStart w:id="29" w:name="_Toc197346491"/>
      <w:r>
        <w:rPr>
          <w:rFonts w:eastAsia="Times New Roman"/>
        </w:rPr>
        <w:t xml:space="preserve">Skills: </w:t>
      </w:r>
      <w:r w:rsidR="00196554" w:rsidRPr="00FC7860">
        <w:rPr>
          <w:rFonts w:eastAsia="Times New Roman"/>
        </w:rPr>
        <w:t>Core Capabilities: Enterprise System Connection</w:t>
      </w:r>
      <w:bookmarkEnd w:id="29"/>
    </w:p>
    <w:p w14:paraId="0DAB8496"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Skills connect teles to enterprise systems and knowledge domains, transforming static virtual assistants into dynamic business tools with access to organizational information and operational capabilities. The connection framework implements comprehensive integration patterns for major enterprise systems including customer relationship management (Salesforce, Microsoft Dynamics), enterprise resource planning (SAP, Oracle), e-commerce platforms (Shopify, Magento), content management systems, knowledge bases, support ticketing systems, and other business-critical applications. These connections extend beyond simple data retrieval to include bidirectional interaction where teles can both access information and initiate operations within these systems—checking inventory, creating support cases, updating customer records, processing transactions, or performing other workflow actions. For security and compliance, the connectivity framework implements robust authentication with role-based permissions that apply appropriate access controls based on both tele configuration and current user context. The enterprise connection capabilities include sophisticated data transformation that converts system-specific formats into normalized structures usable within tele interactions, eliminating technical complexity from user experiences. For implementation flexibility, the framework supports both real-time integration where information is retrieved during active conversations and cached approaches that periodically synchronize commonly accessed data to optimize performance. The connection architecture implements resilience patterns with appropriate fallback mechanisms that maintain core conversation capabilities even during temporary system unavailability. This comprehensive connectivity transforms teles from isolated conversational interfaces into integrated business tools that leverage organizational systems and information to deliver tangible operational value rather than just engaging dialogue.</w:t>
      </w:r>
    </w:p>
    <w:p w14:paraId="080A1695" w14:textId="56762ED7" w:rsidR="00196554" w:rsidRPr="00FC7860" w:rsidRDefault="00FC7860" w:rsidP="00FC7860">
      <w:pPr>
        <w:pStyle w:val="Heading2"/>
        <w:rPr>
          <w:rFonts w:eastAsia="Times New Roman"/>
        </w:rPr>
      </w:pPr>
      <w:bookmarkStart w:id="30" w:name="_Toc197346492"/>
      <w:r>
        <w:rPr>
          <w:rFonts w:eastAsia="Times New Roman"/>
        </w:rPr>
        <w:lastRenderedPageBreak/>
        <w:t xml:space="preserve">Skills: </w:t>
      </w:r>
      <w:r w:rsidR="00196554" w:rsidRPr="00FC7860">
        <w:rPr>
          <w:rFonts w:eastAsia="Times New Roman"/>
        </w:rPr>
        <w:t>Core Capabilities: Decision Support</w:t>
      </w:r>
      <w:bookmarkEnd w:id="30"/>
    </w:p>
    <w:p w14:paraId="06110C6D"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Skills enable data-driven decisions within Telepath workflows, providing the analytical capabilities required for intelligent path selection and personalized experience delivery. The decision support framework implements multiple assessment models including rule-based evaluation for clear condition matching, statistical analysis for pattern recognition, predictive modeling for outcome likelihood, and recommendation systems for option prioritization. These analytical capabilities transform raw data from enterprise systems, conversation analysis, and interaction patterns into actionable insights that guide workflow progression. For personalization requirements, decision skills incorporate both explicit preference processing where stated user requirements directly influence recommendations and implicit pattern recognition where behavioral signals and contextual factors inform subtle experience adjustments. The decision framework supports both deterministic approaches where clear conditions trigger specific actions and probabilistic models where multiple factors contribute weighted influence </w:t>
      </w:r>
      <w:proofErr w:type="gramStart"/>
      <w:r w:rsidRPr="00FC7860">
        <w:rPr>
          <w:rFonts w:ascii="Graphik Regular" w:eastAsia="Times New Roman" w:hAnsi="Graphik Regular" w:cs="Times New Roman"/>
          <w:kern w:val="0"/>
          <w14:ligatures w14:val="none"/>
        </w:rPr>
        <w:t>to</w:t>
      </w:r>
      <w:proofErr w:type="gramEnd"/>
      <w:r w:rsidRPr="00FC7860">
        <w:rPr>
          <w:rFonts w:ascii="Graphik Regular" w:eastAsia="Times New Roman" w:hAnsi="Graphik Regular" w:cs="Times New Roman"/>
          <w:kern w:val="0"/>
          <w14:ligatures w14:val="none"/>
        </w:rPr>
        <w:t xml:space="preserve"> experience variation. For explanation transparency, skills can generate reasoning narratives that articulate decision factors in user-appropriate language, creating understanding without exposing technical complexity. The decision architecture implements appropriate governance where organizational policies and compliance requirements constrain recommendation boundaries regardless of analytical outcomes. For continuous improvement, the framework includes feedback processing where outcome tracking refines decision models through supervised learning without requiring manual reconfiguration. This sophisticated decision support transforms workflow orchestration from static condition checking to intelligent journey optimization, creating experiences that adapt to individual needs while consistently advancing toward business objectives through data-informed progression strategies.</w:t>
      </w:r>
    </w:p>
    <w:p w14:paraId="57167136" w14:textId="3873B927" w:rsidR="00196554" w:rsidRPr="00FC7860" w:rsidRDefault="00FC7860" w:rsidP="00FC7860">
      <w:pPr>
        <w:pStyle w:val="Heading2"/>
        <w:rPr>
          <w:rFonts w:eastAsia="Times New Roman"/>
        </w:rPr>
      </w:pPr>
      <w:bookmarkStart w:id="31" w:name="_Toc197346493"/>
      <w:r>
        <w:rPr>
          <w:rFonts w:eastAsia="Times New Roman"/>
        </w:rPr>
        <w:t xml:space="preserve">Skills: </w:t>
      </w:r>
      <w:r w:rsidR="00196554" w:rsidRPr="00FC7860">
        <w:rPr>
          <w:rFonts w:eastAsia="Times New Roman"/>
        </w:rPr>
        <w:t>Technical Implementation: Integration Adapters</w:t>
      </w:r>
      <w:bookmarkEnd w:id="31"/>
    </w:p>
    <w:p w14:paraId="130206A0"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Skills are delivered through sophisticated integration adapters with standardized data exchange schemas, creating consistent connection patterns across diverse enterprise systems. The adapter architecture implements a layered approach with system-specific connectors that handle authentication, protocol management, and data serialization for each target platform, wrapped within standardized interfaces that present unified interaction patterns regardless of underlying system differences. For common enterprise applications, the framework includes pre-built adapters that support configuration-based connection through administrative interfaces without requiring custom development. These adapters implement comprehensive capability discovery that automatically identifies available operations, data structures, and permission boundaries for each connection, enabling intelligent utilization without detailed system knowledge. For data consistency, the integration layer includes transformation engines that convert system-specific formats into normalized schemas, implementing both structural mapping for field alignment and semantic normalization for consistent terminology across different sources. The adapter framework supports multiple communication </w:t>
      </w:r>
      <w:r w:rsidRPr="00FC7860">
        <w:rPr>
          <w:rFonts w:ascii="Graphik Regular" w:eastAsia="Times New Roman" w:hAnsi="Graphik Regular" w:cs="Times New Roman"/>
          <w:kern w:val="0"/>
          <w14:ligatures w14:val="none"/>
        </w:rPr>
        <w:lastRenderedPageBreak/>
        <w:t>patterns including synchronous requests for immediate operations, asynchronous processing for long-running actions, event subscription for change notification, and bulk operations for efficient large dataset handling. For performance optimization, the architecture implements appropriate caching strategies, connection pooling, and request batching based on specific system characteristics and operation patterns. Security is maintained through credential vaulting, transmission encryption, audit logging, and least-privilege operation principles that protect sensitive enterprise data throughout the integration process. This sophisticated adapter approach allows organizations to rapidly establish secure, reliable connections between teles and existing business systems without requiring extensive integration development or system modifications.</w:t>
      </w:r>
    </w:p>
    <w:p w14:paraId="4FC4F214" w14:textId="637B7BC8" w:rsidR="00196554" w:rsidRPr="00FC7860" w:rsidRDefault="00FC7860" w:rsidP="00FC7860">
      <w:pPr>
        <w:pStyle w:val="Heading2"/>
        <w:rPr>
          <w:rFonts w:eastAsia="Times New Roman"/>
        </w:rPr>
      </w:pPr>
      <w:bookmarkStart w:id="32" w:name="_Toc197346494"/>
      <w:r>
        <w:rPr>
          <w:rFonts w:eastAsia="Times New Roman"/>
        </w:rPr>
        <w:t xml:space="preserve">Skills: </w:t>
      </w:r>
      <w:r w:rsidR="00196554" w:rsidRPr="00FC7860">
        <w:rPr>
          <w:rFonts w:eastAsia="Times New Roman"/>
        </w:rPr>
        <w:t>Technical Implementation: Configuration Management</w:t>
      </w:r>
      <w:bookmarkEnd w:id="32"/>
    </w:p>
    <w:p w14:paraId="5187CDD2"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Skills are managed through configurable parameters via administration console, enabling business stakeholders to adapt capability behavior without technical development requirements. The configuration framework implements intuitive management interfaces with contextual guidance, appropriate validation, and real-time preview capabilities that make adjustment accessible to non-technical administrators. For each skill, the configuration options expose behaviorally significant parameters while abstracting implementation complexity, focusing administrative attention on business-relevant decisions rather than technical details. The management architecture supports both global skill configuration that establishes organization-wide default behaviors and context-specific overrides that adapt capabilities for </w:t>
      </w:r>
      <w:proofErr w:type="gramStart"/>
      <w:r w:rsidRPr="00FC7860">
        <w:rPr>
          <w:rFonts w:ascii="Graphik Regular" w:eastAsia="Times New Roman" w:hAnsi="Graphik Regular" w:cs="Times New Roman"/>
          <w:kern w:val="0"/>
          <w14:ligatures w14:val="none"/>
        </w:rPr>
        <w:t>particular environments</w:t>
      </w:r>
      <w:proofErr w:type="gramEnd"/>
      <w:r w:rsidRPr="00FC7860">
        <w:rPr>
          <w:rFonts w:ascii="Graphik Regular" w:eastAsia="Times New Roman" w:hAnsi="Graphik Regular" w:cs="Times New Roman"/>
          <w:kern w:val="0"/>
          <w14:ligatures w14:val="none"/>
        </w:rPr>
        <w:t>, user segments, or business scenarios. For change management, the configuration system implements comprehensive versioning with comparison tools, scheduled activation options, and rollback capabilities that enable controlled evolution without operational disruption. The administration framework includes permission models that allow organizations to distribute configuration responsibility across different business stakeholders while maintaining appropriate governance boundaries. For complex implementations, the system supports configuration inheritance hierarchies where specialized settings build upon foundation parameters, reducing redundancy while enabling appropriate variation. The architecture includes validation frameworks that verify parameter consistency, identify potential conflicts, and ensure configurations remain within operational boundaries regardless of administrator actions. This sophisticated configuration approach enables continuous skill refinement driven by business stakeholders who understand operational requirements, without creating development dependencies that would delay adaptation to changing business needs or emerging usage patterns.</w:t>
      </w:r>
    </w:p>
    <w:p w14:paraId="61EFC1FC" w14:textId="3B6DFAB2" w:rsidR="00196554" w:rsidRPr="00FC7860" w:rsidRDefault="00FC7860" w:rsidP="00FC7860">
      <w:pPr>
        <w:pStyle w:val="Heading2"/>
        <w:rPr>
          <w:rFonts w:eastAsia="Times New Roman"/>
        </w:rPr>
      </w:pPr>
      <w:bookmarkStart w:id="33" w:name="_Toc197346495"/>
      <w:r>
        <w:rPr>
          <w:rFonts w:eastAsia="Times New Roman"/>
        </w:rPr>
        <w:t xml:space="preserve">Skills: </w:t>
      </w:r>
      <w:r w:rsidR="00196554" w:rsidRPr="00FC7860">
        <w:rPr>
          <w:rFonts w:eastAsia="Times New Roman"/>
        </w:rPr>
        <w:t>Pricing Approach: Core and Premium Skills</w:t>
      </w:r>
      <w:bookmarkEnd w:id="33"/>
    </w:p>
    <w:p w14:paraId="45F1D270"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Teleglass platform implements a tiered pricing approach where core integrations are included with platform subscription while premium/specialized skills are available as add-ons, enabling cost-effective implementation with appropriate capability expansion options. Core skills typically include fundamental </w:t>
      </w:r>
      <w:r w:rsidRPr="00FC7860">
        <w:rPr>
          <w:rFonts w:ascii="Graphik Regular" w:eastAsia="Times New Roman" w:hAnsi="Graphik Regular" w:cs="Times New Roman"/>
          <w:kern w:val="0"/>
          <w14:ligatures w14:val="none"/>
        </w:rPr>
        <w:lastRenderedPageBreak/>
        <w:t>capabilities required for most implementation scenarios—including basic enterprise connectors (CRM, e-commerce), standard communication functions, common document handling, general knowledge domains, and foundational analytical capabilities. These included skills enable organizations to implement valuable experiences immediately without additional licensing requirements. Premium skills address more specialized requirements or industry-specific capabilities—including advanced analytics, specialized system integrations, complex document processing, industry-specific knowledge domains, and sophisticated business process automation. These premium capabilities are offered through modular licensing that allows organizations to select specific advanced functions aligned with their implementation priorities without requiring comprehensive packages containing unnecessary capabilities. The platform typically offers both individual skill licensing for targeted enhancement and bundled packages organized around common implementation scenarios or industry requirements. For budget predictability, skill pricing models often include both perpetual access options with defined capability sets and subscription approaches that incorporate ongoing enhancements and expanding capabilities. The pricing framework includes clear value articulation that connects specific skill capabilities with business outcomes, helping organizations prioritize investments based on potential impact rather than technical capability alone. This flexible approach enables organizations to implement core functionality immediately while strategically expanding capabilities aligned with evolving business requirements and demonstrated value realization.</w:t>
      </w:r>
    </w:p>
    <w:p w14:paraId="6922F01F" w14:textId="4DE7D8BA" w:rsidR="00196554" w:rsidRPr="00FC7860" w:rsidRDefault="00FC7860" w:rsidP="00FC7860">
      <w:pPr>
        <w:pStyle w:val="Heading2"/>
        <w:rPr>
          <w:rFonts w:eastAsia="Times New Roman"/>
        </w:rPr>
      </w:pPr>
      <w:bookmarkStart w:id="34" w:name="_Toc197346496"/>
      <w:r>
        <w:rPr>
          <w:rFonts w:eastAsia="Times New Roman"/>
        </w:rPr>
        <w:t xml:space="preserve">Skills: </w:t>
      </w:r>
      <w:r w:rsidR="00196554" w:rsidRPr="00FC7860">
        <w:rPr>
          <w:rFonts w:eastAsia="Times New Roman"/>
        </w:rPr>
        <w:t>Pricing Approach: Custom Development</w:t>
      </w:r>
      <w:bookmarkEnd w:id="34"/>
    </w:p>
    <w:p w14:paraId="7C62C281"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Custom integration development is billed at professional services rates, providing flexible options for organizations with specialized requirements beyond standard platform capabilities. The development framework offers multiple engagement models including fixed-scope projects with defined deliverables and timelines, capacity-based arrangements with dedicated development resources, and mentored development where organizational technical teams receive guidance while implementing their own solutions. For consistent quality assurance, custom development follows standardized methodology with defined architecture reviews, security assessment, performance testing, and certification processes that ensure custom components maintain platform compatibility and operational reliability. The pricing structure typically includes distinct phases for requirements definition, architecture design, implementation development, testing validation, and production deployment, with appropriate milestones and approval gates throughout the process. For organizations implementing multiple custom skills, the professional services framework often offers development acceleration tools including reusable component libraries, testing frameworks, and implementation templates that reduce effort requirements for subsequent projects. The engagement model includes knowledge transfer components that build organizational capability for ongoing maintenance and enhancement, reducing long-term dependency on external resources. For specialized industries with unique requirements, the platform may offer domain-specific starter kits that accelerate development by providing foundation components aligned with </w:t>
      </w:r>
      <w:r w:rsidRPr="00FC7860">
        <w:rPr>
          <w:rFonts w:ascii="Graphik Regular" w:eastAsia="Times New Roman" w:hAnsi="Graphik Regular" w:cs="Times New Roman"/>
          <w:kern w:val="0"/>
          <w14:ligatures w14:val="none"/>
        </w:rPr>
        <w:lastRenderedPageBreak/>
        <w:t>common industry patterns. This flexible development approach enables organizations to extend platform capabilities with custom functionality precisely aligned with their specific business requirements, while maintaining the quality standards, operational reliability, and ongoing compatibility essential for mission-critical business processes.</w:t>
      </w:r>
    </w:p>
    <w:p w14:paraId="73CCC89E" w14:textId="373285F3" w:rsidR="00196554" w:rsidRPr="00FC7860" w:rsidRDefault="00FC7860" w:rsidP="00FC7860">
      <w:pPr>
        <w:pStyle w:val="Heading2"/>
        <w:rPr>
          <w:rFonts w:eastAsia="Times New Roman"/>
        </w:rPr>
      </w:pPr>
      <w:bookmarkStart w:id="35" w:name="_Toc197346497"/>
      <w:r>
        <w:rPr>
          <w:rFonts w:eastAsia="Times New Roman"/>
        </w:rPr>
        <w:t xml:space="preserve">Skills: </w:t>
      </w:r>
      <w:r w:rsidR="00196554" w:rsidRPr="00FC7860">
        <w:rPr>
          <w:rFonts w:eastAsia="Times New Roman"/>
        </w:rPr>
        <w:t>Pricing Approach: Volume Considerations</w:t>
      </w:r>
      <w:bookmarkEnd w:id="35"/>
    </w:p>
    <w:p w14:paraId="12395C0C"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Transaction volume-based pricing applies for high-usage skills, creating scalable cost structures aligned with actual utilization patterns and realized business value. The volume measurement frameworks implement appropriate transaction definitions for different skill categories—whether API calls for integration operations, processing units for analytical functions, throughput metrics for data transformation, or other usage dimensions relevant to specific capabilities. For predictable budgeting, the pricing structure typically includes volume tiers with decreasing unit costs at higher utilization levels, rewarding scale while maintaining reasonable costs during initial implementation and growth phases. Organizations can typically select from consumption-based models where charges accumulate based on actual usage patterns or capacity commitment approaches where predetermined volume levels are purchased at discounted rates. For seasonal businesses or organizations with variable demand patterns, the framework often includes flexible capacity options that allow temporary expansion during peak periods without long-term commitment requirements. The volume pricing includes detailed monitoring tools that provide visibility into usage patterns across different skills, organizational divisions, and time periods, enabling appropriate cost allocation and trend analysis for future capacity planning. For governance purposes, the framework supports usage controls including threshold alerts, approval workflows for capacity expansions, and optional hard limits that prevent unexpected cost escalation due to unusual usage patterns. This volume-sensitive approach ensures that organizations with high-utilization requirements can implement appropriate skills economically at scale, with costs that align proportionally with actual usage patterns and business value generation rather than arbitrarily increasing with organizational size or user counts.</w:t>
      </w:r>
    </w:p>
    <w:p w14:paraId="3D8CFB92" w14:textId="57EA7B00" w:rsidR="00196554" w:rsidRPr="00FC7860" w:rsidRDefault="00FC7860" w:rsidP="00FC7860">
      <w:pPr>
        <w:pStyle w:val="Heading2"/>
        <w:rPr>
          <w:rFonts w:eastAsia="Times New Roman"/>
        </w:rPr>
      </w:pPr>
      <w:bookmarkStart w:id="36" w:name="_Toc197346498"/>
      <w:r>
        <w:rPr>
          <w:rFonts w:eastAsia="Times New Roman"/>
        </w:rPr>
        <w:t xml:space="preserve">Skills: </w:t>
      </w:r>
      <w:r w:rsidR="00196554" w:rsidRPr="00FC7860">
        <w:rPr>
          <w:rFonts w:eastAsia="Times New Roman"/>
        </w:rPr>
        <w:t>Pricing Approach: API Access</w:t>
      </w:r>
      <w:bookmarkEnd w:id="36"/>
    </w:p>
    <w:p w14:paraId="649BE741"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r w:rsidRPr="00FC7860">
        <w:rPr>
          <w:rFonts w:ascii="Graphik Regular" w:eastAsia="Times New Roman" w:hAnsi="Graphik Regular" w:cs="Times New Roman"/>
          <w:kern w:val="0"/>
          <w14:ligatures w14:val="none"/>
        </w:rPr>
        <w:t xml:space="preserve">The platform provides API access for customer-developed integrations, enabling organizations to extend the skill ecosystem with custom capabilities while maintaining consistent platform integration. The API framework implements comprehensive documentation with interactive exploration tools, code samples across multiple programming languages, and reference implementations demonstrating best practices for common integration patterns. For development efficiency, the platform provides software development kits in major programming languages that handle authentication, serialization, error management, and other foundation requirements, allowing developers to focus on business logic rather than infrastructure complexity. The access framework supports multiple integration patterns including synchronous request/response for immediate </w:t>
      </w:r>
      <w:r w:rsidRPr="00FC7860">
        <w:rPr>
          <w:rFonts w:ascii="Graphik Regular" w:eastAsia="Times New Roman" w:hAnsi="Graphik Regular" w:cs="Times New Roman"/>
          <w:kern w:val="0"/>
          <w14:ligatures w14:val="none"/>
        </w:rPr>
        <w:lastRenderedPageBreak/>
        <w:t>operations, asynchronous processing for complex functions, event subscription for notification-based architectures, and batch processing for high-volume operations. For security and governance, the API implementation includes robust authentication, rate limiting, usage monitoring, and permission controls that ensure appropriate access management throughout the integration lifecycle. The pricing structure typically includes development access tiers that provide appropriate resources for building and testing integrations before production deployment, with separate production licensing based on actual utilization patterns once implementations go live. For organizations with extensive development requirements, the platform may offer dedicated environments, enhanced support channels, and advanced testing tools through premium development packages. This API approach provides technical teams with the flexibility to implement specialized capabilities precisely aligned with organizational requirements, while maintaining the security, reliability, and performance advantages of the core platform architecture through standardized integration patterns and comprehensive development frameworks.</w:t>
      </w:r>
    </w:p>
    <w:p w14:paraId="24B0F568"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p>
    <w:p w14:paraId="66185C0C" w14:textId="77777777" w:rsidR="00196554" w:rsidRPr="00FC7860" w:rsidRDefault="00196554" w:rsidP="00196554">
      <w:pPr>
        <w:spacing w:before="100" w:beforeAutospacing="1" w:after="100" w:afterAutospacing="1" w:line="240" w:lineRule="auto"/>
        <w:rPr>
          <w:rFonts w:ascii="Graphik Regular" w:eastAsia="Times New Roman" w:hAnsi="Graphik Regular" w:cs="Times New Roman"/>
          <w:kern w:val="0"/>
          <w14:ligatures w14:val="none"/>
        </w:rPr>
      </w:pPr>
    </w:p>
    <w:p w14:paraId="7944C688" w14:textId="77777777" w:rsidR="007176A3" w:rsidRPr="00FC7860" w:rsidRDefault="007176A3">
      <w:pPr>
        <w:rPr>
          <w:rFonts w:ascii="Graphik Regular" w:hAnsi="Graphik Regular"/>
        </w:rPr>
      </w:pPr>
    </w:p>
    <w:sectPr w:rsidR="007176A3" w:rsidRPr="00FC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raphik Regular">
    <w:panose1 w:val="020B0503030202060203"/>
    <w:charset w:val="4D"/>
    <w:family w:val="swiss"/>
    <w:notTrueType/>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54"/>
    <w:rsid w:val="00196554"/>
    <w:rsid w:val="003B3E3C"/>
    <w:rsid w:val="005E0E4D"/>
    <w:rsid w:val="00646A42"/>
    <w:rsid w:val="006C7DCD"/>
    <w:rsid w:val="007176A3"/>
    <w:rsid w:val="00CC3989"/>
    <w:rsid w:val="00DA0C77"/>
    <w:rsid w:val="00FC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58E99"/>
  <w15:chartTrackingRefBased/>
  <w15:docId w15:val="{F88F07F2-161D-534F-8B67-F478DA47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6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6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554"/>
    <w:rPr>
      <w:rFonts w:eastAsiaTheme="majorEastAsia" w:cstheme="majorBidi"/>
      <w:color w:val="272727" w:themeColor="text1" w:themeTint="D8"/>
    </w:rPr>
  </w:style>
  <w:style w:type="paragraph" w:styleId="Title">
    <w:name w:val="Title"/>
    <w:basedOn w:val="Normal"/>
    <w:next w:val="Normal"/>
    <w:link w:val="TitleChar"/>
    <w:uiPriority w:val="10"/>
    <w:qFormat/>
    <w:rsid w:val="00196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554"/>
    <w:pPr>
      <w:spacing w:before="160"/>
      <w:jc w:val="center"/>
    </w:pPr>
    <w:rPr>
      <w:i/>
      <w:iCs/>
      <w:color w:val="404040" w:themeColor="text1" w:themeTint="BF"/>
    </w:rPr>
  </w:style>
  <w:style w:type="character" w:customStyle="1" w:styleId="QuoteChar">
    <w:name w:val="Quote Char"/>
    <w:basedOn w:val="DefaultParagraphFont"/>
    <w:link w:val="Quote"/>
    <w:uiPriority w:val="29"/>
    <w:rsid w:val="00196554"/>
    <w:rPr>
      <w:i/>
      <w:iCs/>
      <w:color w:val="404040" w:themeColor="text1" w:themeTint="BF"/>
    </w:rPr>
  </w:style>
  <w:style w:type="paragraph" w:styleId="ListParagraph">
    <w:name w:val="List Paragraph"/>
    <w:basedOn w:val="Normal"/>
    <w:uiPriority w:val="34"/>
    <w:qFormat/>
    <w:rsid w:val="00196554"/>
    <w:pPr>
      <w:ind w:left="720"/>
      <w:contextualSpacing/>
    </w:pPr>
  </w:style>
  <w:style w:type="character" w:styleId="IntenseEmphasis">
    <w:name w:val="Intense Emphasis"/>
    <w:basedOn w:val="DefaultParagraphFont"/>
    <w:uiPriority w:val="21"/>
    <w:qFormat/>
    <w:rsid w:val="00196554"/>
    <w:rPr>
      <w:i/>
      <w:iCs/>
      <w:color w:val="0F4761" w:themeColor="accent1" w:themeShade="BF"/>
    </w:rPr>
  </w:style>
  <w:style w:type="paragraph" w:styleId="IntenseQuote">
    <w:name w:val="Intense Quote"/>
    <w:basedOn w:val="Normal"/>
    <w:next w:val="Normal"/>
    <w:link w:val="IntenseQuoteChar"/>
    <w:uiPriority w:val="30"/>
    <w:qFormat/>
    <w:rsid w:val="00196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554"/>
    <w:rPr>
      <w:i/>
      <w:iCs/>
      <w:color w:val="0F4761" w:themeColor="accent1" w:themeShade="BF"/>
    </w:rPr>
  </w:style>
  <w:style w:type="character" w:styleId="IntenseReference">
    <w:name w:val="Intense Reference"/>
    <w:basedOn w:val="DefaultParagraphFont"/>
    <w:uiPriority w:val="32"/>
    <w:qFormat/>
    <w:rsid w:val="00196554"/>
    <w:rPr>
      <w:b/>
      <w:bCs/>
      <w:smallCaps/>
      <w:color w:val="0F4761" w:themeColor="accent1" w:themeShade="BF"/>
      <w:spacing w:val="5"/>
    </w:rPr>
  </w:style>
  <w:style w:type="paragraph" w:styleId="NormalWeb">
    <w:name w:val="Normal (Web)"/>
    <w:basedOn w:val="Normal"/>
    <w:uiPriority w:val="99"/>
    <w:semiHidden/>
    <w:unhideWhenUsed/>
    <w:rsid w:val="0019655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next w:val="Normal"/>
    <w:autoRedefine/>
    <w:uiPriority w:val="39"/>
    <w:unhideWhenUsed/>
    <w:rsid w:val="00FC7860"/>
    <w:pPr>
      <w:tabs>
        <w:tab w:val="right" w:leader="underscore" w:pos="9350"/>
      </w:tabs>
      <w:spacing w:after="100"/>
    </w:pPr>
    <w:rPr>
      <w:rFonts w:eastAsia="Times New Roman"/>
    </w:rPr>
  </w:style>
  <w:style w:type="paragraph" w:styleId="TOC2">
    <w:name w:val="toc 2"/>
    <w:basedOn w:val="Normal"/>
    <w:next w:val="Normal"/>
    <w:autoRedefine/>
    <w:uiPriority w:val="39"/>
    <w:unhideWhenUsed/>
    <w:rsid w:val="00FC7860"/>
    <w:pPr>
      <w:spacing w:after="100"/>
      <w:ind w:left="240"/>
    </w:pPr>
  </w:style>
  <w:style w:type="character" w:styleId="Hyperlink">
    <w:name w:val="Hyperlink"/>
    <w:basedOn w:val="DefaultParagraphFont"/>
    <w:uiPriority w:val="99"/>
    <w:unhideWhenUsed/>
    <w:rsid w:val="00FC78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231984">
      <w:bodyDiv w:val="1"/>
      <w:marLeft w:val="0"/>
      <w:marRight w:val="0"/>
      <w:marTop w:val="0"/>
      <w:marBottom w:val="0"/>
      <w:divBdr>
        <w:top w:val="none" w:sz="0" w:space="0" w:color="auto"/>
        <w:left w:val="none" w:sz="0" w:space="0" w:color="auto"/>
        <w:bottom w:val="none" w:sz="0" w:space="0" w:color="auto"/>
        <w:right w:val="none" w:sz="0" w:space="0" w:color="auto"/>
      </w:divBdr>
    </w:div>
    <w:div w:id="590746589">
      <w:bodyDiv w:val="1"/>
      <w:marLeft w:val="0"/>
      <w:marRight w:val="0"/>
      <w:marTop w:val="0"/>
      <w:marBottom w:val="0"/>
      <w:divBdr>
        <w:top w:val="none" w:sz="0" w:space="0" w:color="auto"/>
        <w:left w:val="none" w:sz="0" w:space="0" w:color="auto"/>
        <w:bottom w:val="none" w:sz="0" w:space="0" w:color="auto"/>
        <w:right w:val="none" w:sz="0" w:space="0" w:color="auto"/>
      </w:divBdr>
    </w:div>
    <w:div w:id="995377462">
      <w:bodyDiv w:val="1"/>
      <w:marLeft w:val="0"/>
      <w:marRight w:val="0"/>
      <w:marTop w:val="0"/>
      <w:marBottom w:val="0"/>
      <w:divBdr>
        <w:top w:val="none" w:sz="0" w:space="0" w:color="auto"/>
        <w:left w:val="none" w:sz="0" w:space="0" w:color="auto"/>
        <w:bottom w:val="none" w:sz="0" w:space="0" w:color="auto"/>
        <w:right w:val="none" w:sz="0" w:space="0" w:color="auto"/>
      </w:divBdr>
    </w:div>
    <w:div w:id="164908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10823</Words>
  <Characters>61693</Characters>
  <Application>Microsoft Office Word</Application>
  <DocSecurity>0</DocSecurity>
  <Lines>514</Lines>
  <Paragraphs>144</Paragraphs>
  <ScaleCrop>false</ScaleCrop>
  <Company/>
  <LinksUpToDate>false</LinksUpToDate>
  <CharactersWithSpaces>72372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Sinderbrand</dc:creator>
  <cp:keywords/>
  <dc:description/>
  <cp:lastModifiedBy>Matt Sinderbrand</cp:lastModifiedBy>
  <cp:revision>3</cp:revision>
  <dcterms:created xsi:type="dcterms:W3CDTF">2025-05-05T16:52:00Z</dcterms:created>
  <dcterms:modified xsi:type="dcterms:W3CDTF">2025-05-05T18:08:00Z</dcterms:modified>
</cp:coreProperties>
</file>