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5E8" w:rsidRPr="00974FB8" w:rsidRDefault="007175E8" w:rsidP="00E17588">
      <w:pPr>
        <w:rPr>
          <w:rFonts w:asciiTheme="minorHAnsi" w:eastAsiaTheme="minorHAnsi" w:cs="MicrosoftYaHei" w:hint="eastAsia"/>
          <w:kern w:val="0"/>
          <w:sz w:val="24"/>
          <w:szCs w:val="24"/>
        </w:rPr>
      </w:pPr>
      <w:r w:rsidRPr="00974FB8">
        <w:rPr>
          <w:rFonts w:asciiTheme="minorHAnsi" w:eastAsiaTheme="minorHAnsi" w:cs="MicrosoftYaHei" w:hint="eastAsia"/>
          <w:kern w:val="0"/>
          <w:sz w:val="24"/>
          <w:szCs w:val="24"/>
        </w:rPr>
        <w:t>1</w:t>
      </w:r>
      <w:r w:rsidRPr="00974FB8">
        <w:rPr>
          <w:rFonts w:asciiTheme="minorHAnsi" w:eastAsiaTheme="minorHAnsi" w:cs="MicrosoftYaHei"/>
          <w:kern w:val="0"/>
          <w:sz w:val="24"/>
          <w:szCs w:val="24"/>
        </w:rPr>
        <w:t>.</w:t>
      </w:r>
    </w:p>
    <w:p w:rsidR="007175E8" w:rsidRPr="00974FB8" w:rsidRDefault="00E17588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  <w:proofErr w:type="gramStart"/>
      <w:r w:rsidRPr="00974FB8">
        <w:rPr>
          <w:rFonts w:asciiTheme="minorHAnsi" w:eastAsiaTheme="minorHAnsi" w:cs="MicrosoftYaHei"/>
          <w:kern w:val="0"/>
          <w:sz w:val="24"/>
          <w:szCs w:val="24"/>
        </w:rPr>
        <w:t>C</w:t>
      </w:r>
      <w:r w:rsidRPr="00974FB8">
        <w:rPr>
          <w:rFonts w:asciiTheme="minorHAnsi" w:eastAsiaTheme="minorHAnsi" w:cs="MicrosoftYaHei"/>
          <w:kern w:val="0"/>
          <w:sz w:val="24"/>
          <w:szCs w:val="24"/>
        </w:rPr>
        <w:t>ovariance</w:t>
      </w:r>
      <w:r w:rsidRPr="00974FB8">
        <w:rPr>
          <w:rFonts w:asciiTheme="minorHAnsi" w:eastAsiaTheme="minorHAnsi" w:cs="MicrosoftYaHei"/>
          <w:kern w:val="0"/>
          <w:sz w:val="24"/>
          <w:szCs w:val="24"/>
        </w:rPr>
        <w:t xml:space="preserve"> :</w:t>
      </w:r>
      <w:proofErr w:type="gramEnd"/>
      <w:r w:rsidRPr="00974FB8">
        <w:rPr>
          <w:rFonts w:asciiTheme="minorHAnsi" w:eastAsiaTheme="minorHAnsi" w:cs="MicrosoftYaHei"/>
          <w:kern w:val="0"/>
          <w:sz w:val="24"/>
          <w:szCs w:val="24"/>
        </w:rPr>
        <w:t xml:space="preserve"> </w:t>
      </w:r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To indicate how each probability variable is spread.</w:t>
      </w:r>
    </w:p>
    <w:p w:rsidR="00E17588" w:rsidRPr="00974FB8" w:rsidRDefault="00E17588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  <w:proofErr w:type="gramStart"/>
      <w:r w:rsidRPr="00974FB8">
        <w:rPr>
          <w:rFonts w:asciiTheme="minorHAnsi" w:eastAsiaTheme="minorHAnsi" w:cs="MicrosoftYaHei"/>
          <w:kern w:val="0"/>
          <w:sz w:val="24"/>
          <w:szCs w:val="24"/>
        </w:rPr>
        <w:t>C</w:t>
      </w:r>
      <w:r w:rsidRPr="00974FB8">
        <w:rPr>
          <w:rFonts w:asciiTheme="minorHAnsi" w:eastAsiaTheme="minorHAnsi" w:cs="MicrosoftYaHei"/>
          <w:kern w:val="0"/>
          <w:sz w:val="24"/>
          <w:szCs w:val="24"/>
        </w:rPr>
        <w:t>orrelation</w:t>
      </w:r>
      <w:r w:rsidRPr="00974FB8">
        <w:rPr>
          <w:rFonts w:asciiTheme="minorHAnsi" w:eastAsiaTheme="minorHAnsi" w:cs="MicrosoftYaHei"/>
          <w:kern w:val="0"/>
          <w:sz w:val="24"/>
          <w:szCs w:val="24"/>
        </w:rPr>
        <w:t xml:space="preserve"> :</w:t>
      </w:r>
      <w:proofErr w:type="gramEnd"/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 xml:space="preserve"> </w:t>
      </w:r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The value divided by the size of the variance in covariance</w:t>
      </w:r>
    </w:p>
    <w:p w:rsidR="00E17588" w:rsidRPr="00974FB8" w:rsidRDefault="00E17588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</w:p>
    <w:p w:rsidR="007175E8" w:rsidRPr="00974FB8" w:rsidRDefault="007175E8" w:rsidP="00E17588">
      <w:pPr>
        <w:rPr>
          <w:rFonts w:asciiTheme="minorHAnsi" w:eastAsiaTheme="minorHAnsi" w:cs="Helvetica" w:hint="eastAsia"/>
          <w:color w:val="000000"/>
          <w:sz w:val="24"/>
          <w:szCs w:val="24"/>
          <w:shd w:val="clear" w:color="auto" w:fill="FDFDFD"/>
        </w:rPr>
      </w:pPr>
      <w:r w:rsidRPr="00974FB8">
        <w:rPr>
          <w:rFonts w:asciiTheme="minorHAnsi" w:eastAsiaTheme="minorHAnsi" w:cs="Helvetica" w:hint="eastAsia"/>
          <w:color w:val="000000"/>
          <w:sz w:val="24"/>
          <w:szCs w:val="24"/>
          <w:shd w:val="clear" w:color="auto" w:fill="FDFDFD"/>
        </w:rPr>
        <w:t>2</w:t>
      </w:r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.</w:t>
      </w:r>
    </w:p>
    <w:p w:rsidR="00E17588" w:rsidRPr="00974FB8" w:rsidRDefault="00E17588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  <w:r w:rsidRPr="00974FB8">
        <w:rPr>
          <w:rFonts w:asciiTheme="minorHAnsi" w:eastAsiaTheme="minorHAnsi" w:cs="MicrosoftYaHei"/>
          <w:kern w:val="0"/>
          <w:sz w:val="24"/>
          <w:szCs w:val="24"/>
        </w:rPr>
        <w:t xml:space="preserve">efficient </w:t>
      </w:r>
      <w:proofErr w:type="gramStart"/>
      <w:r w:rsidRPr="00974FB8">
        <w:rPr>
          <w:rFonts w:asciiTheme="minorHAnsi" w:eastAsiaTheme="minorHAnsi" w:cs="MicrosoftYaHei"/>
          <w:kern w:val="0"/>
          <w:sz w:val="24"/>
          <w:szCs w:val="24"/>
        </w:rPr>
        <w:t>frontier</w:t>
      </w:r>
      <w:r w:rsidRPr="00974FB8">
        <w:rPr>
          <w:rFonts w:asciiTheme="minorHAnsi" w:eastAsiaTheme="minorHAnsi" w:cs="MicrosoftYaHei"/>
          <w:kern w:val="0"/>
          <w:sz w:val="24"/>
          <w:szCs w:val="24"/>
        </w:rPr>
        <w:t xml:space="preserve"> :</w:t>
      </w:r>
      <w:proofErr w:type="gramEnd"/>
      <w:r w:rsidRPr="00974FB8">
        <w:rPr>
          <w:rFonts w:asciiTheme="minorHAnsi" w:eastAsiaTheme="minorHAnsi" w:cs="MicrosoftYaHei"/>
          <w:kern w:val="0"/>
          <w:sz w:val="24"/>
          <w:szCs w:val="24"/>
        </w:rPr>
        <w:t xml:space="preserve"> </w:t>
      </w:r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Graph of the lowest-risk portfolio among those with the same risk, or the highest-risk portfolio with the same expected return.</w:t>
      </w:r>
    </w:p>
    <w:p w:rsidR="00E17588" w:rsidRPr="00974FB8" w:rsidRDefault="00E17588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</w:p>
    <w:p w:rsidR="007175E8" w:rsidRPr="00974FB8" w:rsidRDefault="007175E8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  <w:r w:rsidRPr="00974FB8">
        <w:rPr>
          <w:rFonts w:asciiTheme="minorHAnsi" w:eastAsiaTheme="minorHAnsi" w:cs="Helvetica" w:hint="eastAsia"/>
          <w:color w:val="000000"/>
          <w:sz w:val="24"/>
          <w:szCs w:val="24"/>
          <w:shd w:val="clear" w:color="auto" w:fill="FDFDFD"/>
        </w:rPr>
        <w:t>3</w:t>
      </w:r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.</w:t>
      </w:r>
    </w:p>
    <w:p w:rsidR="00E17588" w:rsidRPr="00974FB8" w:rsidRDefault="00E17588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  <w:r w:rsidRPr="00974FB8">
        <w:rPr>
          <w:rFonts w:asciiTheme="minorHAnsi" w:eastAsiaTheme="minorHAnsi" w:cs="MicrosoftYaHei"/>
          <w:kern w:val="0"/>
          <w:sz w:val="24"/>
          <w:szCs w:val="24"/>
        </w:rPr>
        <w:t xml:space="preserve">tangent </w:t>
      </w:r>
      <w:proofErr w:type="gramStart"/>
      <w:r w:rsidRPr="00974FB8">
        <w:rPr>
          <w:rFonts w:asciiTheme="minorHAnsi" w:eastAsiaTheme="minorHAnsi" w:cs="MicrosoftYaHei"/>
          <w:kern w:val="0"/>
          <w:sz w:val="24"/>
          <w:szCs w:val="24"/>
        </w:rPr>
        <w:t>portfolio</w:t>
      </w:r>
      <w:r w:rsidRPr="00974FB8">
        <w:rPr>
          <w:rFonts w:asciiTheme="minorHAnsi" w:eastAsiaTheme="minorHAnsi" w:cs="MicrosoftYaHei"/>
          <w:kern w:val="0"/>
          <w:sz w:val="24"/>
          <w:szCs w:val="24"/>
        </w:rPr>
        <w:t xml:space="preserve"> :</w:t>
      </w:r>
      <w:proofErr w:type="gramEnd"/>
      <w:r w:rsidRPr="00974FB8">
        <w:rPr>
          <w:rFonts w:asciiTheme="minorHAnsi" w:eastAsiaTheme="minorHAnsi" w:cs="MicrosoftYaHei"/>
          <w:kern w:val="0"/>
          <w:sz w:val="24"/>
          <w:szCs w:val="24"/>
        </w:rPr>
        <w:t xml:space="preserve"> </w:t>
      </w:r>
      <w:r w:rsidR="007175E8"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The point at which the proportion of the non-hazardous asset is zero, the sum of the asset's proportion vector shall be one</w:t>
      </w:r>
    </w:p>
    <w:p w:rsidR="007175E8" w:rsidRPr="00974FB8" w:rsidRDefault="007175E8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</w:p>
    <w:p w:rsidR="007175E8" w:rsidRPr="00974FB8" w:rsidRDefault="007175E8" w:rsidP="00E17588">
      <w:pPr>
        <w:rPr>
          <w:rFonts w:asciiTheme="minorHAnsi" w:eastAsiaTheme="minorHAnsi" w:cs="Helvetica" w:hint="eastAsia"/>
          <w:color w:val="000000"/>
          <w:sz w:val="24"/>
          <w:szCs w:val="24"/>
          <w:shd w:val="clear" w:color="auto" w:fill="FDFDFD"/>
        </w:rPr>
      </w:pPr>
      <w:r w:rsidRPr="00974FB8">
        <w:rPr>
          <w:rFonts w:asciiTheme="minorHAnsi" w:eastAsiaTheme="minorHAnsi" w:cs="Helvetica" w:hint="eastAsia"/>
          <w:color w:val="000000"/>
          <w:sz w:val="24"/>
          <w:szCs w:val="24"/>
          <w:shd w:val="clear" w:color="auto" w:fill="FDFDFD"/>
        </w:rPr>
        <w:t>4</w:t>
      </w:r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.</w:t>
      </w:r>
    </w:p>
    <w:p w:rsidR="007175E8" w:rsidRDefault="007175E8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hedging investor</w:t>
      </w:r>
      <w:r w:rsidRPr="00974FB8">
        <w:rPr>
          <w:rFonts w:asciiTheme="minorHAnsi" w:eastAsiaTheme="minorHAnsi" w:cs="Helvetica"/>
          <w:color w:val="000000"/>
          <w:sz w:val="24"/>
          <w:szCs w:val="24"/>
        </w:rPr>
        <w:t xml:space="preserve">, </w:t>
      </w:r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homogeneous expectations of investors</w:t>
      </w:r>
      <w:r w:rsidRPr="00974FB8">
        <w:rPr>
          <w:rFonts w:asciiTheme="minorHAnsi" w:eastAsiaTheme="minorHAnsi" w:cs="Helvetica"/>
          <w:color w:val="000000"/>
          <w:sz w:val="24"/>
          <w:szCs w:val="24"/>
        </w:rPr>
        <w:t xml:space="preserve">, </w:t>
      </w:r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full capital market</w:t>
      </w:r>
      <w:r w:rsidRPr="00974FB8">
        <w:rPr>
          <w:rFonts w:asciiTheme="minorHAnsi" w:eastAsiaTheme="minorHAnsi" w:cs="Helvetica"/>
          <w:color w:val="000000"/>
          <w:sz w:val="24"/>
          <w:szCs w:val="24"/>
        </w:rPr>
        <w:t xml:space="preserve">, </w:t>
      </w:r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the existence of risk-free assets</w:t>
      </w:r>
      <w:r w:rsidRPr="00974FB8">
        <w:rPr>
          <w:rFonts w:asciiTheme="minorHAnsi" w:eastAsiaTheme="minorHAnsi" w:cs="Helvetica"/>
          <w:color w:val="000000"/>
          <w:sz w:val="24"/>
          <w:szCs w:val="24"/>
        </w:rPr>
        <w:t xml:space="preserve">, </w:t>
      </w:r>
      <w:r w:rsidRPr="00974FB8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single period</w:t>
      </w:r>
    </w:p>
    <w:p w:rsidR="00974FB8" w:rsidRDefault="00974FB8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</w:p>
    <w:p w:rsidR="00974FB8" w:rsidRDefault="00974FB8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asciiTheme="minorHAnsi" w:eastAsiaTheme="minorHAnsi" w:cs="Helvetica" w:hint="eastAsia"/>
          <w:color w:val="000000"/>
          <w:sz w:val="24"/>
          <w:szCs w:val="24"/>
          <w:shd w:val="clear" w:color="auto" w:fill="FDFDFD"/>
        </w:rPr>
        <w:t>5</w:t>
      </w:r>
      <w: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.</w:t>
      </w:r>
      <w:r w:rsidR="00EB4F96" w:rsidRPr="00EB4F96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 xml:space="preserve"> </w:t>
      </w:r>
      <w:r w:rsidR="00EB4F96" w:rsidRPr="00EB4F96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a model that describes the relationship between the expected return and risk of a capital asset.</w:t>
      </w:r>
    </w:p>
    <w:p w:rsidR="00EB4F96" w:rsidRDefault="00EB4F96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</w:p>
    <w:p w:rsidR="00EB4F96" w:rsidRDefault="00EB4F96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asciiTheme="minorHAnsi" w:eastAsiaTheme="minorHAnsi" w:cs="Helvetica" w:hint="eastAsia"/>
          <w:color w:val="000000"/>
          <w:sz w:val="24"/>
          <w:szCs w:val="24"/>
          <w:shd w:val="clear" w:color="auto" w:fill="FDFDFD"/>
        </w:rPr>
        <w:t>6</w:t>
      </w:r>
      <w: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.</w:t>
      </w:r>
      <w:r w:rsidR="005E7BE3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 xml:space="preserve"> </w:t>
      </w:r>
      <w:r w:rsidR="005E7BE3" w:rsidRPr="005E7BE3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 xml:space="preserve">Among the many lines that combine risk and risk-free assets, the line that </w:t>
      </w:r>
      <w:proofErr w:type="gramStart"/>
      <w:r w:rsidR="005E7BE3" w:rsidRPr="005E7BE3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comes in contact with</w:t>
      </w:r>
      <w:proofErr w:type="gramEnd"/>
      <w:r w:rsidR="005E7BE3" w:rsidRPr="005E7BE3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 xml:space="preserve"> an efficient portfolio line</w:t>
      </w:r>
    </w:p>
    <w:p w:rsidR="009C4DA2" w:rsidRDefault="009C4DA2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</w:p>
    <w:p w:rsidR="009C4DA2" w:rsidRDefault="009C4DA2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  <w:r>
        <w:rPr>
          <w:rFonts w:asciiTheme="minorHAnsi" w:eastAsiaTheme="minorHAnsi" w:cs="Helvetica" w:hint="eastAsia"/>
          <w:color w:val="000000"/>
          <w:sz w:val="24"/>
          <w:szCs w:val="24"/>
          <w:shd w:val="clear" w:color="auto" w:fill="FDFDFD"/>
        </w:rPr>
        <w:t>7</w:t>
      </w:r>
      <w: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 xml:space="preserve">. </w:t>
      </w:r>
      <w:r w:rsidRPr="009C4DA2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Stock market lines that are linked by plotting the expected yield corresponding to each beta value</w:t>
      </w:r>
    </w:p>
    <w:p w:rsidR="009C4DA2" w:rsidRDefault="009C4DA2" w:rsidP="00E17588">
      <w:pP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</w:pPr>
    </w:p>
    <w:p w:rsidR="009C4DA2" w:rsidRDefault="009C4DA2" w:rsidP="00E17588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Theme="minorHAnsi" w:eastAsiaTheme="minorHAnsi" w:cs="Helvetica" w:hint="eastAsia"/>
          <w:color w:val="000000"/>
          <w:sz w:val="24"/>
          <w:szCs w:val="24"/>
          <w:shd w:val="clear" w:color="auto" w:fill="FDFDFD"/>
        </w:rPr>
        <w:t>8</w:t>
      </w:r>
      <w:r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>.</w:t>
      </w:r>
      <w:r w:rsidR="000612CB">
        <w:rPr>
          <w:rFonts w:asciiTheme="minorHAnsi" w:eastAsiaTheme="minorHAnsi" w:cs="Helvetica"/>
          <w:color w:val="000000"/>
          <w:sz w:val="24"/>
          <w:szCs w:val="24"/>
          <w:shd w:val="clear" w:color="auto" w:fill="FDFDFD"/>
        </w:rPr>
        <w:t xml:space="preserve"> </w:t>
      </w:r>
      <w:r w:rsidR="000612CB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The CAL, which is the slope of CAL and has a high Sharp Ratio, always brings greater utility to any investor compared to the lower CAL</w:t>
      </w:r>
    </w:p>
    <w:p w:rsidR="000569FA" w:rsidRDefault="000569FA" w:rsidP="00E17588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:rsidR="000569FA" w:rsidRDefault="000569FA" w:rsidP="00E17588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9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 A</w:t>
      </w:r>
      <w:r w:rsidRPr="000569FA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ctive management thinks the market is inefficient and passive management thinks the market is efficient.</w:t>
      </w:r>
    </w:p>
    <w:p w:rsidR="000569FA" w:rsidRDefault="000569FA" w:rsidP="00E17588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:rsidR="000569FA" w:rsidRPr="000569FA" w:rsidRDefault="000569FA" w:rsidP="00E17588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1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0.</w:t>
      </w:r>
      <w:r w:rsidR="001D1D6B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1D1D6B" w:rsidRPr="001D1D6B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As it is a strategy to invest in accordance with the Korea Composite Stock Price Index, it is possible to cope w</w:t>
      </w:r>
      <w:bookmarkStart w:id="0" w:name="_GoBack"/>
      <w:bookmarkEnd w:id="0"/>
      <w:r w:rsidR="001D1D6B" w:rsidRPr="001D1D6B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ith the situation flexibly.</w:t>
      </w:r>
    </w:p>
    <w:sectPr w:rsidR="000569FA" w:rsidRPr="000569FA" w:rsidSect="00FE5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88"/>
    <w:rsid w:val="000569FA"/>
    <w:rsid w:val="000612CB"/>
    <w:rsid w:val="00151F5F"/>
    <w:rsid w:val="001D1D6B"/>
    <w:rsid w:val="00384C37"/>
    <w:rsid w:val="005E7BE3"/>
    <w:rsid w:val="007175E8"/>
    <w:rsid w:val="00974FB8"/>
    <w:rsid w:val="009C4DA2"/>
    <w:rsid w:val="00BC54BF"/>
    <w:rsid w:val="00E17588"/>
    <w:rsid w:val="00EB4F96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F009"/>
  <w15:chartTrackingRefBased/>
  <w15:docId w15:val="{7B76921C-1B52-4510-90CC-F24A14B2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="바탕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7</cp:revision>
  <dcterms:created xsi:type="dcterms:W3CDTF">2020-05-30T08:52:00Z</dcterms:created>
  <dcterms:modified xsi:type="dcterms:W3CDTF">2020-05-30T09:35:00Z</dcterms:modified>
</cp:coreProperties>
</file>