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Pathological sign prevalence (%) and standard errors (in brackets) across treatments.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Trt.ID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Ascites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Dark body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Exopthlamia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Eye haemorrhage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Grey kidney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Mouth haemorrhage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Skin haemorrhage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Swollen kidney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Swollen spleen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Visceral haemorrhage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11.1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(6.0)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(3.4)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24.1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(7.9)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(9.3)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(8.3)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88.9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(6.0)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55.6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(8.8)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23.1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80.8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(7.7)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35.7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96.2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46.2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57.7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(9.8)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88.5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(6.3)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64.3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42.9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88.5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42.3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76.9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(8.3)</w:t>
            </w:r>
          </w:p>
        </w:tc>
      </w:tr>
      <w:tr>
        <w:trPr>
          <w:trHeight w:val="360" w:hRule="auto"/>
        </w:trPr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(5.0)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(3.5)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17.9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(7.2)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96.3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(3.6)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60.7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(9.2)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(9.4)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88.9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(6.0)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(9.1)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74.1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Global-P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0.3718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0.4427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0.5264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0.8409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0.0023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0.2995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0.9239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0.8184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0.3737</w:t>
            </w:r>
          </w:p>
        </w:tc>
        <w:tc>
          <w:tcPr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0.4818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single" w:sz="8" w:space="0" w:color="FFFFFF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 every pathological sign, treatments were compared using logistic regression and likelihood ratio tests. Letters are based on pairwise comparisons of Trt.ID with p-values adjusted using the Benjamini-Hochberg method.</w:t>
            </w:r>
          </w:p>
        </w:tc>
      </w:tr>
    </w:tbl>
    <w:p>
      <w:pPr/>
      <w:r>
        <w:br w:type="page"/>
      </w:r>
    </w:p>
    <w:p>
      <w:pPr>
        <w:pStyle w:val="Tabl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2. Pathological signs prevalence (%) and standard errors (in brackets) across treatments.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Pathology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Trt.ID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Prevalence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Global-P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(significance of treatment)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Letters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Ascites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11.1 (6.0)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 w:val="restart"/>
            <w:tcBorders>
              <w:bottom w:val="dashed" w:sz="8" w:space="0" w:color="D3D3D3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23.1 (8.3)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24.0 (8.5)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15.4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 (5.0)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Dark body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0.4427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(3.5)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Exopthlamia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(3.4)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0.5264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 (0.0)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Eye haemorrhage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24.1 (7.9)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0.8409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 (6.6)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 (7.8)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 (8.2)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17.9 (7.2)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Grey kidney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63.0 (9.3)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0.0023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80.8 (7.7)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60.0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88.5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96.3 (3.6)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Mouth haemorrhage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72.4 (8.3)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0.2995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 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75.0 (8.2)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64.3 (9.1)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60.7 (9.2)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Skin haemorrhage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41.4 (9.1)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0.9239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35.7 (9.1)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46.4 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42.9 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46.4 (9.4)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Swollen kidney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88.9 (6.0)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0.8184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96.2 (3.8)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92.0 (5.4)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88.5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88.9 (6.0)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Swollen spleen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55.6 (9.6)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0.3737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46.2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60.0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42.3 (9.7)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 (9.1)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Visceral haemorrhage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70.4 (8.8)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 w:val="restart"/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0.4818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57.7 (9.7)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60.0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76.9 (8.3)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74.1 (8.4)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single" w:sz="8" w:space="0" w:color="FFFFFF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 every pathological sign, treatments were compared pairwise using logistic regression and likelihood ratio tests. Letters are based on pairwise comparisons of Trt.ID with p-values adjusted using the Benjamini-Hochberg method.</w:t>
            </w:r>
          </w:p>
        </w:tc>
      </w:tr>
    </w:tbl>
    <w:p>
      <w:pPr/>
      <w:r>
        <w:br w:type="page"/>
      </w:r>
    </w:p>
    <w:p>
      <w:pPr>
        <w:pStyle w:val="Tabl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3. Comparison of pathological sign prevalence across pairs of treatments.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4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Pathology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Compared pair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Ascites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0.6068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0.6068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0.7174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0.7174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0.9381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0.6863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0.5240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0.6863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0.5240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0.6863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Dark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Exopthlamia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Eye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haemorrhage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0.9397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0.8971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Grey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kidney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0.4889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0.3388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Mouth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haemorrhage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0.4039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0.8245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0.5993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0.4039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0.5993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0.5993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0.5993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0.5993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0.8245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Skin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haemorrhage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0.9851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Swollen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kidney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dashed" w:sz="8" w:space="0" w:color="D3D3D3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Swollen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spleen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0.7048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0.7801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0.6682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0.6682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0.7801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0.6532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0.6682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0.7724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dashed" w:sz="8" w:space="0" w:color="D3D3D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0.6532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666666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Visceral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haemorrhage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B</w:t>
            </w:r>
          </w:p>
        </w:tc>
        <w:tc>
          <w:tcPr>
            <w:tcBorders>
              <w:bottom w:val="none" w:sz="0" w:space="0" w:color="000000"/>
              <w:top w:val="dashed" w:sz="8" w:space="0" w:color="D3D3D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 vs.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 vs. 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0.8670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single" w:sz="8" w:space="0" w:color="FFFFFF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 for every pathological sign was fitted to a logistic regression model used to calculate P values. Pairwise comparison of treatments were conducted using likelihood ratio tests with p-values adjusted for multiple comparisons using the Benjamini-Hochberg method. Different letters denote significantly different groups.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2026-07-05T21:27:39Z</dcterms:modified>
  <cp:category/>
</cp:coreProperties>
</file>