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Pathological sign prevalence (%) and standard errors (in brackets) across treatments.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Trt.ID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Dark body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Exopthlamia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Eye haemorrhage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Grey kidney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Mouth haemorrhage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 haemorrhage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kidney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spleen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Visceral haemorrhage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(9.3)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(7.7)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(6.3)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(8.3)</w:t>
            </w:r>
          </w:p>
        </w:tc>
      </w:tr>
      <w:tr>
        <w:trPr>
          <w:trHeight w:val="360" w:hRule="auto"/>
        </w:trPr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(5.0)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(3.5)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(3.6)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Global-P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0.3718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0.4427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0.5264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0.8409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0.0023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0.2995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0.9239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0.8184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0.3737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0.4818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single" w:sz="8" w:space="0" w:color="FFFFFF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every pathological sign, treatments were compared using logistic regression and likelihood ratio tests. Letters are based on pairwise comparisons of Trt.ID with p-values adjusted using the Benjamini-Hochberg method.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Pathological signs prevalence (%) and standard errors (in brackets) across treatments.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Pathology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Trt.ID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Prevalence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Global-P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(significance of treatment)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Letters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 (6.0)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 (5.0)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Dark body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0.4427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(3.5)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Exopthlamia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(3.4)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0.5264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Eye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 (7.9)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0.8409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 (6.6)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 (7.2)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Grey 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 (9.3)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0.0023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 (3.6)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Mouth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 (8.3)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0.2995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 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 (9.2)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41.4 (9.1)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0.9239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 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 (9.4)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 (6.0)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0.8184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96.2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 (6.0)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spleen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 (9.6)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0.3737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 (9.1)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Visceral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70.4 (8.8)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0.4818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57.7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74.1 (8.4)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single" w:sz="8" w:space="0" w:color="FFFFFF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every pathological sign, treatments were compared pairwise using logistic regression and likelihood ratio tests. Letters are based on pairwise comparisons of Trt.ID with p-values adjusted using the Benjamini-Hochberg method.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Comparison of pathological sign prevalence across pairs of treatments.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4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Pathology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Compared pair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0.7174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0.7174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0.9381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Dark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Exopthlamia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Eye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Grey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0.3388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Mouth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spleen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Visceral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single" w:sz="8" w:space="0" w:color="FFFFFF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 for every pathological sign was fitted to a logistic regression model used to calculate P values. Pairwise comparison of treatments were conducted using likelihood ratio tests. P-values from pairwise comparison were adjusted using the Benjamini-Hochberg method. Different letters denote significantly different groups.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2026-07-05T17:15:16Z</dcterms:modified>
  <cp:category/>
</cp:coreProperties>
</file>