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Pathological sign prevalence (%) and standard errors (in brackets) across treatments.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Trt.ID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Ascites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Dark body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Exopthlamia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haemorrhage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Grey kidney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 haemorrhage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haemorrhage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Swollen kidney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Swollen spleen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Visceral haemorrhage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(9.3)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(7.7)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(9.8)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(8.3)</w:t>
            </w:r>
          </w:p>
        </w:tc>
      </w:tr>
      <w:tr>
        <w:trPr>
          <w:trHeight w:val="360" w:hRule="auto"/>
        </w:trPr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(5.0)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(7.2)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(9.2)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(9.4)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(9.1)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Global-P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0.3718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0.4427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0.5264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0.8409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0.2995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0.9239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0.8184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0.3737</w:t>
            </w:r>
          </w:p>
        </w:tc>
        <w:tc>
          <w:tcPr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0.4818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single" w:sz="8" w:space="0" w:color="FFFFFF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 every pathological sign, treatments were compared using logistic regression and likelihood ratio tests. Letters are based on pairwise comparisons of Trt.ID with p-values adjusted using the Benjamini-Hochberg method.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Pathological signs prevalence (%) and standard errors (in brackets) across treatments.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Pathology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Trt.ID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Prevalence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Global-P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(significance of treatment)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Letters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Ascites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 (6.0)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 w:val="restart"/>
            <w:tcBorders>
              <w:bottom w:val="dashed" w:sz="8" w:space="0" w:color="D3D3D3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 (5.0)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Dark body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0.4427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 (3.5)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Exopthlamia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 (3.4)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0.5264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 (7.9)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0.8409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 (6.6)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 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 (7.2)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Grey kidney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 (9.3)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 (3.6)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 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 (8.3)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0.2995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 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 (9.1)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 (9.2)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 (9.1)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0.9239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 (9.1)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 (9.4)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Swollen kidney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 (6.0)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0.8184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 (6.0)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Swollen spleen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 (9.6)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0.3737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 (9.1)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Visceral 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 (8.8)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 w:val="restart"/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0.4818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74.1 (8.4)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FFFFFF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 every pathological sign, treatments were compared pairwise using logistic regression and likelihood ratio tests. Letters are based on pairwise comparisons of Trt.ID with p-values adjusted using the Benjamini-Hochberg method.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Comparison of pathological sign prevalence across pairs of treatments.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4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Pathology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Compared pair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Ascites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0.9381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Dark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Exopthlamia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Grey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kidney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0.3388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0.8245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Swollen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kidney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8" w:space="0" w:color="D3D3D3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Swollen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spleen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0.7724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dashed" w:sz="8" w:space="0" w:color="D3D3D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Visceral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haemorrhage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B</w:t>
            </w:r>
          </w:p>
        </w:tc>
        <w:tc>
          <w:tcPr>
            <w:tcBorders>
              <w:bottom w:val="none" w:sz="0" w:space="0" w:color="000000"/>
              <w:top w:val="dashed" w:sz="8" w:space="0" w:color="D3D3D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 vs. 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vs. 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0.8670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single" w:sz="8" w:space="0" w:color="FFFFFF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for every pathological sign was fitted to a logistic regression model used to calculate P values. Pairwise comparison of treatments were conducted using likelihood ratio tests with p-values adjusted for multiple comparisons using the Benjamini-Hochberg method. Different letters denote significantly different groups.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2026-07-05T21:44:51Z</dcterms:modified>
  <cp:category/>
</cp:coreProperties>
</file>