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標題"/>
        <w:spacing w:line="336" w:lineRule="auto"/>
        <w:jc w:val="center"/>
        <w:rPr>
          <w:rFonts w:ascii="標楷體-繁" w:cs="標楷體-繁" w:hAnsi="標楷體-繁" w:eastAsia="標楷體-繁"/>
          <w:sz w:val="42"/>
          <w:szCs w:val="42"/>
        </w:rPr>
      </w:pPr>
      <w:r>
        <w:rPr>
          <w:rFonts w:eastAsia="標楷體-繁" w:hint="eastAsia"/>
          <w:sz w:val="42"/>
          <w:szCs w:val="42"/>
          <w:rtl w:val="0"/>
          <w:lang w:val="zh-TW" w:eastAsia="zh-TW"/>
        </w:rPr>
        <w:t>櫻花澍社區郵件、掛號、包裹及轉交寄物、退</w:t>
      </w:r>
      <w:r>
        <w:rPr>
          <w:rFonts w:ascii="標楷體-繁" w:hAnsi="標楷體-繁"/>
          <w:sz w:val="42"/>
          <w:szCs w:val="42"/>
          <w:rtl w:val="0"/>
          <w:lang w:val="zh-TW" w:eastAsia="zh-TW"/>
        </w:rPr>
        <w:t>(</w:t>
      </w:r>
      <w:r>
        <w:rPr>
          <w:rFonts w:eastAsia="標楷體-繁" w:hint="eastAsia"/>
          <w:sz w:val="42"/>
          <w:szCs w:val="42"/>
          <w:rtl w:val="0"/>
          <w:lang w:val="zh-TW" w:eastAsia="zh-TW"/>
        </w:rPr>
        <w:t>換</w:t>
      </w:r>
      <w:r>
        <w:rPr>
          <w:rFonts w:ascii="標楷體-繁" w:hAnsi="標楷體-繁"/>
          <w:sz w:val="42"/>
          <w:szCs w:val="42"/>
          <w:rtl w:val="0"/>
          <w:lang w:val="zh-TW" w:eastAsia="zh-TW"/>
        </w:rPr>
        <w:t>)</w:t>
      </w:r>
      <w:r>
        <w:rPr>
          <w:rFonts w:eastAsia="標楷體-繁" w:hint="eastAsia"/>
          <w:sz w:val="42"/>
          <w:szCs w:val="42"/>
          <w:rtl w:val="0"/>
          <w:lang w:val="zh-TW" w:eastAsia="zh-TW"/>
        </w:rPr>
        <w:t>貨管理辦法</w:t>
      </w:r>
    </w:p>
    <w:p>
      <w:pPr>
        <w:pStyle w:val="內文"/>
        <w:spacing w:line="384" w:lineRule="auto"/>
        <w:jc w:val="right"/>
        <w:rPr>
          <w:rFonts w:ascii="標楷體-繁" w:cs="標楷體-繁" w:hAnsi="標楷體-繁" w:eastAsia="標楷體-繁"/>
          <w:lang w:val="zh-TW" w:eastAsia="zh-TW"/>
        </w:rPr>
      </w:pPr>
      <w:r>
        <w:rPr>
          <w:rFonts w:ascii="標楷體-繁" w:hAnsi="標楷體-繁"/>
          <w:rtl w:val="0"/>
          <w:lang w:val="zh-TW" w:eastAsia="zh-TW"/>
        </w:rPr>
        <w:t>112</w:t>
      </w:r>
      <w:r>
        <w:rPr>
          <w:rFonts w:eastAsia="標楷體-繁" w:hint="eastAsia"/>
          <w:rtl w:val="0"/>
          <w:lang w:val="zh-TW" w:eastAsia="zh-TW"/>
        </w:rPr>
        <w:t>年</w:t>
      </w:r>
      <w:r>
        <w:rPr>
          <w:rFonts w:ascii="標楷體-繁" w:hAnsi="標楷體-繁"/>
          <w:rtl w:val="0"/>
          <w:lang w:val="zh-TW" w:eastAsia="zh-TW"/>
        </w:rPr>
        <w:t>4</w:t>
      </w:r>
      <w:r>
        <w:rPr>
          <w:rFonts w:eastAsia="標楷體-繁" w:hint="eastAsia"/>
          <w:rtl w:val="0"/>
          <w:lang w:val="zh-TW" w:eastAsia="zh-TW"/>
        </w:rPr>
        <w:t>月</w:t>
      </w:r>
      <w:r>
        <w:rPr>
          <w:rFonts w:ascii="標楷體-繁" w:hAnsi="標楷體-繁"/>
          <w:rtl w:val="0"/>
          <w:lang w:val="zh-TW" w:eastAsia="zh-TW"/>
        </w:rPr>
        <w:t>15</w:t>
      </w:r>
      <w:r>
        <w:rPr>
          <w:rFonts w:eastAsia="標楷體-繁" w:hint="eastAsia"/>
          <w:rtl w:val="0"/>
          <w:lang w:val="zh-TW" w:eastAsia="zh-TW"/>
        </w:rPr>
        <w:t>日初訂</w:t>
      </w:r>
    </w:p>
    <w:p>
      <w:pPr>
        <w:pStyle w:val="內文"/>
        <w:spacing w:line="384" w:lineRule="auto"/>
        <w:jc w:val="right"/>
        <w:rPr>
          <w:rFonts w:ascii="標楷體-繁" w:cs="標楷體-繁" w:hAnsi="標楷體-繁" w:eastAsia="標楷體-繁"/>
          <w:lang w:val="zh-TW" w:eastAsia="zh-TW"/>
        </w:rPr>
      </w:pPr>
      <w:r>
        <w:rPr>
          <w:rFonts w:ascii="標楷體-繁" w:hAnsi="標楷體-繁"/>
          <w:rtl w:val="0"/>
          <w:lang w:val="zh-TW" w:eastAsia="zh-TW"/>
        </w:rPr>
        <w:t>113</w:t>
      </w:r>
      <w:r>
        <w:rPr>
          <w:rFonts w:eastAsia="標楷體-繁" w:hint="eastAsia"/>
          <w:rtl w:val="0"/>
          <w:lang w:val="zh-TW" w:eastAsia="zh-TW"/>
        </w:rPr>
        <w:t>年</w:t>
      </w:r>
      <w:r>
        <w:rPr>
          <w:rFonts w:ascii="標楷體-繁" w:hAnsi="標楷體-繁"/>
          <w:rtl w:val="0"/>
          <w:lang w:val="zh-TW" w:eastAsia="zh-TW"/>
        </w:rPr>
        <w:t>9</w:t>
      </w:r>
      <w:r>
        <w:rPr>
          <w:rFonts w:eastAsia="標楷體-繁" w:hint="eastAsia"/>
          <w:rtl w:val="0"/>
          <w:lang w:val="zh-TW" w:eastAsia="zh-TW"/>
        </w:rPr>
        <w:t>月</w:t>
      </w:r>
      <w:r>
        <w:rPr>
          <w:rFonts w:ascii="標楷體-繁" w:hAnsi="標楷體-繁"/>
          <w:rtl w:val="0"/>
          <w:lang w:val="zh-TW" w:eastAsia="zh-TW"/>
        </w:rPr>
        <w:t>12</w:t>
      </w:r>
      <w:r>
        <w:rPr>
          <w:rFonts w:eastAsia="標楷體-繁" w:hint="eastAsia"/>
          <w:rtl w:val="0"/>
          <w:lang w:val="zh-TW" w:eastAsia="zh-TW"/>
        </w:rPr>
        <w:t>日第一次修訂</w:t>
      </w:r>
    </w:p>
    <w:p>
      <w:pPr>
        <w:pStyle w:val="預設值"/>
        <w:widowControl w:val="0"/>
        <w:bidi w:val="0"/>
        <w:spacing w:before="3" w:line="240" w:lineRule="auto"/>
        <w:ind w:left="0" w:right="0" w:firstLine="0"/>
        <w:jc w:val="left"/>
        <w:rPr>
          <w:rFonts w:ascii="標楷體-繁" w:cs="標楷體-繁" w:hAnsi="標楷體-繁" w:eastAsia="標楷體-繁"/>
          <w:sz w:val="26"/>
          <w:szCs w:val="26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 xml:space="preserve">第一條 </w:t>
      </w:r>
      <w:r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  <w:br w:type="textWrapping"/>
      </w: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社區信件、包裹定義：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一、一般信件：如印刷品、平信及限時專送等。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二、掛號及報值信件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三、包裹、快遞物件：由宅配物流、其他託運公司送達之物件，社區住戶、外賓送達之物品亦屬之。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第二條</w:t>
      </w:r>
      <w:r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  <w:br w:type="textWrapping"/>
      </w: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前條第一項由管理中心人員領取，直接投遞至住戶信箱。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前條第二項、第三項由管理中心人員代收後放置於社區櫃檯或冰箱，並登錄至社區</w:t>
      </w:r>
      <w:r>
        <w:rPr>
          <w:rFonts w:ascii="標楷體-繁" w:hAnsi="標楷體-繁"/>
          <w:sz w:val="28"/>
          <w:szCs w:val="28"/>
          <w:u w:color="000000"/>
          <w:rtl w:val="0"/>
          <w:lang w:val="en-US"/>
        </w:rPr>
        <w:t>App</w:t>
      </w: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「智生活」通知住戶領取。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第三條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大型信件、包裹無法投入住戶信箱者，比照掛號信件、包裹方式處理。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第四條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掛號與雙掛號信件送達社區時，管理中心負責確認該信件已送達社區並通知收件人，由收件人親自領取該信件。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若收件人於管理中心通知後，掛號當日起七日未領取、雙掛號當日起三日內未領取者，管理中心應將該信件退回寄件單位。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第五條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第一條之信件、包裹於送達當日起七日內仍未領取者，管理中心得退回寄件人。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第六條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管理中心有權責要求領取人，必要時出示相關證件，確認領取人身分，以善盡管理責任。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第七條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住戶領取掛號、保值信件或包裹時，須親自簽收才可領取。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前項簽收可以社區</w:t>
      </w:r>
      <w:r>
        <w:rPr>
          <w:rFonts w:ascii="標楷體-繁" w:hAnsi="標楷體-繁"/>
          <w:sz w:val="28"/>
          <w:szCs w:val="28"/>
          <w:u w:color="000000"/>
          <w:rtl w:val="0"/>
          <w:lang w:val="en-US"/>
        </w:rPr>
        <w:t>App</w:t>
      </w: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「智生活」感應替代。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第八條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物流、貨運快遞公司如送貴重物品，管理中心可視情況，與住戶收件人聯繫，請住戶親自收件。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第九條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包裹若為冷藏、冷凍包裹者，由管理中心代收，存放於管理中心冰箱。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管理中心收到前項包裹時，須通知住戶領取。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若住戶於收件當日起二日內未領取者，管理中心可移出冰箱，因此產生之損失由住戶自行負責。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管理中心依前項規定移出冰箱前，須以電話或社區</w:t>
      </w:r>
      <w:r>
        <w:rPr>
          <w:rFonts w:ascii="標楷體-繁" w:hAnsi="標楷體-繁"/>
          <w:sz w:val="28"/>
          <w:szCs w:val="28"/>
          <w:u w:color="000000"/>
          <w:rtl w:val="0"/>
          <w:lang w:val="en-US"/>
        </w:rPr>
        <w:t>App</w:t>
      </w: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「智生活」通知住戶後方可執行。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若第一項之包裹送達時冰箱已滿，管理中心應請物流業者或寄件人自行聯繫住戶領取。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第十條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第一條規定之信件、包裹若發生誤領，領收人應當日退回至管理中心。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若為管理中心人員之疏失導致收件人損失，或信件、包裹遺失者，管理中心人員應負相關法律責任。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第十一條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為審慎確實管理郵件，管理中心人員分類、分戶時，其他人員勿自行查閱、翻動郵件，以免發生不必要之錯誤。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第十二條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住戶未經管理中心人員同意，請勿自行查閱、翻動信件或包裹，以免產生不必要之爭議。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第十三條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住戶進行團購時，管理中心不負責團購物品之分包、分裝及代轉、代收團購物品價金。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第十四條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住戶點外賣時，管理中心應讓食物、物品放置於大廳外送桌，不得讓外送員進入各棟樓層。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管理中心人員不負責將食物、物品送至住戶樓層，但若住戶因疾病、行動不便等特殊情況不在此限。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第十五條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住戶如因事外出多日或長期在外，未能及時領取掛號、包裹時，可主動與管理中心聯繫延展取件日期或協調取件方式，惟最多不超過一個月期限。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前項若逾期未領回者，管理中心可依第五條辦理。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第十六條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為確保管理中心人力妥善運用，住戶若有團購行為時，應遵守「櫻花澍社區住戶團購施行細則」。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第十七條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本辦法若有未盡事宜，得經由管理委員會討論議決後修訂，並於公告之日起生效。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center"/>
        <w:rPr>
          <w:rFonts w:ascii="標楷體-繁" w:cs="標楷體-繁" w:hAnsi="標楷體-繁" w:eastAsia="標楷體-繁"/>
          <w:sz w:val="42"/>
          <w:szCs w:val="42"/>
          <w:u w:color="000000"/>
          <w:rtl w:val="0"/>
          <w:lang w:val="en-US"/>
        </w:rPr>
      </w:pPr>
      <w:r>
        <w:rPr>
          <w:rFonts w:eastAsia="標楷體-繁" w:hint="eastAsia"/>
          <w:sz w:val="42"/>
          <w:szCs w:val="42"/>
          <w:u w:color="000000"/>
          <w:rtl w:val="0"/>
          <w:lang w:val="en-US"/>
        </w:rPr>
        <w:t>櫻花澍社區住戶團購施行細則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righ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ascii="標楷體-繁" w:hAnsi="標楷體-繁"/>
          <w:sz w:val="28"/>
          <w:szCs w:val="28"/>
          <w:u w:color="000000"/>
          <w:rtl w:val="0"/>
          <w:lang w:val="en-US"/>
        </w:rPr>
        <w:t>112</w:t>
      </w: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年</w:t>
      </w:r>
      <w:r>
        <w:rPr>
          <w:rFonts w:ascii="標楷體-繁" w:hAnsi="標楷體-繁"/>
          <w:sz w:val="28"/>
          <w:szCs w:val="28"/>
          <w:u w:color="000000"/>
          <w:rtl w:val="0"/>
          <w:lang w:val="en-US"/>
        </w:rPr>
        <w:t>4</w:t>
      </w: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月</w:t>
      </w:r>
      <w:r>
        <w:rPr>
          <w:rFonts w:ascii="標楷體-繁" w:hAnsi="標楷體-繁"/>
          <w:sz w:val="28"/>
          <w:szCs w:val="28"/>
          <w:u w:color="000000"/>
          <w:rtl w:val="0"/>
          <w:lang w:val="en-US"/>
        </w:rPr>
        <w:t>15</w:t>
      </w: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日 初訂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一、依據「櫻花澍社區郵件、掛號、包裹及轉交寄物、退</w:t>
      </w:r>
      <w:r>
        <w:rPr>
          <w:rFonts w:ascii="標楷體-繁" w:hAnsi="標楷體-繁"/>
          <w:sz w:val="28"/>
          <w:szCs w:val="28"/>
          <w:u w:color="000000"/>
          <w:rtl w:val="0"/>
          <w:lang w:val="en-US"/>
        </w:rPr>
        <w:t>(</w:t>
      </w: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換</w:t>
      </w:r>
      <w:r>
        <w:rPr>
          <w:rFonts w:ascii="標楷體-繁" w:hAnsi="標楷體-繁"/>
          <w:sz w:val="28"/>
          <w:szCs w:val="28"/>
          <w:u w:color="000000"/>
          <w:rtl w:val="0"/>
          <w:lang w:val="en-US"/>
        </w:rPr>
        <w:t>)</w:t>
      </w: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貨管理辦法」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十</w:t>
      </w:r>
      <w:r>
        <w:rPr>
          <w:rFonts w:eastAsia="標楷體-繁" w:hint="eastAsia"/>
          <w:sz w:val="28"/>
          <w:szCs w:val="28"/>
          <w:u w:color="000000"/>
          <w:rtl w:val="0"/>
          <w:lang w:val="zh-TW" w:eastAsia="zh-TW"/>
        </w:rPr>
        <w:t>六</w:t>
      </w: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條規定訂定本施行細則。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二、團購主應於到貨時，親至大廳收貨，無法到場時請指定代理人，並告知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管理中心代理人之戶別與姓名。管理中心不得代拆住戶包裹</w:t>
      </w:r>
      <w:r>
        <w:rPr>
          <w:rFonts w:ascii="標楷體-繁" w:hAnsi="標楷體-繁"/>
          <w:sz w:val="28"/>
          <w:szCs w:val="28"/>
          <w:u w:color="000000"/>
          <w:rtl w:val="0"/>
          <w:lang w:val="en-US"/>
        </w:rPr>
        <w:t>(</w:t>
      </w: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含團購物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品</w:t>
      </w:r>
      <w:r>
        <w:rPr>
          <w:rFonts w:ascii="標楷體-繁" w:hAnsi="標楷體-繁"/>
          <w:sz w:val="28"/>
          <w:szCs w:val="28"/>
          <w:u w:color="000000"/>
          <w:rtl w:val="0"/>
          <w:lang w:val="en-US"/>
        </w:rPr>
        <w:t>)</w:t>
      </w: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三、團購主或代理人領取團購包裹，需一次性全部領取，並即自行處理或分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裝。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四、團購主若需寄物，應自行分裝並清楚標示收件住戶資訊。一切依本社區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轉交寄物作業辦理。如因數量過多，為避免影響其他住戶收件權益，管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理中心得拒絕之。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五、團購費用，請團購主或代理人自行處理，管理中心不負責個別收取、分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算費用或代轉代收。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六、團購主領取團購並完成發放物品後，需自行整理環境並做好垃圾分類。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七、團購主避免團購氣味濃烈、刺鼻或外觀易碎物品，若為法令禁止之各類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物品，如經發現一律報警處理。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Fonts w:ascii="標楷體-繁" w:cs="標楷體-繁" w:hAnsi="標楷體-繁" w:eastAsia="標楷體-繁"/>
          <w:sz w:val="28"/>
          <w:szCs w:val="28"/>
          <w:u w:color="000000"/>
          <w:rtl w:val="0"/>
          <w:lang w:val="en-US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八、本細則若有未盡事宜，得經由管理委員會議事討論議決後修訂，並公告</w:t>
      </w:r>
    </w:p>
    <w:p>
      <w:pPr>
        <w:pStyle w:val="預設值"/>
        <w:widowControl w:val="0"/>
        <w:bidi w:val="0"/>
        <w:spacing w:before="3" w:line="360" w:lineRule="auto"/>
        <w:ind w:left="0" w:right="0" w:firstLine="0"/>
        <w:jc w:val="left"/>
        <w:rPr>
          <w:rtl w:val="0"/>
        </w:rPr>
      </w:pPr>
      <w:r>
        <w:rPr>
          <w:rFonts w:eastAsia="標楷體-繁" w:hint="eastAsia"/>
          <w:sz w:val="28"/>
          <w:szCs w:val="28"/>
          <w:u w:color="000000"/>
          <w:rtl w:val="0"/>
          <w:lang w:val="en-US"/>
        </w:rPr>
        <w:t>實施。</w:t>
      </w:r>
    </w:p>
    <w:sectPr>
      <w:headerReference w:type="default" r:id="rId4"/>
      <w:footerReference w:type="default" r:id="rId5"/>
      <w:pgSz w:w="11906" w:h="16838" w:orient="portrait"/>
      <w:pgMar w:top="117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Semibold">
    <w:charset w:val="00"/>
    <w:family w:val="roman"/>
    <w:pitch w:val="default"/>
  </w:font>
  <w:font w:name="PingFang TC Regular">
    <w:charset w:val="00"/>
    <w:family w:val="roman"/>
    <w:pitch w:val="default"/>
  </w:font>
  <w:font w:name="標楷體-繁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標題">
    <w:name w:val="標題"/>
    <w:next w:val="內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rial Unicode MS" w:cs="Arial Unicode MS" w:hAnsi="Arial Unicode MS" w:eastAsia="PingFang TC Semibold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T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  <w:style w:type="paragraph" w:styleId="預設值">
    <w:name w:val="預設值"/>
    <w:next w:val="預設值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TC Regular" w:cs="PingFang TC Regular" w:hAnsi="PingFang TC Regular" w:eastAsia="PingFang T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TC Medium"/>
            <a:ea typeface="PingFang TC Medium"/>
            <a:cs typeface="PingFang TC Medium"/>
            <a:sym typeface="PingFang T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