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FC5F" w14:textId="685306EF" w:rsidR="0076473F" w:rsidRPr="00F46C3D" w:rsidRDefault="00000E67" w:rsidP="0076473F">
      <w:pPr>
        <w:pStyle w:val="Style1"/>
        <w:jc w:val="center"/>
        <w:rPr>
          <w:rFonts w:cs="Arial"/>
        </w:rPr>
      </w:pPr>
      <w:r w:rsidRPr="00F46C3D">
        <w:rPr>
          <w:rFonts w:cs="Arial"/>
        </w:rPr>
        <w:t>FISHERIES SCIENCE ADVICE</w:t>
      </w:r>
      <w:r w:rsidR="00AA4BDA" w:rsidRPr="00F46C3D">
        <w:rPr>
          <w:rFonts w:cs="Arial"/>
        </w:rPr>
        <w:t xml:space="preserve"> REPORT</w:t>
      </w:r>
      <w:r w:rsidR="00563CA6" w:rsidRPr="00F46C3D">
        <w:rPr>
          <w:rFonts w:cs="Arial"/>
        </w:rPr>
        <w:t xml:space="preserve"> GUIDANCE </w:t>
      </w:r>
    </w:p>
    <w:p w14:paraId="1DE091F4" w14:textId="4EA356DA" w:rsidR="00563CA6" w:rsidRPr="00F46C3D" w:rsidRDefault="00563CA6" w:rsidP="00563CA6">
      <w:pPr>
        <w:rPr>
          <w:rFonts w:ascii="Arial" w:hAnsi="Arial" w:cs="Arial"/>
        </w:rPr>
      </w:pPr>
      <w:r w:rsidRPr="00F46C3D">
        <w:rPr>
          <w:rFonts w:ascii="Arial" w:hAnsi="Arial" w:cs="Arial"/>
        </w:rPr>
        <w:t xml:space="preserve">One </w:t>
      </w:r>
      <w:r w:rsidR="006734C8">
        <w:rPr>
          <w:rFonts w:ascii="Arial" w:hAnsi="Arial" w:cs="Arial"/>
        </w:rPr>
        <w:t>document</w:t>
      </w:r>
      <w:r w:rsidRPr="00F46C3D">
        <w:rPr>
          <w:rFonts w:ascii="Arial" w:hAnsi="Arial" w:cs="Arial"/>
        </w:rPr>
        <w:t xml:space="preserve"> should be completed for each assessed stock. Do not aggregate stocks or summarize fisheries on multiple stocks. In all cases, use N/A if information for the data field is not available. If no suitable option exists, then insert something suitable. </w:t>
      </w:r>
    </w:p>
    <w:p w14:paraId="43A5580E" w14:textId="4FC80C5A" w:rsidR="00201718" w:rsidRDefault="00201718" w:rsidP="00201718">
      <w:pPr>
        <w:rPr>
          <w:rFonts w:ascii="Arial" w:hAnsi="Arial" w:cs="Arial"/>
        </w:rPr>
      </w:pPr>
      <w:r w:rsidRPr="00F46C3D">
        <w:rPr>
          <w:rFonts w:ascii="Arial" w:hAnsi="Arial" w:cs="Arial"/>
        </w:rPr>
        <w:t xml:space="preserve">Probabilities. </w:t>
      </w:r>
      <w:r w:rsidR="00653FDF">
        <w:rPr>
          <w:rFonts w:ascii="Arial" w:hAnsi="Arial" w:cs="Arial"/>
        </w:rPr>
        <w:t>Stock status and fishing mortality should be expressed in a probabilistic manner with respect to reference points and targets</w:t>
      </w:r>
      <w:r w:rsidR="00AC08A3">
        <w:rPr>
          <w:rFonts w:ascii="Arial" w:hAnsi="Arial" w:cs="Arial"/>
        </w:rPr>
        <w:t xml:space="preserve"> and/or other quantitative management (fishery) objectives (i.e. biomass, timeframe, risk tolerance)</w:t>
      </w:r>
      <w:r w:rsidR="00653FDF">
        <w:rPr>
          <w:rFonts w:ascii="Arial" w:hAnsi="Arial" w:cs="Arial"/>
        </w:rPr>
        <w:t xml:space="preserve">. Where probabilities cannot be explicitly estimated, qualitative likelihood approaches may be required. </w:t>
      </w:r>
    </w:p>
    <w:p w14:paraId="59D92C4A" w14:textId="7B84ED3E" w:rsidR="00653FDF" w:rsidRPr="005C0188" w:rsidRDefault="00653FDF" w:rsidP="00201718">
      <w:pPr>
        <w:rPr>
          <w:rFonts w:ascii="Arial" w:hAnsi="Arial" w:cs="Arial"/>
          <w:b/>
          <w:bCs/>
        </w:rPr>
      </w:pPr>
      <w:r w:rsidRPr="00F46C3D">
        <w:rPr>
          <w:rFonts w:ascii="Arial" w:hAnsi="Arial" w:cs="Arial"/>
        </w:rPr>
        <w:t>Where probabilities are used in qualifying a statement regarding the status of the stock in relation to limit, target, or other threshold reference levels, the following probability categories and associated verbal descriptions</w:t>
      </w:r>
      <w:r>
        <w:rPr>
          <w:rFonts w:ascii="Arial" w:hAnsi="Arial" w:cs="Arial"/>
        </w:rPr>
        <w:t xml:space="preserve"> from DFO’s PA Policy (2009)</w:t>
      </w:r>
      <w:r w:rsidRPr="00F46C3D">
        <w:rPr>
          <w:rFonts w:ascii="Arial" w:hAnsi="Arial" w:cs="Arial"/>
        </w:rPr>
        <w:t xml:space="preserve"> are to be used (</w:t>
      </w:r>
      <w:r>
        <w:rPr>
          <w:rFonts w:ascii="Arial" w:hAnsi="Arial" w:cs="Arial"/>
        </w:rPr>
        <w:t>Table 1</w:t>
      </w:r>
      <w:r w:rsidRPr="00F46C3D">
        <w:rPr>
          <w:rFonts w:ascii="Arial" w:hAnsi="Arial" w:cs="Arial"/>
        </w:rPr>
        <w:t xml:space="preserve">). Probability categories and associated descriptions should relate to the probability of being “at or above” (or “at or below”), </w:t>
      </w:r>
      <w:r>
        <w:rPr>
          <w:rFonts w:ascii="Arial" w:hAnsi="Arial" w:cs="Arial"/>
        </w:rPr>
        <w:t xml:space="preserve">targets, upper stock references, </w:t>
      </w:r>
      <w:r w:rsidRPr="00F46C3D">
        <w:rPr>
          <w:rFonts w:ascii="Arial" w:hAnsi="Arial" w:cs="Arial"/>
        </w:rPr>
        <w:t xml:space="preserve"> limit</w:t>
      </w:r>
      <w:r>
        <w:rPr>
          <w:rFonts w:ascii="Arial" w:hAnsi="Arial" w:cs="Arial"/>
        </w:rPr>
        <w:t xml:space="preserve"> reference point</w:t>
      </w:r>
      <w:r w:rsidRPr="00F46C3D">
        <w:rPr>
          <w:rFonts w:ascii="Arial" w:hAnsi="Arial" w:cs="Arial"/>
        </w:rPr>
        <w:t xml:space="preserve">s, and </w:t>
      </w:r>
      <w:r>
        <w:rPr>
          <w:rFonts w:ascii="Arial" w:hAnsi="Arial" w:cs="Arial"/>
        </w:rPr>
        <w:t>removal references</w:t>
      </w:r>
      <w:r w:rsidRPr="00F46C3D">
        <w:rPr>
          <w:rFonts w:ascii="Arial" w:hAnsi="Arial" w:cs="Arial"/>
        </w:rPr>
        <w:t>.</w:t>
      </w:r>
    </w:p>
    <w:p w14:paraId="1BEEEA46" w14:textId="2F0A963E" w:rsidR="00F07F60" w:rsidRPr="00C06DA3" w:rsidRDefault="00F07F60" w:rsidP="00F07F60">
      <w:pPr>
        <w:pStyle w:val="Caption"/>
        <w:keepNext/>
        <w:rPr>
          <w:rFonts w:ascii="Arial" w:hAnsi="Arial" w:cs="Arial"/>
          <w:i w:val="0"/>
          <w:iCs w:val="0"/>
          <w:color w:val="auto"/>
          <w:sz w:val="28"/>
          <w:szCs w:val="28"/>
        </w:rPr>
      </w:pPr>
      <w:r w:rsidRPr="005C77D6">
        <w:rPr>
          <w:rFonts w:ascii="Arial" w:hAnsi="Arial" w:cs="Arial"/>
          <w:i w:val="0"/>
          <w:iCs w:val="0"/>
          <w:color w:val="auto"/>
          <w:sz w:val="22"/>
          <w:szCs w:val="22"/>
        </w:rPr>
        <w:t xml:space="preserve">Table </w:t>
      </w:r>
      <w:r w:rsidRPr="005C77D6">
        <w:rPr>
          <w:rFonts w:ascii="Arial" w:hAnsi="Arial" w:cs="Arial"/>
          <w:i w:val="0"/>
          <w:iCs w:val="0"/>
          <w:color w:val="auto"/>
          <w:sz w:val="22"/>
          <w:szCs w:val="22"/>
        </w:rPr>
        <w:fldChar w:fldCharType="begin"/>
      </w:r>
      <w:r w:rsidRPr="005C77D6">
        <w:rPr>
          <w:rFonts w:ascii="Arial" w:hAnsi="Arial" w:cs="Arial"/>
          <w:i w:val="0"/>
          <w:iCs w:val="0"/>
          <w:color w:val="auto"/>
          <w:sz w:val="22"/>
          <w:szCs w:val="22"/>
        </w:rPr>
        <w:instrText xml:space="preserve"> SEQ Table \* ARABIC </w:instrText>
      </w:r>
      <w:r w:rsidRPr="005C77D6">
        <w:rPr>
          <w:rFonts w:ascii="Arial" w:hAnsi="Arial" w:cs="Arial"/>
          <w:i w:val="0"/>
          <w:iCs w:val="0"/>
          <w:color w:val="auto"/>
          <w:sz w:val="22"/>
          <w:szCs w:val="22"/>
        </w:rPr>
        <w:fldChar w:fldCharType="separate"/>
      </w:r>
      <w:r w:rsidRPr="005C77D6">
        <w:rPr>
          <w:rFonts w:ascii="Arial" w:hAnsi="Arial" w:cs="Arial"/>
          <w:i w:val="0"/>
          <w:iCs w:val="0"/>
          <w:noProof/>
          <w:color w:val="auto"/>
          <w:sz w:val="22"/>
          <w:szCs w:val="22"/>
        </w:rPr>
        <w:t>1</w:t>
      </w:r>
      <w:r w:rsidRPr="005C77D6">
        <w:rPr>
          <w:rFonts w:ascii="Arial" w:hAnsi="Arial" w:cs="Arial"/>
          <w:i w:val="0"/>
          <w:iCs w:val="0"/>
          <w:color w:val="auto"/>
          <w:sz w:val="22"/>
          <w:szCs w:val="22"/>
        </w:rPr>
        <w:fldChar w:fldCharType="end"/>
      </w:r>
      <w:r w:rsidR="005C77D6">
        <w:rPr>
          <w:rFonts w:ascii="Arial" w:hAnsi="Arial" w:cs="Arial"/>
          <w:i w:val="0"/>
          <w:iCs w:val="0"/>
          <w:color w:val="auto"/>
          <w:sz w:val="22"/>
          <w:szCs w:val="22"/>
        </w:rPr>
        <w:t xml:space="preserve">. </w:t>
      </w:r>
      <w:r w:rsidR="00653FDF" w:rsidRPr="00C06DA3">
        <w:rPr>
          <w:rFonts w:ascii="Arial" w:hAnsi="Arial" w:cs="Arial"/>
          <w:i w:val="0"/>
          <w:iCs w:val="0"/>
          <w:noProof/>
          <w:color w:val="auto"/>
          <w:sz w:val="22"/>
          <w:szCs w:val="22"/>
        </w:rPr>
        <w:t>Reproduced from DFO</w:t>
      </w:r>
      <w:r w:rsidR="00C06DA3" w:rsidRPr="00C06DA3">
        <w:rPr>
          <w:rFonts w:ascii="Arial" w:hAnsi="Arial" w:cs="Arial"/>
          <w:i w:val="0"/>
          <w:iCs w:val="0"/>
          <w:noProof/>
          <w:color w:val="auto"/>
          <w:sz w:val="22"/>
          <w:szCs w:val="22"/>
        </w:rPr>
        <w:t xml:space="preserve"> 2009</w:t>
      </w:r>
    </w:p>
    <w:tbl>
      <w:tblPr>
        <w:tblStyle w:val="TableGrid"/>
        <w:tblW w:w="0" w:type="auto"/>
        <w:tblLook w:val="04A0" w:firstRow="1" w:lastRow="0" w:firstColumn="1" w:lastColumn="0" w:noHBand="0" w:noVBand="1"/>
      </w:tblPr>
      <w:tblGrid>
        <w:gridCol w:w="1550"/>
        <w:gridCol w:w="1818"/>
      </w:tblGrid>
      <w:tr w:rsidR="00201718" w:rsidRPr="00F46C3D" w14:paraId="42828154" w14:textId="77777777" w:rsidTr="00201718">
        <w:tc>
          <w:tcPr>
            <w:tcW w:w="0" w:type="auto"/>
          </w:tcPr>
          <w:p w14:paraId="3C05E5A0" w14:textId="4DF08572" w:rsidR="00201718" w:rsidRPr="00F46C3D" w:rsidRDefault="00201718" w:rsidP="00201718">
            <w:pPr>
              <w:jc w:val="center"/>
              <w:rPr>
                <w:rFonts w:ascii="Arial" w:hAnsi="Arial" w:cs="Arial"/>
              </w:rPr>
            </w:pPr>
            <w:r w:rsidRPr="00F46C3D">
              <w:rPr>
                <w:rFonts w:ascii="Arial" w:hAnsi="Arial" w:cs="Arial"/>
                <w:b/>
                <w:bCs/>
              </w:rPr>
              <w:t>Probability</w:t>
            </w:r>
          </w:p>
        </w:tc>
        <w:tc>
          <w:tcPr>
            <w:tcW w:w="0" w:type="auto"/>
          </w:tcPr>
          <w:p w14:paraId="4946F71A" w14:textId="1F3C3BC2" w:rsidR="00201718" w:rsidRPr="00F46C3D" w:rsidRDefault="00201718" w:rsidP="00201718">
            <w:pPr>
              <w:jc w:val="center"/>
              <w:rPr>
                <w:rFonts w:ascii="Arial" w:hAnsi="Arial" w:cs="Arial"/>
              </w:rPr>
            </w:pPr>
            <w:r w:rsidRPr="00F46C3D">
              <w:rPr>
                <w:rFonts w:ascii="Arial" w:hAnsi="Arial" w:cs="Arial"/>
                <w:b/>
                <w:bCs/>
              </w:rPr>
              <w:t>Description</w:t>
            </w:r>
          </w:p>
        </w:tc>
      </w:tr>
      <w:tr w:rsidR="00201718" w:rsidRPr="00F46C3D" w14:paraId="7E731A15" w14:textId="77777777" w:rsidTr="00201718">
        <w:tc>
          <w:tcPr>
            <w:tcW w:w="0" w:type="auto"/>
          </w:tcPr>
          <w:p w14:paraId="23A84809" w14:textId="64CD570B" w:rsidR="00201718" w:rsidRPr="00F46C3D" w:rsidRDefault="00201718" w:rsidP="00201718">
            <w:pPr>
              <w:jc w:val="center"/>
              <w:rPr>
                <w:rFonts w:ascii="Arial" w:hAnsi="Arial" w:cs="Arial"/>
              </w:rPr>
            </w:pPr>
            <w:r w:rsidRPr="00F46C3D">
              <w:rPr>
                <w:rFonts w:ascii="Arial" w:hAnsi="Arial" w:cs="Arial"/>
              </w:rPr>
              <w:t>Less than 5%</w:t>
            </w:r>
          </w:p>
        </w:tc>
        <w:tc>
          <w:tcPr>
            <w:tcW w:w="0" w:type="auto"/>
          </w:tcPr>
          <w:p w14:paraId="09E056EB" w14:textId="34912B78" w:rsidR="00201718" w:rsidRPr="00F46C3D" w:rsidRDefault="00201718" w:rsidP="00201718">
            <w:pPr>
              <w:jc w:val="center"/>
              <w:rPr>
                <w:rFonts w:ascii="Arial" w:hAnsi="Arial" w:cs="Arial"/>
              </w:rPr>
            </w:pPr>
            <w:r w:rsidRPr="00F46C3D">
              <w:rPr>
                <w:rFonts w:ascii="Arial" w:hAnsi="Arial" w:cs="Arial"/>
              </w:rPr>
              <w:t>Very low</w:t>
            </w:r>
          </w:p>
        </w:tc>
      </w:tr>
      <w:tr w:rsidR="00201718" w:rsidRPr="00F46C3D" w14:paraId="137AB7C4" w14:textId="77777777" w:rsidTr="00201718">
        <w:tc>
          <w:tcPr>
            <w:tcW w:w="0" w:type="auto"/>
          </w:tcPr>
          <w:p w14:paraId="20BC97FC" w14:textId="403D78B4" w:rsidR="00201718" w:rsidRPr="00F46C3D" w:rsidRDefault="00201718" w:rsidP="00201718">
            <w:pPr>
              <w:jc w:val="center"/>
              <w:rPr>
                <w:rFonts w:ascii="Arial" w:hAnsi="Arial" w:cs="Arial"/>
              </w:rPr>
            </w:pPr>
            <w:r w:rsidRPr="00F46C3D">
              <w:rPr>
                <w:rFonts w:ascii="Arial" w:hAnsi="Arial" w:cs="Arial"/>
              </w:rPr>
              <w:t>5% - 25%</w:t>
            </w:r>
          </w:p>
        </w:tc>
        <w:tc>
          <w:tcPr>
            <w:tcW w:w="0" w:type="auto"/>
          </w:tcPr>
          <w:p w14:paraId="7E1F57DD" w14:textId="114C70A1" w:rsidR="00201718" w:rsidRPr="00F46C3D" w:rsidRDefault="00201718" w:rsidP="00201718">
            <w:pPr>
              <w:jc w:val="center"/>
              <w:rPr>
                <w:rFonts w:ascii="Arial" w:hAnsi="Arial" w:cs="Arial"/>
              </w:rPr>
            </w:pPr>
            <w:r w:rsidRPr="00F46C3D">
              <w:rPr>
                <w:rFonts w:ascii="Arial" w:hAnsi="Arial" w:cs="Arial"/>
              </w:rPr>
              <w:t>Low</w:t>
            </w:r>
          </w:p>
        </w:tc>
      </w:tr>
      <w:tr w:rsidR="00201718" w:rsidRPr="00F46C3D" w14:paraId="0AA84E62" w14:textId="77777777" w:rsidTr="00201718">
        <w:tc>
          <w:tcPr>
            <w:tcW w:w="0" w:type="auto"/>
          </w:tcPr>
          <w:p w14:paraId="65E8A50E" w14:textId="3C897ECB" w:rsidR="00201718" w:rsidRPr="00F46C3D" w:rsidRDefault="00201718" w:rsidP="00201718">
            <w:pPr>
              <w:jc w:val="center"/>
              <w:rPr>
                <w:rFonts w:ascii="Arial" w:hAnsi="Arial" w:cs="Arial"/>
              </w:rPr>
            </w:pPr>
            <w:r w:rsidRPr="00F46C3D">
              <w:rPr>
                <w:rFonts w:ascii="Arial" w:hAnsi="Arial" w:cs="Arial"/>
              </w:rPr>
              <w:t>25% - 50%</w:t>
            </w:r>
          </w:p>
        </w:tc>
        <w:tc>
          <w:tcPr>
            <w:tcW w:w="0" w:type="auto"/>
          </w:tcPr>
          <w:p w14:paraId="2910F589" w14:textId="01D21554" w:rsidR="00201718" w:rsidRPr="00F46C3D" w:rsidRDefault="00201718" w:rsidP="00201718">
            <w:pPr>
              <w:jc w:val="center"/>
              <w:rPr>
                <w:rFonts w:ascii="Arial" w:hAnsi="Arial" w:cs="Arial"/>
              </w:rPr>
            </w:pPr>
            <w:r w:rsidRPr="00F46C3D">
              <w:rPr>
                <w:rFonts w:ascii="Arial" w:hAnsi="Arial" w:cs="Arial"/>
              </w:rPr>
              <w:t>Moderate</w:t>
            </w:r>
          </w:p>
        </w:tc>
      </w:tr>
      <w:tr w:rsidR="00201718" w:rsidRPr="00F46C3D" w14:paraId="349871FA" w14:textId="77777777" w:rsidTr="00201718">
        <w:tc>
          <w:tcPr>
            <w:tcW w:w="0" w:type="auto"/>
          </w:tcPr>
          <w:p w14:paraId="75D3AF42" w14:textId="7388FA59" w:rsidR="00201718" w:rsidRPr="00F46C3D" w:rsidRDefault="00201718" w:rsidP="00201718">
            <w:pPr>
              <w:jc w:val="center"/>
              <w:rPr>
                <w:rFonts w:ascii="Arial" w:hAnsi="Arial" w:cs="Arial"/>
              </w:rPr>
            </w:pPr>
            <w:r w:rsidRPr="00F46C3D">
              <w:rPr>
                <w:rFonts w:ascii="Arial" w:hAnsi="Arial" w:cs="Arial"/>
              </w:rPr>
              <w:t>~50%</w:t>
            </w:r>
          </w:p>
        </w:tc>
        <w:tc>
          <w:tcPr>
            <w:tcW w:w="0" w:type="auto"/>
          </w:tcPr>
          <w:p w14:paraId="54F776E1" w14:textId="68F9296F" w:rsidR="00201718" w:rsidRPr="00F46C3D" w:rsidRDefault="00201718" w:rsidP="00201718">
            <w:pPr>
              <w:jc w:val="center"/>
              <w:rPr>
                <w:rFonts w:ascii="Arial" w:hAnsi="Arial" w:cs="Arial"/>
              </w:rPr>
            </w:pPr>
            <w:r w:rsidRPr="00F46C3D">
              <w:rPr>
                <w:rFonts w:ascii="Arial" w:hAnsi="Arial" w:cs="Arial"/>
              </w:rPr>
              <w:t>Neutral</w:t>
            </w:r>
          </w:p>
        </w:tc>
      </w:tr>
      <w:tr w:rsidR="00201718" w:rsidRPr="00F46C3D" w14:paraId="44D90FFB" w14:textId="77777777" w:rsidTr="00201718">
        <w:tc>
          <w:tcPr>
            <w:tcW w:w="0" w:type="auto"/>
          </w:tcPr>
          <w:p w14:paraId="57594E4C" w14:textId="39B776E5" w:rsidR="00201718" w:rsidRPr="00F46C3D" w:rsidRDefault="00201718" w:rsidP="00201718">
            <w:pPr>
              <w:jc w:val="center"/>
              <w:rPr>
                <w:rFonts w:ascii="Arial" w:hAnsi="Arial" w:cs="Arial"/>
              </w:rPr>
            </w:pPr>
            <w:r w:rsidRPr="00F46C3D">
              <w:rPr>
                <w:rFonts w:ascii="Arial" w:hAnsi="Arial" w:cs="Arial"/>
              </w:rPr>
              <w:t>50%-75%</w:t>
            </w:r>
          </w:p>
        </w:tc>
        <w:tc>
          <w:tcPr>
            <w:tcW w:w="0" w:type="auto"/>
          </w:tcPr>
          <w:p w14:paraId="181DA895" w14:textId="4E58F46D" w:rsidR="00201718" w:rsidRPr="00F46C3D" w:rsidRDefault="00201718" w:rsidP="00201718">
            <w:pPr>
              <w:jc w:val="center"/>
              <w:rPr>
                <w:rFonts w:ascii="Arial" w:hAnsi="Arial" w:cs="Arial"/>
              </w:rPr>
            </w:pPr>
            <w:r w:rsidRPr="00F46C3D">
              <w:rPr>
                <w:rFonts w:ascii="Arial" w:hAnsi="Arial" w:cs="Arial"/>
              </w:rPr>
              <w:t>Moderately High</w:t>
            </w:r>
          </w:p>
        </w:tc>
      </w:tr>
      <w:tr w:rsidR="00201718" w:rsidRPr="00F46C3D" w14:paraId="73DA32A3" w14:textId="77777777" w:rsidTr="00201718">
        <w:tc>
          <w:tcPr>
            <w:tcW w:w="0" w:type="auto"/>
          </w:tcPr>
          <w:p w14:paraId="5646DE55" w14:textId="45A5CD25" w:rsidR="00201718" w:rsidRPr="00F46C3D" w:rsidRDefault="00201718" w:rsidP="00201718">
            <w:pPr>
              <w:jc w:val="center"/>
              <w:rPr>
                <w:rFonts w:ascii="Arial" w:hAnsi="Arial" w:cs="Arial"/>
              </w:rPr>
            </w:pPr>
            <w:r w:rsidRPr="00F46C3D">
              <w:rPr>
                <w:rFonts w:ascii="Arial" w:hAnsi="Arial" w:cs="Arial"/>
              </w:rPr>
              <w:t>75%-95%</w:t>
            </w:r>
          </w:p>
        </w:tc>
        <w:tc>
          <w:tcPr>
            <w:tcW w:w="0" w:type="auto"/>
          </w:tcPr>
          <w:p w14:paraId="77CC4E06" w14:textId="04BBCC3A" w:rsidR="00201718" w:rsidRPr="00F46C3D" w:rsidRDefault="00201718" w:rsidP="00201718">
            <w:pPr>
              <w:jc w:val="center"/>
              <w:rPr>
                <w:rFonts w:ascii="Arial" w:hAnsi="Arial" w:cs="Arial"/>
              </w:rPr>
            </w:pPr>
            <w:r w:rsidRPr="00F46C3D">
              <w:rPr>
                <w:rFonts w:ascii="Arial" w:hAnsi="Arial" w:cs="Arial"/>
              </w:rPr>
              <w:t>High</w:t>
            </w:r>
          </w:p>
        </w:tc>
      </w:tr>
      <w:tr w:rsidR="00201718" w:rsidRPr="00F46C3D" w14:paraId="36EB88EB" w14:textId="77777777" w:rsidTr="00201718">
        <w:tc>
          <w:tcPr>
            <w:tcW w:w="0" w:type="auto"/>
          </w:tcPr>
          <w:p w14:paraId="14D59E2A" w14:textId="339680FF" w:rsidR="00201718" w:rsidRPr="00F46C3D" w:rsidRDefault="00201718" w:rsidP="00201718">
            <w:pPr>
              <w:jc w:val="center"/>
              <w:rPr>
                <w:rFonts w:ascii="Arial" w:hAnsi="Arial" w:cs="Arial"/>
              </w:rPr>
            </w:pPr>
            <w:r w:rsidRPr="00F46C3D">
              <w:rPr>
                <w:rFonts w:ascii="Arial" w:hAnsi="Arial" w:cs="Arial"/>
              </w:rPr>
              <w:t>&gt;95%</w:t>
            </w:r>
          </w:p>
        </w:tc>
        <w:tc>
          <w:tcPr>
            <w:tcW w:w="0" w:type="auto"/>
          </w:tcPr>
          <w:p w14:paraId="622169FA" w14:textId="2FDF8BC2" w:rsidR="00201718" w:rsidRPr="00F46C3D" w:rsidRDefault="00201718" w:rsidP="00201718">
            <w:pPr>
              <w:jc w:val="center"/>
              <w:rPr>
                <w:rFonts w:ascii="Arial" w:hAnsi="Arial" w:cs="Arial"/>
              </w:rPr>
            </w:pPr>
            <w:r w:rsidRPr="00F46C3D">
              <w:rPr>
                <w:rFonts w:ascii="Arial" w:hAnsi="Arial" w:cs="Arial"/>
              </w:rPr>
              <w:t>Very High</w:t>
            </w:r>
          </w:p>
        </w:tc>
      </w:tr>
    </w:tbl>
    <w:p w14:paraId="70F9B3A1" w14:textId="77777777" w:rsidR="00201718" w:rsidRPr="00F46C3D" w:rsidRDefault="00201718" w:rsidP="00201718">
      <w:pPr>
        <w:jc w:val="center"/>
        <w:rPr>
          <w:rFonts w:ascii="Arial" w:hAnsi="Arial" w:cs="Arial"/>
        </w:rPr>
      </w:pPr>
    </w:p>
    <w:p w14:paraId="75A2B8CE" w14:textId="77777777" w:rsidR="005C77D6" w:rsidRDefault="007B1494" w:rsidP="00F07F60">
      <w:pPr>
        <w:pStyle w:val="Context-text"/>
        <w:rPr>
          <w:sz w:val="22"/>
          <w:szCs w:val="22"/>
        </w:rPr>
      </w:pPr>
      <w:r w:rsidRPr="002F151C">
        <w:rPr>
          <w:rStyle w:val="Style1Char"/>
          <w:rFonts w:eastAsiaTheme="minorHAnsi" w:cs="Arial"/>
          <w:i w:val="0"/>
          <w:iCs w:val="0"/>
          <w:sz w:val="22"/>
          <w:szCs w:val="22"/>
        </w:rPr>
        <w:t>Context</w:t>
      </w:r>
      <w:r w:rsidRPr="002F151C">
        <w:rPr>
          <w:rStyle w:val="Style1Char"/>
          <w:rFonts w:eastAsiaTheme="minorHAnsi" w:cs="Arial"/>
          <w:b w:val="0"/>
          <w:bCs/>
          <w:i w:val="0"/>
          <w:iCs w:val="0"/>
        </w:rPr>
        <w:t>.</w:t>
      </w:r>
      <w:r w:rsidRPr="002F151C">
        <w:rPr>
          <w:rStyle w:val="Style1Char"/>
          <w:rFonts w:eastAsiaTheme="minorHAnsi" w:cs="Arial"/>
          <w:b w:val="0"/>
          <w:bCs/>
        </w:rPr>
        <w:t xml:space="preserve"> </w:t>
      </w:r>
      <w:r w:rsidR="002F151C" w:rsidRPr="00F07F60">
        <w:rPr>
          <w:rStyle w:val="Style1Char"/>
          <w:rFonts w:eastAsiaTheme="minorHAnsi" w:cs="Arial"/>
          <w:b w:val="0"/>
          <w:bCs/>
          <w:i w:val="0"/>
          <w:iCs w:val="0"/>
          <w:sz w:val="22"/>
          <w:szCs w:val="22"/>
        </w:rPr>
        <w:t xml:space="preserve">Include only information about the request for advice, </w:t>
      </w:r>
      <w:r w:rsidR="005C77D6">
        <w:rPr>
          <w:rStyle w:val="Style1Char"/>
          <w:rFonts w:eastAsiaTheme="minorHAnsi" w:cs="Arial"/>
          <w:b w:val="0"/>
          <w:bCs/>
          <w:i w:val="0"/>
          <w:iCs w:val="0"/>
          <w:sz w:val="22"/>
          <w:szCs w:val="22"/>
        </w:rPr>
        <w:t>t</w:t>
      </w:r>
      <w:r w:rsidR="002F151C" w:rsidRPr="00F07F60">
        <w:rPr>
          <w:rStyle w:val="Style1Char"/>
          <w:rFonts w:eastAsiaTheme="minorHAnsi" w:cs="Arial"/>
          <w:b w:val="0"/>
          <w:bCs/>
          <w:i w:val="0"/>
          <w:iCs w:val="0"/>
          <w:sz w:val="22"/>
          <w:szCs w:val="22"/>
        </w:rPr>
        <w:t>he date of the peer review meeting, and information on participants.</w:t>
      </w:r>
      <w:r w:rsidR="002F151C" w:rsidRPr="00F07F60">
        <w:rPr>
          <w:rStyle w:val="Style1Char"/>
          <w:rFonts w:eastAsiaTheme="minorHAnsi" w:cs="Arial"/>
          <w:b w:val="0"/>
          <w:bCs/>
          <w:sz w:val="22"/>
          <w:szCs w:val="22"/>
        </w:rPr>
        <w:t xml:space="preserve"> </w:t>
      </w:r>
      <w:r w:rsidRPr="005C77D6">
        <w:rPr>
          <w:i w:val="0"/>
          <w:iCs w:val="0"/>
          <w:sz w:val="22"/>
          <w:szCs w:val="22"/>
        </w:rPr>
        <w:t>The following paragraph is mandatory for the Context section. The meeting date and title must be exactly as they appear on the Fisheries and Oceans Canada (DFO) Science Advisory Schedule. Be sure to use the default text in the French template for the translation as well as the meeting information on the French version of the schedule.</w:t>
      </w:r>
      <w:r w:rsidR="00F07F60" w:rsidRPr="00F07F60">
        <w:rPr>
          <w:sz w:val="22"/>
          <w:szCs w:val="22"/>
        </w:rPr>
        <w:t xml:space="preserve"> </w:t>
      </w:r>
    </w:p>
    <w:p w14:paraId="77EE6F05" w14:textId="5F2DA869" w:rsidR="007B1494" w:rsidRPr="00F07F60" w:rsidRDefault="007B1494" w:rsidP="00F07F60">
      <w:pPr>
        <w:pStyle w:val="Context-text"/>
        <w:rPr>
          <w:rFonts w:cs="Arial"/>
          <w:i w:val="0"/>
          <w:iCs w:val="0"/>
          <w:sz w:val="22"/>
          <w:szCs w:val="22"/>
        </w:rPr>
      </w:pPr>
      <w:r w:rsidRPr="00F07F60">
        <w:rPr>
          <w:rFonts w:cs="Arial"/>
          <w:sz w:val="22"/>
          <w:szCs w:val="22"/>
        </w:rPr>
        <w:t xml:space="preserve">This Science Advisory Report is from the [meeting date and title (e.g., January 25, 2011 Assessment of Quebec inshore waters softshell clam)]. Additional publications from this meeting will be posted on the </w:t>
      </w:r>
      <w:hyperlink r:id="rId8" w:history="1">
        <w:r w:rsidRPr="00F07F60">
          <w:rPr>
            <w:rStyle w:val="Context-HyperlinkChar"/>
            <w:rFonts w:eastAsiaTheme="minorHAnsi" w:cs="Arial"/>
            <w:sz w:val="22"/>
            <w:szCs w:val="22"/>
          </w:rPr>
          <w:t>Fisheries and Oceans Canada (DFO) Science Advisory Schedule</w:t>
        </w:r>
      </w:hyperlink>
      <w:r w:rsidRPr="00F07F60">
        <w:rPr>
          <w:rFonts w:cs="Arial"/>
          <w:sz w:val="22"/>
          <w:szCs w:val="22"/>
        </w:rPr>
        <w:t xml:space="preserve"> as they become available.</w:t>
      </w:r>
    </w:p>
    <w:p w14:paraId="10E8542E" w14:textId="77777777" w:rsidR="00F07F60" w:rsidRDefault="00F07F60" w:rsidP="002F151C">
      <w:pPr>
        <w:pStyle w:val="Default"/>
        <w:rPr>
          <w:i/>
          <w:iCs/>
          <w:sz w:val="22"/>
          <w:szCs w:val="22"/>
        </w:rPr>
      </w:pPr>
    </w:p>
    <w:p w14:paraId="0367B3FA" w14:textId="145EB8E8" w:rsidR="002F151C" w:rsidRPr="006734C8" w:rsidRDefault="006734C8" w:rsidP="005C77D6">
      <w:pPr>
        <w:pStyle w:val="Default"/>
        <w:ind w:left="630"/>
        <w:rPr>
          <w:i/>
          <w:iCs/>
          <w:sz w:val="22"/>
          <w:szCs w:val="22"/>
        </w:rPr>
      </w:pPr>
      <w:r w:rsidRPr="006734C8">
        <w:rPr>
          <w:i/>
          <w:iCs/>
          <w:sz w:val="22"/>
          <w:szCs w:val="22"/>
        </w:rPr>
        <w:t xml:space="preserve">Example 1: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832"/>
      </w:tblGrid>
      <w:tr w:rsidR="002F151C" w:rsidRPr="006734C8" w14:paraId="341DA4F1" w14:textId="77777777">
        <w:trPr>
          <w:trHeight w:val="707"/>
        </w:trPr>
        <w:tc>
          <w:tcPr>
            <w:tcW w:w="9832" w:type="dxa"/>
          </w:tcPr>
          <w:p w14:paraId="3C701D37" w14:textId="11D69FC9" w:rsidR="002F151C" w:rsidRPr="006734C8" w:rsidRDefault="00150C60" w:rsidP="005C77D6">
            <w:pPr>
              <w:pStyle w:val="Default"/>
              <w:ind w:left="630"/>
              <w:rPr>
                <w:i/>
                <w:iCs/>
                <w:sz w:val="22"/>
                <w:szCs w:val="22"/>
              </w:rPr>
            </w:pPr>
            <w:r w:rsidRPr="006734C8">
              <w:rPr>
                <w:i/>
                <w:iCs/>
                <w:sz w:val="22"/>
                <w:szCs w:val="22"/>
              </w:rPr>
              <w:t xml:space="preserve">The Fisheries Management Branch of Fisheries and Oceans (DFO) has requested harvest </w:t>
            </w:r>
            <w:r w:rsidR="001D3646" w:rsidRPr="006734C8">
              <w:rPr>
                <w:i/>
                <w:iCs/>
                <w:sz w:val="22"/>
                <w:szCs w:val="22"/>
              </w:rPr>
              <w:t xml:space="preserve">levels </w:t>
            </w:r>
            <w:r w:rsidR="005C77D6">
              <w:rPr>
                <w:i/>
                <w:iCs/>
                <w:sz w:val="22"/>
                <w:szCs w:val="22"/>
              </w:rPr>
              <w:t xml:space="preserve">for the </w:t>
            </w:r>
            <w:proofErr w:type="spellStart"/>
            <w:r w:rsidRPr="006734C8">
              <w:rPr>
                <w:i/>
                <w:iCs/>
                <w:sz w:val="22"/>
                <w:szCs w:val="22"/>
              </w:rPr>
              <w:t>sGSL</w:t>
            </w:r>
            <w:proofErr w:type="spellEnd"/>
            <w:r w:rsidRPr="006734C8">
              <w:rPr>
                <w:i/>
                <w:iCs/>
                <w:sz w:val="22"/>
                <w:szCs w:val="22"/>
              </w:rPr>
              <w:t xml:space="preserve"> Atlantic Cod stock</w:t>
            </w:r>
            <w:r w:rsidR="002F151C" w:rsidRPr="006734C8">
              <w:rPr>
                <w:i/>
                <w:iCs/>
                <w:sz w:val="22"/>
                <w:szCs w:val="22"/>
              </w:rPr>
              <w:t xml:space="preserve">. A regional peer review meeting was held February 20-21, 2019 to address the request for science advice. Participants included DFO Science and DFO Fisheries Management personnel from Gulf, Quebec, and the Newfoundland and Labrador regions, the fishing industry, the province of Nova Scotia and an Indigenous community. </w:t>
            </w:r>
          </w:p>
        </w:tc>
      </w:tr>
    </w:tbl>
    <w:p w14:paraId="6AEB2FDF" w14:textId="77777777" w:rsidR="005C77D6" w:rsidRDefault="005C77D6" w:rsidP="005C77D6">
      <w:pPr>
        <w:pStyle w:val="Default"/>
        <w:ind w:left="630"/>
        <w:rPr>
          <w:i/>
          <w:iCs/>
          <w:sz w:val="22"/>
          <w:szCs w:val="22"/>
        </w:rPr>
      </w:pPr>
    </w:p>
    <w:p w14:paraId="76E81F04" w14:textId="71BC969E" w:rsidR="00CD4A11" w:rsidRPr="006734C8" w:rsidRDefault="006734C8" w:rsidP="005C77D6">
      <w:pPr>
        <w:pStyle w:val="Default"/>
        <w:ind w:left="630"/>
        <w:rPr>
          <w:i/>
          <w:iCs/>
          <w:sz w:val="22"/>
          <w:szCs w:val="22"/>
        </w:rPr>
      </w:pPr>
      <w:r w:rsidRPr="006734C8">
        <w:rPr>
          <w:i/>
          <w:iCs/>
          <w:sz w:val="22"/>
          <w:szCs w:val="22"/>
        </w:rPr>
        <w:lastRenderedPageBreak/>
        <w:t xml:space="preserve">Example 2: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772"/>
      </w:tblGrid>
      <w:tr w:rsidR="00CD4A11" w:rsidRPr="006734C8" w14:paraId="31BEB5CC" w14:textId="77777777">
        <w:trPr>
          <w:trHeight w:val="737"/>
        </w:trPr>
        <w:tc>
          <w:tcPr>
            <w:tcW w:w="9772" w:type="dxa"/>
          </w:tcPr>
          <w:p w14:paraId="50463DD3" w14:textId="5B985D3F" w:rsidR="00CD4A11" w:rsidRPr="006734C8" w:rsidRDefault="00150C60" w:rsidP="005C77D6">
            <w:pPr>
              <w:pStyle w:val="Default"/>
              <w:ind w:left="630"/>
              <w:rPr>
                <w:i/>
                <w:iCs/>
                <w:sz w:val="20"/>
                <w:szCs w:val="20"/>
              </w:rPr>
            </w:pPr>
            <w:r w:rsidRPr="006734C8">
              <w:rPr>
                <w:i/>
                <w:iCs/>
                <w:sz w:val="22"/>
                <w:szCs w:val="22"/>
              </w:rPr>
              <w:t xml:space="preserve">The </w:t>
            </w:r>
            <w:r w:rsidR="00CD4A11" w:rsidRPr="006734C8">
              <w:rPr>
                <w:i/>
                <w:iCs/>
                <w:sz w:val="22"/>
                <w:szCs w:val="22"/>
              </w:rPr>
              <w:t>Fisheries Management</w:t>
            </w:r>
            <w:r w:rsidRPr="006734C8">
              <w:rPr>
                <w:i/>
                <w:iCs/>
                <w:sz w:val="22"/>
                <w:szCs w:val="22"/>
              </w:rPr>
              <w:t xml:space="preserve"> Branch of Fisheries and Oceans Canada (DFO)</w:t>
            </w:r>
            <w:r w:rsidR="00CD4A11" w:rsidRPr="006734C8">
              <w:rPr>
                <w:i/>
                <w:iCs/>
                <w:sz w:val="22"/>
                <w:szCs w:val="22"/>
              </w:rPr>
              <w:t xml:space="preserve"> has requested that </w:t>
            </w:r>
            <w:r w:rsidRPr="006734C8">
              <w:rPr>
                <w:i/>
                <w:iCs/>
                <w:sz w:val="22"/>
                <w:szCs w:val="22"/>
              </w:rPr>
              <w:t xml:space="preserve">the 4X5Y Atlantic Cod stock be assessed relative to reference points that are consistent with the DFO Precautionary Approach, provide harvest advice, and </w:t>
            </w:r>
            <w:r w:rsidR="00CD4A11" w:rsidRPr="006734C8">
              <w:rPr>
                <w:i/>
                <w:iCs/>
                <w:sz w:val="22"/>
                <w:szCs w:val="22"/>
              </w:rPr>
              <w:t xml:space="preserve">inform the rebuilding plan for this stock. This </w:t>
            </w:r>
            <w:r w:rsidRPr="006734C8">
              <w:rPr>
                <w:i/>
                <w:iCs/>
                <w:sz w:val="22"/>
                <w:szCs w:val="22"/>
              </w:rPr>
              <w:t xml:space="preserve">Fisheries </w:t>
            </w:r>
            <w:r w:rsidR="00CD4A11" w:rsidRPr="006734C8">
              <w:rPr>
                <w:i/>
                <w:iCs/>
                <w:sz w:val="22"/>
                <w:szCs w:val="22"/>
              </w:rPr>
              <w:t>Science Advisory Report is from the December 4, 2018, Stock Assessment of Atlantic Cod in NAFO Division 4X5Y. Additional publications from this meeting will be posted on the Fisheries and Oceans Canada (DFO) Science Advisory Schedule as they become available.</w:t>
            </w:r>
            <w:r w:rsidR="00CD4A11" w:rsidRPr="006734C8">
              <w:rPr>
                <w:i/>
                <w:iCs/>
                <w:sz w:val="20"/>
                <w:szCs w:val="20"/>
              </w:rPr>
              <w:t xml:space="preserve"> </w:t>
            </w:r>
          </w:p>
        </w:tc>
      </w:tr>
    </w:tbl>
    <w:p w14:paraId="51EA4F53" w14:textId="77777777" w:rsidR="00C06DA3" w:rsidRDefault="00C06DA3" w:rsidP="005C77D6">
      <w:pPr>
        <w:pStyle w:val="Default"/>
        <w:ind w:left="630"/>
        <w:rPr>
          <w:i/>
          <w:iCs/>
          <w:sz w:val="22"/>
          <w:szCs w:val="22"/>
        </w:rPr>
      </w:pPr>
    </w:p>
    <w:p w14:paraId="42F40E27" w14:textId="11324E16" w:rsidR="006734C8" w:rsidRPr="006734C8" w:rsidRDefault="006734C8" w:rsidP="005C77D6">
      <w:pPr>
        <w:pStyle w:val="Default"/>
        <w:ind w:left="630"/>
        <w:rPr>
          <w:i/>
          <w:iCs/>
          <w:sz w:val="22"/>
          <w:szCs w:val="22"/>
        </w:rPr>
      </w:pPr>
      <w:r w:rsidRPr="006734C8">
        <w:rPr>
          <w:i/>
          <w:iCs/>
          <w:sz w:val="22"/>
          <w:szCs w:val="22"/>
        </w:rPr>
        <w:t xml:space="preserve">Example 3: </w:t>
      </w:r>
    </w:p>
    <w:p w14:paraId="2722BA0F" w14:textId="39FF51F7" w:rsidR="00CD4A11" w:rsidRPr="006734C8" w:rsidRDefault="00CD4A11" w:rsidP="005C77D6">
      <w:pPr>
        <w:pStyle w:val="CM23"/>
        <w:spacing w:after="117" w:line="271" w:lineRule="atLeast"/>
        <w:ind w:left="630"/>
        <w:rPr>
          <w:rFonts w:ascii="Arial" w:hAnsi="Arial" w:cs="Arial"/>
          <w:i/>
          <w:iCs/>
          <w:color w:val="000000"/>
          <w:sz w:val="22"/>
          <w:szCs w:val="22"/>
        </w:rPr>
      </w:pPr>
      <w:r w:rsidRPr="006734C8">
        <w:rPr>
          <w:rFonts w:ascii="Arial" w:hAnsi="Arial" w:cs="Arial"/>
          <w:i/>
          <w:iCs/>
          <w:color w:val="000000"/>
          <w:sz w:val="22"/>
          <w:szCs w:val="22"/>
        </w:rPr>
        <w:t>The previous advice (DFO 2019a)</w:t>
      </w:r>
      <w:r w:rsidR="00150C60" w:rsidRPr="006734C8">
        <w:rPr>
          <w:rFonts w:ascii="Arial" w:hAnsi="Arial" w:cs="Arial"/>
          <w:i/>
          <w:iCs/>
          <w:color w:val="000000"/>
          <w:sz w:val="22"/>
          <w:szCs w:val="22"/>
        </w:rPr>
        <w:t xml:space="preserve"> for BC Pacific Cod</w:t>
      </w:r>
      <w:r w:rsidRPr="006734C8">
        <w:rPr>
          <w:rFonts w:ascii="Arial" w:hAnsi="Arial" w:cs="Arial"/>
          <w:i/>
          <w:iCs/>
          <w:color w:val="000000"/>
          <w:sz w:val="22"/>
          <w:szCs w:val="22"/>
        </w:rPr>
        <w:t xml:space="preserve"> recommended assessment updates be pro</w:t>
      </w:r>
      <w:r w:rsidRPr="006734C8">
        <w:rPr>
          <w:rFonts w:ascii="Arial" w:hAnsi="Arial" w:cs="Arial"/>
          <w:i/>
          <w:iCs/>
          <w:color w:val="000000"/>
          <w:sz w:val="22"/>
          <w:szCs w:val="22"/>
        </w:rPr>
        <w:softHyphen/>
        <w:t xml:space="preserve">vided in years immediately following the biennial </w:t>
      </w:r>
      <w:proofErr w:type="spellStart"/>
      <w:r w:rsidRPr="006734C8">
        <w:rPr>
          <w:rFonts w:ascii="Arial" w:hAnsi="Arial" w:cs="Arial"/>
          <w:i/>
          <w:iCs/>
          <w:color w:val="000000"/>
          <w:sz w:val="22"/>
          <w:szCs w:val="22"/>
        </w:rPr>
        <w:t>groundfsh</w:t>
      </w:r>
      <w:proofErr w:type="spellEnd"/>
      <w:r w:rsidRPr="006734C8">
        <w:rPr>
          <w:rFonts w:ascii="Arial" w:hAnsi="Arial" w:cs="Arial"/>
          <w:i/>
          <w:iCs/>
          <w:color w:val="000000"/>
          <w:sz w:val="22"/>
          <w:szCs w:val="22"/>
        </w:rPr>
        <w:t xml:space="preserve"> synoptic bottom trawl survey (i.e., when the most recent survey index point is available). However, given the low 2018 index of abundance in Area 3CD, coupled with the lack of updated survey information in 2020, </w:t>
      </w:r>
      <w:r w:rsidR="00150C60" w:rsidRPr="006734C8">
        <w:rPr>
          <w:rFonts w:ascii="Arial" w:hAnsi="Arial" w:cs="Arial"/>
          <w:i/>
          <w:iCs/>
          <w:color w:val="000000"/>
          <w:sz w:val="22"/>
          <w:szCs w:val="22"/>
        </w:rPr>
        <w:t xml:space="preserve">the </w:t>
      </w:r>
      <w:proofErr w:type="spellStart"/>
      <w:r w:rsidR="00150C60" w:rsidRPr="006734C8">
        <w:rPr>
          <w:rFonts w:ascii="Arial" w:hAnsi="Arial" w:cs="Arial"/>
          <w:i/>
          <w:iCs/>
          <w:color w:val="000000"/>
          <w:sz w:val="22"/>
          <w:szCs w:val="22"/>
        </w:rPr>
        <w:t>Pacifc</w:t>
      </w:r>
      <w:proofErr w:type="spellEnd"/>
      <w:r w:rsidR="00150C60" w:rsidRPr="006734C8">
        <w:rPr>
          <w:rFonts w:ascii="Arial" w:hAnsi="Arial" w:cs="Arial"/>
          <w:i/>
          <w:iCs/>
          <w:color w:val="000000"/>
          <w:sz w:val="22"/>
          <w:szCs w:val="22"/>
        </w:rPr>
        <w:t xml:space="preserve"> Fisheries Management Branch of </w:t>
      </w:r>
      <w:r w:rsidRPr="006734C8">
        <w:rPr>
          <w:rFonts w:ascii="Arial" w:hAnsi="Arial" w:cs="Arial"/>
          <w:i/>
          <w:iCs/>
          <w:color w:val="000000"/>
          <w:sz w:val="22"/>
          <w:szCs w:val="22"/>
        </w:rPr>
        <w:t xml:space="preserve">Fisheries and Oceans Canada (DFO) has requested that DFO </w:t>
      </w:r>
      <w:proofErr w:type="spellStart"/>
      <w:r w:rsidRPr="006734C8">
        <w:rPr>
          <w:rFonts w:ascii="Arial" w:hAnsi="Arial" w:cs="Arial"/>
          <w:i/>
          <w:iCs/>
          <w:color w:val="000000"/>
          <w:sz w:val="22"/>
          <w:szCs w:val="22"/>
        </w:rPr>
        <w:t>Pacifc</w:t>
      </w:r>
      <w:proofErr w:type="spellEnd"/>
      <w:r w:rsidRPr="006734C8">
        <w:rPr>
          <w:rFonts w:ascii="Arial" w:hAnsi="Arial" w:cs="Arial"/>
          <w:i/>
          <w:iCs/>
          <w:color w:val="000000"/>
          <w:sz w:val="22"/>
          <w:szCs w:val="22"/>
        </w:rPr>
        <w:t xml:space="preserve"> Science Branch assess the status of both BC </w:t>
      </w:r>
      <w:proofErr w:type="spellStart"/>
      <w:r w:rsidRPr="006734C8">
        <w:rPr>
          <w:rFonts w:ascii="Arial" w:hAnsi="Arial" w:cs="Arial"/>
          <w:i/>
          <w:iCs/>
          <w:color w:val="000000"/>
          <w:sz w:val="22"/>
          <w:szCs w:val="22"/>
        </w:rPr>
        <w:t>Pacifc</w:t>
      </w:r>
      <w:proofErr w:type="spellEnd"/>
      <w:r w:rsidRPr="006734C8">
        <w:rPr>
          <w:rFonts w:ascii="Arial" w:hAnsi="Arial" w:cs="Arial"/>
          <w:i/>
          <w:iCs/>
          <w:color w:val="000000"/>
          <w:sz w:val="22"/>
          <w:szCs w:val="22"/>
        </w:rPr>
        <w:t xml:space="preserve"> Cod stocks in 2020 and recommend harvest advice for 2021</w:t>
      </w:r>
      <w:r w:rsidR="00150C60" w:rsidRPr="006734C8">
        <w:rPr>
          <w:rFonts w:ascii="Arial" w:hAnsi="Arial" w:cs="Arial"/>
          <w:i/>
          <w:iCs/>
          <w:color w:val="000000"/>
          <w:sz w:val="22"/>
          <w:szCs w:val="22"/>
        </w:rPr>
        <w:t>,</w:t>
      </w:r>
      <w:r w:rsidRPr="006734C8">
        <w:rPr>
          <w:rFonts w:ascii="Arial" w:hAnsi="Arial" w:cs="Arial"/>
          <w:i/>
          <w:iCs/>
          <w:color w:val="000000"/>
          <w:sz w:val="22"/>
          <w:szCs w:val="22"/>
        </w:rPr>
        <w:t xml:space="preserve"> to inform the development of the 2020/2021 Integrated Fisheries Man</w:t>
      </w:r>
      <w:r w:rsidRPr="006734C8">
        <w:rPr>
          <w:rFonts w:ascii="Arial" w:hAnsi="Arial" w:cs="Arial"/>
          <w:i/>
          <w:iCs/>
          <w:color w:val="000000"/>
          <w:sz w:val="22"/>
          <w:szCs w:val="22"/>
        </w:rPr>
        <w:softHyphen/>
        <w:t xml:space="preserve">agement Plan. </w:t>
      </w:r>
    </w:p>
    <w:p w14:paraId="3517212F" w14:textId="6735B7E7" w:rsidR="00CD4A11" w:rsidRPr="006734C8" w:rsidRDefault="00CD4A11" w:rsidP="005C77D6">
      <w:pPr>
        <w:ind w:left="630"/>
        <w:rPr>
          <w:rFonts w:ascii="Arial" w:hAnsi="Arial" w:cs="Arial"/>
          <w:i/>
          <w:iCs/>
          <w:color w:val="000000"/>
        </w:rPr>
      </w:pPr>
      <w:r w:rsidRPr="006734C8">
        <w:rPr>
          <w:rFonts w:ascii="Arial" w:hAnsi="Arial" w:cs="Arial"/>
          <w:i/>
          <w:iCs/>
          <w:color w:val="000000"/>
        </w:rPr>
        <w:t xml:space="preserve">This </w:t>
      </w:r>
      <w:r w:rsidR="00150C60" w:rsidRPr="006734C8">
        <w:rPr>
          <w:rFonts w:ascii="Arial" w:hAnsi="Arial" w:cs="Arial"/>
          <w:i/>
          <w:iCs/>
          <w:color w:val="000000"/>
        </w:rPr>
        <w:t>Fisheries Science Advice Report</w:t>
      </w:r>
      <w:r w:rsidRPr="006734C8">
        <w:rPr>
          <w:rFonts w:ascii="Arial" w:hAnsi="Arial" w:cs="Arial"/>
          <w:i/>
          <w:iCs/>
          <w:color w:val="000000"/>
        </w:rPr>
        <w:t xml:space="preserve"> results from the Science Response Process of October 2020 on the Stock Assessment Update of British Columbia </w:t>
      </w:r>
      <w:proofErr w:type="spellStart"/>
      <w:r w:rsidRPr="006734C8">
        <w:rPr>
          <w:rFonts w:ascii="Arial" w:hAnsi="Arial" w:cs="Arial"/>
          <w:i/>
          <w:iCs/>
          <w:color w:val="000000"/>
        </w:rPr>
        <w:t>Pacifc</w:t>
      </w:r>
      <w:proofErr w:type="spellEnd"/>
      <w:r w:rsidRPr="006734C8">
        <w:rPr>
          <w:rFonts w:ascii="Arial" w:hAnsi="Arial" w:cs="Arial"/>
          <w:i/>
          <w:iCs/>
          <w:color w:val="000000"/>
        </w:rPr>
        <w:t xml:space="preserve"> Cod for Areas 3CD, and 5ABCD in 2020.</w:t>
      </w:r>
    </w:p>
    <w:tbl>
      <w:tblPr>
        <w:tblW w:w="10024" w:type="dxa"/>
        <w:tblInd w:w="-108" w:type="dxa"/>
        <w:tblBorders>
          <w:top w:val="nil"/>
          <w:left w:val="nil"/>
          <w:bottom w:val="nil"/>
          <w:right w:val="nil"/>
        </w:tblBorders>
        <w:tblLayout w:type="fixed"/>
        <w:tblLook w:val="0000" w:firstRow="0" w:lastRow="0" w:firstColumn="0" w:lastColumn="0" w:noHBand="0" w:noVBand="0"/>
      </w:tblPr>
      <w:tblGrid>
        <w:gridCol w:w="10024"/>
      </w:tblGrid>
      <w:tr w:rsidR="00CD4A11" w:rsidRPr="006734C8" w14:paraId="71AE1565" w14:textId="77777777" w:rsidTr="001C7944">
        <w:trPr>
          <w:trHeight w:val="966"/>
        </w:trPr>
        <w:tc>
          <w:tcPr>
            <w:tcW w:w="10024" w:type="dxa"/>
          </w:tcPr>
          <w:p w14:paraId="46E5B89F" w14:textId="1EB0D59A" w:rsidR="00CD4A11" w:rsidRPr="006734C8" w:rsidRDefault="006734C8" w:rsidP="005C77D6">
            <w:pPr>
              <w:pStyle w:val="Default"/>
              <w:ind w:left="630"/>
              <w:rPr>
                <w:i/>
                <w:iCs/>
                <w:sz w:val="22"/>
                <w:szCs w:val="22"/>
              </w:rPr>
            </w:pPr>
            <w:r w:rsidRPr="006734C8">
              <w:rPr>
                <w:i/>
                <w:iCs/>
                <w:sz w:val="22"/>
                <w:szCs w:val="22"/>
              </w:rPr>
              <w:t>Example 4:</w:t>
            </w:r>
            <w:r w:rsidRPr="006734C8">
              <w:rPr>
                <w:i/>
                <w:iCs/>
              </w:rPr>
              <w:br/>
            </w:r>
            <w:r w:rsidR="00CD4A11" w:rsidRPr="006734C8">
              <w:rPr>
                <w:i/>
                <w:iCs/>
                <w:sz w:val="22"/>
                <w:szCs w:val="22"/>
              </w:rPr>
              <w:t xml:space="preserve">The Fisheries Management Branch of Fisheries and Oceans Canada (DFO) requested that the Walleye Pollock stock be assessed relative to reference points that are consistent with the DFO Precautionary Approach (DFO 2009), and that probabilistic decision tables be produced that forecast the effect of a range of fixed annual harvest levels on stock status. </w:t>
            </w:r>
          </w:p>
          <w:p w14:paraId="75E873C4" w14:textId="77777777" w:rsidR="00CD4A11" w:rsidRPr="006734C8" w:rsidRDefault="00CD4A11" w:rsidP="005C77D6">
            <w:pPr>
              <w:pStyle w:val="Default"/>
              <w:ind w:left="630"/>
              <w:rPr>
                <w:i/>
                <w:iCs/>
                <w:sz w:val="20"/>
                <w:szCs w:val="20"/>
              </w:rPr>
            </w:pPr>
            <w:r w:rsidRPr="006734C8">
              <w:rPr>
                <w:i/>
                <w:iCs/>
                <w:sz w:val="22"/>
                <w:szCs w:val="22"/>
              </w:rPr>
              <w:t>This Science Advisory Report is from the November 14-15, 2017 regional peer review on Walleye Pollock (</w:t>
            </w:r>
            <w:proofErr w:type="spellStart"/>
            <w:r w:rsidRPr="006734C8">
              <w:rPr>
                <w:i/>
                <w:iCs/>
                <w:sz w:val="22"/>
                <w:szCs w:val="22"/>
              </w:rPr>
              <w:t>Theragra</w:t>
            </w:r>
            <w:proofErr w:type="spellEnd"/>
            <w:r w:rsidRPr="006734C8">
              <w:rPr>
                <w:i/>
                <w:iCs/>
                <w:sz w:val="22"/>
                <w:szCs w:val="22"/>
              </w:rPr>
              <w:t xml:space="preserve"> </w:t>
            </w:r>
            <w:proofErr w:type="spellStart"/>
            <w:r w:rsidRPr="006734C8">
              <w:rPr>
                <w:i/>
                <w:iCs/>
                <w:sz w:val="22"/>
                <w:szCs w:val="22"/>
              </w:rPr>
              <w:t>chalcogramma</w:t>
            </w:r>
            <w:proofErr w:type="spellEnd"/>
            <w:r w:rsidRPr="006734C8">
              <w:rPr>
                <w:i/>
                <w:iCs/>
                <w:sz w:val="22"/>
                <w:szCs w:val="22"/>
              </w:rPr>
              <w:t>) stock assessment for British Columbia in 2017. Additional publications from this meeting will be posted on the Fisheries and Oceans Canada (DFO) Science Advisory Schedule as they become available.</w:t>
            </w:r>
          </w:p>
        </w:tc>
      </w:tr>
    </w:tbl>
    <w:p w14:paraId="03CCBDAE" w14:textId="77777777" w:rsidR="00CD4A11" w:rsidRPr="00CD4A11" w:rsidRDefault="00CD4A11" w:rsidP="00CD4A11">
      <w:pPr>
        <w:rPr>
          <w:rStyle w:val="Style1Char"/>
          <w:rFonts w:eastAsiaTheme="minorHAnsi" w:cs="Arial"/>
          <w:lang w:val="en-US"/>
        </w:rPr>
      </w:pPr>
    </w:p>
    <w:p w14:paraId="71F23622" w14:textId="0C88D20A" w:rsidR="0076473F" w:rsidRPr="00F46C3D" w:rsidRDefault="0076473F" w:rsidP="0076473F">
      <w:pPr>
        <w:rPr>
          <w:rFonts w:ascii="Arial" w:hAnsi="Arial" w:cs="Arial"/>
          <w:color w:val="2E74B5" w:themeColor="accent5" w:themeShade="BF"/>
          <w:u w:val="single"/>
        </w:rPr>
      </w:pPr>
      <w:r w:rsidRPr="00F46C3D">
        <w:rPr>
          <w:rStyle w:val="Style1Char"/>
          <w:rFonts w:eastAsiaTheme="minorHAnsi" w:cs="Arial"/>
        </w:rPr>
        <w:t>Fish Stock Name</w:t>
      </w:r>
      <w:r w:rsidR="00F46C3D">
        <w:rPr>
          <w:rStyle w:val="Style1Char"/>
          <w:rFonts w:eastAsiaTheme="minorHAnsi" w:cs="Arial"/>
        </w:rPr>
        <w:t>.</w:t>
      </w:r>
      <w:r w:rsidRPr="00F46C3D">
        <w:rPr>
          <w:rFonts w:ascii="Arial" w:hAnsi="Arial" w:cs="Arial"/>
        </w:rPr>
        <w:t xml:space="preserve"> </w:t>
      </w:r>
      <w:r w:rsidR="00201718" w:rsidRPr="00F46C3D">
        <w:rPr>
          <w:rFonts w:ascii="Arial" w:hAnsi="Arial" w:cs="Arial"/>
        </w:rPr>
        <w:t xml:space="preserve">‘Advice Year’ </w:t>
      </w:r>
      <w:r w:rsidR="00DE3D0C" w:rsidRPr="00F46C3D">
        <w:rPr>
          <w:rFonts w:ascii="Arial" w:hAnsi="Arial" w:cs="Arial"/>
        </w:rPr>
        <w:t xml:space="preserve">Name of the </w:t>
      </w:r>
      <w:r w:rsidR="00201718" w:rsidRPr="00F46C3D">
        <w:rPr>
          <w:rFonts w:ascii="Arial" w:hAnsi="Arial" w:cs="Arial"/>
        </w:rPr>
        <w:t xml:space="preserve">assessed </w:t>
      </w:r>
      <w:r w:rsidR="00DE3D0C" w:rsidRPr="00F46C3D">
        <w:rPr>
          <w:rFonts w:ascii="Arial" w:hAnsi="Arial" w:cs="Arial"/>
        </w:rPr>
        <w:t>stock</w:t>
      </w:r>
      <w:r w:rsidR="00201718" w:rsidRPr="00F46C3D">
        <w:rPr>
          <w:rFonts w:ascii="Arial" w:hAnsi="Arial" w:cs="Arial"/>
        </w:rPr>
        <w:t xml:space="preserve"> (formal taxonomic treatments)</w:t>
      </w:r>
      <w:r w:rsidR="006956D6" w:rsidRPr="00F46C3D">
        <w:rPr>
          <w:rFonts w:ascii="Arial" w:hAnsi="Arial" w:cs="Arial"/>
        </w:rPr>
        <w:t xml:space="preserve"> </w:t>
      </w:r>
      <w:r w:rsidR="001A29E4" w:rsidRPr="00F46C3D">
        <w:rPr>
          <w:rFonts w:ascii="Arial" w:hAnsi="Arial" w:cs="Arial"/>
        </w:rPr>
        <w:t xml:space="preserve">and </w:t>
      </w:r>
      <w:r w:rsidR="004B0B79" w:rsidRPr="00F46C3D">
        <w:rPr>
          <w:rFonts w:ascii="Arial" w:hAnsi="Arial" w:cs="Arial"/>
        </w:rPr>
        <w:t>‘Advice</w:t>
      </w:r>
      <w:r w:rsidR="001A29E4" w:rsidRPr="00F46C3D">
        <w:rPr>
          <w:rFonts w:ascii="Arial" w:hAnsi="Arial" w:cs="Arial"/>
        </w:rPr>
        <w:t xml:space="preserve"> Year’</w:t>
      </w:r>
      <w:r w:rsidRPr="00F46C3D">
        <w:rPr>
          <w:rFonts w:ascii="Arial" w:hAnsi="Arial" w:cs="Arial"/>
        </w:rPr>
        <w:t xml:space="preserve">; </w:t>
      </w:r>
      <w:r w:rsidRPr="00F46C3D">
        <w:rPr>
          <w:rFonts w:ascii="Arial" w:hAnsi="Arial" w:cs="Arial"/>
          <w:color w:val="2E74B5" w:themeColor="accent5" w:themeShade="BF"/>
          <w:u w:val="single"/>
        </w:rPr>
        <w:t>hyperlink to species overview document</w:t>
      </w:r>
    </w:p>
    <w:p w14:paraId="62A56E54" w14:textId="3C553358" w:rsidR="00201718" w:rsidRPr="00F46C3D" w:rsidRDefault="00201718" w:rsidP="00F46C3D">
      <w:pPr>
        <w:ind w:left="720"/>
        <w:rPr>
          <w:rFonts w:ascii="Arial" w:hAnsi="Arial" w:cs="Arial"/>
          <w:i/>
          <w:iCs/>
        </w:rPr>
      </w:pPr>
      <w:r w:rsidRPr="00F46C3D">
        <w:rPr>
          <w:rFonts w:ascii="Arial" w:hAnsi="Arial" w:cs="Arial"/>
        </w:rPr>
        <w:t xml:space="preserve">2019 </w:t>
      </w:r>
      <w:r w:rsidRPr="00F46C3D">
        <w:rPr>
          <w:rFonts w:ascii="Arial" w:hAnsi="Arial" w:cs="Arial"/>
          <w:i/>
          <w:iCs/>
        </w:rPr>
        <w:t xml:space="preserve">4X5Y Atlantic Cod (Gadus </w:t>
      </w:r>
      <w:proofErr w:type="spellStart"/>
      <w:r w:rsidRPr="00F46C3D">
        <w:rPr>
          <w:rFonts w:ascii="Arial" w:hAnsi="Arial" w:cs="Arial"/>
          <w:i/>
          <w:iCs/>
        </w:rPr>
        <w:t>morhua</w:t>
      </w:r>
      <w:proofErr w:type="spellEnd"/>
      <w:r w:rsidRPr="00F46C3D">
        <w:rPr>
          <w:rFonts w:ascii="Arial" w:hAnsi="Arial" w:cs="Arial"/>
          <w:i/>
          <w:iCs/>
        </w:rPr>
        <w:t xml:space="preserve">), Maritimes Region; </w:t>
      </w:r>
      <w:r w:rsidRPr="00F46C3D">
        <w:rPr>
          <w:rFonts w:ascii="Arial" w:hAnsi="Arial" w:cs="Arial"/>
          <w:i/>
          <w:iCs/>
          <w:color w:val="0070C0"/>
          <w:u w:val="single"/>
        </w:rPr>
        <w:t>4X5Y Atlantic Cod S</w:t>
      </w:r>
      <w:r w:rsidR="007862B9" w:rsidRPr="00F46C3D">
        <w:rPr>
          <w:rFonts w:ascii="Arial" w:hAnsi="Arial" w:cs="Arial"/>
          <w:i/>
          <w:iCs/>
          <w:color w:val="0070C0"/>
          <w:u w:val="single"/>
        </w:rPr>
        <w:t>tock</w:t>
      </w:r>
      <w:r w:rsidRPr="00F46C3D">
        <w:rPr>
          <w:rFonts w:ascii="Arial" w:hAnsi="Arial" w:cs="Arial"/>
          <w:i/>
          <w:iCs/>
          <w:color w:val="0070C0"/>
          <w:u w:val="single"/>
        </w:rPr>
        <w:t xml:space="preserve"> Overview</w:t>
      </w:r>
    </w:p>
    <w:p w14:paraId="4852C1C1" w14:textId="24F1F8DF" w:rsidR="005310DC" w:rsidRDefault="005310DC" w:rsidP="005310DC">
      <w:pPr>
        <w:rPr>
          <w:rStyle w:val="Style1Char"/>
          <w:rFonts w:eastAsiaTheme="minorHAnsi" w:cs="Arial"/>
        </w:rPr>
      </w:pPr>
      <w:bookmarkStart w:id="0" w:name="_Hlk102051993"/>
    </w:p>
    <w:p w14:paraId="754F6643" w14:textId="2EC51D8A" w:rsidR="001C4D2B" w:rsidRDefault="005310DC" w:rsidP="005310DC">
      <w:pPr>
        <w:rPr>
          <w:rStyle w:val="Style1Char"/>
          <w:rFonts w:eastAsiaTheme="minorHAnsi" w:cs="Arial"/>
          <w:b w:val="0"/>
          <w:bCs/>
        </w:rPr>
      </w:pPr>
      <w:r w:rsidRPr="005310DC">
        <w:rPr>
          <w:rStyle w:val="Style1Char"/>
          <w:rFonts w:eastAsiaTheme="minorHAnsi" w:cs="Arial"/>
        </w:rPr>
        <w:t>Science Advice</w:t>
      </w:r>
      <w:r>
        <w:rPr>
          <w:rStyle w:val="Style1Char"/>
          <w:rFonts w:eastAsiaTheme="minorHAnsi" w:cs="Arial"/>
          <w:b w:val="0"/>
          <w:bCs/>
        </w:rPr>
        <w:t xml:space="preserve">.  </w:t>
      </w:r>
      <w:commentRangeStart w:id="1"/>
      <w:r w:rsidR="00115D2E" w:rsidRPr="005C77D6">
        <w:rPr>
          <w:rStyle w:val="Style1Char"/>
          <w:rFonts w:eastAsiaTheme="minorHAnsi" w:cs="Arial"/>
          <w:b w:val="0"/>
          <w:bCs/>
        </w:rPr>
        <w:t>Include</w:t>
      </w:r>
      <w:commentRangeEnd w:id="1"/>
      <w:r w:rsidR="00653FDF">
        <w:rPr>
          <w:rStyle w:val="CommentReference"/>
        </w:rPr>
        <w:commentReference w:id="1"/>
      </w:r>
      <w:r w:rsidR="00115D2E" w:rsidRPr="005C77D6">
        <w:rPr>
          <w:rStyle w:val="Style1Char"/>
          <w:rFonts w:eastAsiaTheme="minorHAnsi" w:cs="Arial"/>
          <w:b w:val="0"/>
          <w:bCs/>
        </w:rPr>
        <w:t xml:space="preserve"> a summary of the science advice incorporating</w:t>
      </w:r>
      <w:r w:rsidR="00094664" w:rsidRPr="005C77D6">
        <w:rPr>
          <w:rStyle w:val="Style1Char"/>
          <w:rFonts w:eastAsiaTheme="minorHAnsi" w:cs="Arial"/>
          <w:b w:val="0"/>
          <w:bCs/>
        </w:rPr>
        <w:t xml:space="preserve"> </w:t>
      </w:r>
      <w:r w:rsidR="00871E16">
        <w:rPr>
          <w:rStyle w:val="Style1Char"/>
          <w:rFonts w:eastAsiaTheme="minorHAnsi" w:cs="Arial"/>
          <w:b w:val="0"/>
          <w:bCs/>
        </w:rPr>
        <w:t xml:space="preserve">status, </w:t>
      </w:r>
      <w:r w:rsidR="00653FDF">
        <w:rPr>
          <w:rStyle w:val="Style1Char"/>
          <w:rFonts w:eastAsiaTheme="minorHAnsi" w:cs="Arial"/>
          <w:b w:val="0"/>
          <w:bCs/>
        </w:rPr>
        <w:t>trends</w:t>
      </w:r>
      <w:r w:rsidR="00094664" w:rsidRPr="005C77D6">
        <w:rPr>
          <w:rStyle w:val="Style1Char"/>
          <w:rFonts w:eastAsiaTheme="minorHAnsi" w:cs="Arial"/>
          <w:b w:val="0"/>
          <w:bCs/>
        </w:rPr>
        <w:t>,</w:t>
      </w:r>
      <w:r w:rsidR="00115D2E" w:rsidRPr="005C77D6">
        <w:rPr>
          <w:rStyle w:val="Style1Char"/>
          <w:rFonts w:eastAsiaTheme="minorHAnsi" w:cs="Arial"/>
          <w:b w:val="0"/>
          <w:bCs/>
        </w:rPr>
        <w:t xml:space="preserve"> </w:t>
      </w:r>
      <w:r w:rsidR="00653FDF">
        <w:rPr>
          <w:rStyle w:val="Style1Char"/>
          <w:rFonts w:eastAsiaTheme="minorHAnsi" w:cs="Arial"/>
          <w:b w:val="0"/>
          <w:bCs/>
        </w:rPr>
        <w:t xml:space="preserve">forward-looking advice, including </w:t>
      </w:r>
      <w:r w:rsidR="00115D2E" w:rsidRPr="005C77D6">
        <w:rPr>
          <w:rStyle w:val="Style1Char"/>
          <w:rFonts w:eastAsiaTheme="minorHAnsi" w:cs="Arial"/>
          <w:b w:val="0"/>
          <w:bCs/>
        </w:rPr>
        <w:t xml:space="preserve">the expected outcome of harvest scenarios </w:t>
      </w:r>
      <w:r w:rsidR="00653FDF">
        <w:rPr>
          <w:rStyle w:val="Style1Char"/>
          <w:rFonts w:eastAsiaTheme="minorHAnsi" w:cs="Arial"/>
          <w:b w:val="0"/>
          <w:bCs/>
        </w:rPr>
        <w:t>evaluated</w:t>
      </w:r>
      <w:r w:rsidR="00115D2E" w:rsidRPr="005C77D6">
        <w:rPr>
          <w:rStyle w:val="Style1Char"/>
          <w:rFonts w:eastAsiaTheme="minorHAnsi" w:cs="Arial"/>
          <w:b w:val="0"/>
          <w:bCs/>
        </w:rPr>
        <w:t xml:space="preserve"> </w:t>
      </w:r>
      <w:r w:rsidR="00653FDF">
        <w:rPr>
          <w:rStyle w:val="Style1Char"/>
          <w:rFonts w:eastAsiaTheme="minorHAnsi" w:cs="Arial"/>
          <w:b w:val="0"/>
          <w:bCs/>
        </w:rPr>
        <w:t xml:space="preserve">(and note any scenarios that met measurable objectives for the stock, if applicable). </w:t>
      </w:r>
      <w:r w:rsidR="00115D2E" w:rsidRPr="005C77D6">
        <w:rPr>
          <w:rStyle w:val="Style1Char"/>
          <w:rFonts w:eastAsiaTheme="minorHAnsi" w:cs="Arial"/>
          <w:b w:val="0"/>
          <w:bCs/>
        </w:rPr>
        <w:t xml:space="preserve">(include those that met measurable objectives for the stock if applicable), </w:t>
      </w:r>
      <w:r w:rsidR="00094664" w:rsidRPr="005C77D6">
        <w:rPr>
          <w:rStyle w:val="Style1Char"/>
          <w:rFonts w:eastAsiaTheme="minorHAnsi" w:cs="Arial"/>
          <w:b w:val="0"/>
          <w:bCs/>
        </w:rPr>
        <w:t xml:space="preserve">and </w:t>
      </w:r>
      <w:r w:rsidR="00115D2E" w:rsidRPr="005C77D6">
        <w:rPr>
          <w:rStyle w:val="Style1Char"/>
          <w:rFonts w:eastAsiaTheme="minorHAnsi" w:cs="Arial"/>
          <w:b w:val="0"/>
          <w:bCs/>
        </w:rPr>
        <w:t xml:space="preserve">trends in other biological, </w:t>
      </w:r>
      <w:r w:rsidR="00653FDF">
        <w:rPr>
          <w:rStyle w:val="Style1Char"/>
          <w:rFonts w:eastAsiaTheme="minorHAnsi" w:cs="Arial"/>
          <w:b w:val="0"/>
          <w:bCs/>
        </w:rPr>
        <w:t xml:space="preserve">fishery, or </w:t>
      </w:r>
      <w:r w:rsidR="00115D2E" w:rsidRPr="005C77D6">
        <w:rPr>
          <w:rStyle w:val="Style1Char"/>
          <w:rFonts w:eastAsiaTheme="minorHAnsi" w:cs="Arial"/>
          <w:b w:val="0"/>
          <w:bCs/>
        </w:rPr>
        <w:t>environmental and climate change factors affecting the stock</w:t>
      </w:r>
      <w:r w:rsidR="00F46C3D" w:rsidRPr="005C77D6">
        <w:rPr>
          <w:rStyle w:val="Style1Char"/>
          <w:rFonts w:eastAsiaTheme="minorHAnsi" w:cs="Arial"/>
          <w:b w:val="0"/>
          <w:bCs/>
        </w:rPr>
        <w:t xml:space="preserve"> that </w:t>
      </w:r>
      <w:r w:rsidR="00653FDF">
        <w:rPr>
          <w:rStyle w:val="Style1Char"/>
          <w:rFonts w:eastAsiaTheme="minorHAnsi" w:cs="Arial"/>
          <w:b w:val="0"/>
          <w:bCs/>
        </w:rPr>
        <w:t>may be taken into a account in</w:t>
      </w:r>
      <w:r w:rsidR="00115D2E" w:rsidRPr="005C77D6">
        <w:rPr>
          <w:rStyle w:val="Style1Char"/>
          <w:rFonts w:eastAsiaTheme="minorHAnsi" w:cs="Arial"/>
          <w:b w:val="0"/>
          <w:bCs/>
        </w:rPr>
        <w:t xml:space="preserve"> decision</w:t>
      </w:r>
      <w:r w:rsidR="00653FDF">
        <w:rPr>
          <w:rStyle w:val="Style1Char"/>
          <w:rFonts w:eastAsiaTheme="minorHAnsi" w:cs="Arial"/>
          <w:b w:val="0"/>
          <w:bCs/>
        </w:rPr>
        <w:t>-</w:t>
      </w:r>
      <w:r w:rsidR="00115D2E" w:rsidRPr="005C77D6">
        <w:rPr>
          <w:rStyle w:val="Style1Char"/>
          <w:rFonts w:eastAsiaTheme="minorHAnsi" w:cs="Arial"/>
          <w:b w:val="0"/>
          <w:bCs/>
        </w:rPr>
        <w:t>making.</w:t>
      </w:r>
      <w:r w:rsidR="00094664" w:rsidRPr="005C77D6">
        <w:rPr>
          <w:rStyle w:val="Style1Char"/>
          <w:rFonts w:eastAsiaTheme="minorHAnsi" w:cs="Arial"/>
          <w:b w:val="0"/>
          <w:bCs/>
        </w:rPr>
        <w:t xml:space="preserve"> </w:t>
      </w:r>
      <w:r w:rsidR="00D576DD">
        <w:rPr>
          <w:rStyle w:val="Style1Char"/>
          <w:rFonts w:eastAsiaTheme="minorHAnsi" w:cs="Arial"/>
          <w:b w:val="0"/>
          <w:bCs/>
        </w:rPr>
        <w:t>As per (SAR 2016/020), statement of the type “Science recommends a reduction in TAC or effort” or other prescriptive statements that could be interpreted as fishery management decisions or related to policy are not to be used.”</w:t>
      </w:r>
      <w:r w:rsidR="001C4D2B">
        <w:rPr>
          <w:rStyle w:val="Style1Char"/>
          <w:rFonts w:eastAsiaTheme="minorHAnsi" w:cs="Arial"/>
          <w:b w:val="0"/>
          <w:bCs/>
        </w:rPr>
        <w:t xml:space="preserve"> </w:t>
      </w:r>
    </w:p>
    <w:p w14:paraId="61FD27DA" w14:textId="05FCF652" w:rsidR="00871E16" w:rsidRPr="00871E16" w:rsidRDefault="00871E16" w:rsidP="00871E16">
      <w:pPr>
        <w:pStyle w:val="ListBullet"/>
        <w:numPr>
          <w:ilvl w:val="0"/>
          <w:numId w:val="0"/>
        </w:numPr>
        <w:ind w:left="360" w:hanging="360"/>
        <w:rPr>
          <w:rFonts w:cs="Arial"/>
        </w:rPr>
      </w:pPr>
      <w:r w:rsidRPr="00871E16">
        <w:rPr>
          <w:rFonts w:cs="Arial"/>
        </w:rPr>
        <w:lastRenderedPageBreak/>
        <w:t>Status</w:t>
      </w:r>
      <w:r w:rsidR="00C06DA3">
        <w:rPr>
          <w:rFonts w:cs="Arial"/>
        </w:rPr>
        <w:t>.</w:t>
      </w:r>
      <w:r w:rsidRPr="00871E16">
        <w:rPr>
          <w:rFonts w:cs="Arial"/>
        </w:rPr>
        <w:t xml:space="preserve"> </w:t>
      </w:r>
      <w:r>
        <w:t>Mandatory bullet(s) that s</w:t>
      </w:r>
      <w:r w:rsidRPr="001E4A20">
        <w:t xml:space="preserve">tate the prescribed major fish stock’s status relative to its PA reference points (LRP, USR, TRP and RR). With likelihood if available. </w:t>
      </w:r>
      <w:r w:rsidRPr="00871E16">
        <w:rPr>
          <w:rFonts w:cs="Arial"/>
        </w:rPr>
        <w:t xml:space="preserve">Phrasing should be consistent with the wording below. </w:t>
      </w:r>
    </w:p>
    <w:p w14:paraId="47EED2E0" w14:textId="77777777" w:rsidR="00871E16" w:rsidRPr="00871E16" w:rsidRDefault="00871E16" w:rsidP="00871E16">
      <w:pPr>
        <w:pStyle w:val="ListParagraph"/>
        <w:numPr>
          <w:ilvl w:val="0"/>
          <w:numId w:val="38"/>
        </w:numPr>
        <w:spacing w:after="0" w:line="240" w:lineRule="auto"/>
        <w:rPr>
          <w:rFonts w:ascii="Arial" w:hAnsi="Arial" w:cs="Arial"/>
          <w:i/>
        </w:rPr>
      </w:pPr>
      <w:r w:rsidRPr="00871E16">
        <w:rPr>
          <w:rFonts w:ascii="Arial" w:hAnsi="Arial" w:cs="Arial"/>
          <w:i/>
        </w:rPr>
        <w:t>The 2018 spawning stock biomass is above the USR with an X probability, placing the stock in the Healthy Zone of its PA Framework.</w:t>
      </w:r>
    </w:p>
    <w:p w14:paraId="301CBECE" w14:textId="77777777" w:rsidR="00871E16" w:rsidRPr="00F46C3D" w:rsidRDefault="00871E16" w:rsidP="00871E16">
      <w:pPr>
        <w:spacing w:after="0" w:line="240" w:lineRule="auto"/>
        <w:ind w:left="720"/>
        <w:contextualSpacing/>
        <w:rPr>
          <w:rFonts w:ascii="Arial" w:hAnsi="Arial" w:cs="Arial"/>
          <w:i/>
        </w:rPr>
      </w:pPr>
    </w:p>
    <w:p w14:paraId="59D0C019" w14:textId="77777777" w:rsidR="00871E16" w:rsidRPr="00871E16" w:rsidRDefault="00871E16" w:rsidP="00871E16">
      <w:pPr>
        <w:pStyle w:val="ListParagraph"/>
        <w:numPr>
          <w:ilvl w:val="0"/>
          <w:numId w:val="38"/>
        </w:numPr>
        <w:spacing w:after="0" w:line="240" w:lineRule="auto"/>
        <w:rPr>
          <w:rFonts w:ascii="Arial" w:hAnsi="Arial" w:cs="Arial"/>
          <w:i/>
        </w:rPr>
      </w:pPr>
      <w:r w:rsidRPr="00871E16">
        <w:rPr>
          <w:rFonts w:ascii="Arial" w:hAnsi="Arial" w:cs="Arial"/>
          <w:i/>
        </w:rPr>
        <w:t>The 2018 spawning stock biomass is above the LRP (with an X probability), but below the USR (with an X probability), placing the stock in the Cautious Zone of its PA Framework.</w:t>
      </w:r>
    </w:p>
    <w:p w14:paraId="38666210" w14:textId="77777777" w:rsidR="00871E16" w:rsidRPr="00F46C3D" w:rsidRDefault="00871E16" w:rsidP="00871E16">
      <w:pPr>
        <w:spacing w:after="0" w:line="240" w:lineRule="auto"/>
        <w:ind w:left="720"/>
        <w:contextualSpacing/>
        <w:rPr>
          <w:rFonts w:ascii="Arial" w:hAnsi="Arial" w:cs="Arial"/>
          <w:i/>
        </w:rPr>
      </w:pPr>
    </w:p>
    <w:p w14:paraId="4ACCD7A1" w14:textId="77777777" w:rsidR="00871E16" w:rsidRPr="00871E16" w:rsidRDefault="00871E16" w:rsidP="00871E16">
      <w:pPr>
        <w:pStyle w:val="ListParagraph"/>
        <w:numPr>
          <w:ilvl w:val="0"/>
          <w:numId w:val="38"/>
        </w:numPr>
        <w:spacing w:after="0" w:line="240" w:lineRule="auto"/>
        <w:rPr>
          <w:rFonts w:ascii="Arial" w:hAnsi="Arial" w:cs="Arial"/>
          <w:i/>
        </w:rPr>
      </w:pPr>
      <w:r w:rsidRPr="00871E16">
        <w:rPr>
          <w:rFonts w:ascii="Arial" w:hAnsi="Arial" w:cs="Arial"/>
          <w:i/>
        </w:rPr>
        <w:t>The 2018 spawning stock biomass is below the LRP with an X probability, placing the stock in the Critical Zone of its PA Framework.</w:t>
      </w:r>
    </w:p>
    <w:p w14:paraId="2F7910D5" w14:textId="77777777" w:rsidR="00871E16" w:rsidRPr="00F46C3D" w:rsidRDefault="00871E16" w:rsidP="00871E16">
      <w:pPr>
        <w:spacing w:after="0" w:line="240" w:lineRule="auto"/>
        <w:ind w:left="720"/>
        <w:contextualSpacing/>
        <w:rPr>
          <w:rFonts w:ascii="Arial" w:hAnsi="Arial" w:cs="Arial"/>
          <w:i/>
        </w:rPr>
      </w:pPr>
    </w:p>
    <w:p w14:paraId="528790F2" w14:textId="77777777" w:rsidR="00871E16" w:rsidRPr="00871E16" w:rsidRDefault="00871E16" w:rsidP="00871E16">
      <w:pPr>
        <w:pStyle w:val="ListParagraph"/>
        <w:numPr>
          <w:ilvl w:val="0"/>
          <w:numId w:val="38"/>
        </w:numPr>
        <w:spacing w:after="0" w:line="240" w:lineRule="auto"/>
        <w:rPr>
          <w:rFonts w:ascii="Arial" w:hAnsi="Arial" w:cs="Arial"/>
          <w:i/>
        </w:rPr>
      </w:pPr>
      <w:r w:rsidRPr="00871E16">
        <w:rPr>
          <w:rFonts w:ascii="Arial" w:hAnsi="Arial" w:cs="Arial"/>
          <w:i/>
        </w:rPr>
        <w:t>The 2018 stock status is uncertain as (we were unable to conduct the survey this year, this is a data poor stock; reference points are under development).</w:t>
      </w:r>
    </w:p>
    <w:p w14:paraId="35D07E63" w14:textId="77777777" w:rsidR="00871E16" w:rsidRDefault="00871E16" w:rsidP="00871E16">
      <w:pPr>
        <w:spacing w:after="0" w:line="240" w:lineRule="auto"/>
        <w:ind w:left="720"/>
        <w:contextualSpacing/>
        <w:rPr>
          <w:rFonts w:ascii="Arial" w:hAnsi="Arial" w:cs="Arial"/>
          <w:i/>
        </w:rPr>
      </w:pPr>
    </w:p>
    <w:p w14:paraId="1A8D7A14" w14:textId="77777777" w:rsidR="00871E16" w:rsidRPr="00871E16" w:rsidRDefault="00871E16" w:rsidP="00871E16">
      <w:pPr>
        <w:pStyle w:val="ListParagraph"/>
        <w:numPr>
          <w:ilvl w:val="0"/>
          <w:numId w:val="38"/>
        </w:numPr>
        <w:spacing w:after="0" w:line="240" w:lineRule="auto"/>
        <w:rPr>
          <w:rFonts w:ascii="Arial" w:hAnsi="Arial" w:cs="Arial"/>
          <w:i/>
        </w:rPr>
      </w:pPr>
      <w:r w:rsidRPr="00871E16">
        <w:rPr>
          <w:rFonts w:ascii="Arial" w:hAnsi="Arial" w:cs="Arial"/>
          <w:i/>
        </w:rPr>
        <w:t>The 2020 fishing mortality was below (or above) the RR with a 75% probability.</w:t>
      </w:r>
    </w:p>
    <w:p w14:paraId="40910A23" w14:textId="77777777" w:rsidR="00871E16" w:rsidRPr="00F46C3D" w:rsidRDefault="00871E16" w:rsidP="00871E16">
      <w:pPr>
        <w:ind w:left="720"/>
        <w:contextualSpacing/>
        <w:rPr>
          <w:rFonts w:ascii="Arial" w:hAnsi="Arial" w:cs="Arial"/>
          <w:i/>
        </w:rPr>
      </w:pPr>
    </w:p>
    <w:p w14:paraId="2C8C7307" w14:textId="1D536922" w:rsidR="00871E16" w:rsidRPr="00630FFA" w:rsidRDefault="00871E16" w:rsidP="00C06DA3">
      <w:pPr>
        <w:pStyle w:val="ListBullet"/>
        <w:numPr>
          <w:ilvl w:val="0"/>
          <w:numId w:val="0"/>
        </w:numPr>
        <w:rPr>
          <w:rStyle w:val="Style1Char"/>
          <w:rFonts w:eastAsiaTheme="minorHAnsi" w:cs="Arial"/>
          <w:b w:val="0"/>
        </w:rPr>
      </w:pPr>
      <w:bookmarkStart w:id="2" w:name="_Hlk125101546"/>
      <w:r>
        <w:t xml:space="preserve">Other </w:t>
      </w:r>
      <w:r w:rsidR="00C47A3E">
        <w:t>Management</w:t>
      </w:r>
      <w:r>
        <w:t xml:space="preserve"> Objectives (if applicable)</w:t>
      </w:r>
      <w:r w:rsidR="00C06DA3">
        <w:t xml:space="preserve">. </w:t>
      </w:r>
      <w:r w:rsidRPr="00630FFA">
        <w:rPr>
          <w:rStyle w:val="Style1Char"/>
          <w:rFonts w:eastAsiaTheme="minorHAnsi" w:cs="Arial"/>
          <w:b w:val="0"/>
        </w:rPr>
        <w:t xml:space="preserve">State the probability of achieving the objective for the stock and timeframe for evaluation. If no measurable objective has been defined, state the goal or report </w:t>
      </w:r>
      <w:r>
        <w:rPr>
          <w:rStyle w:val="Style1Char"/>
          <w:rFonts w:eastAsiaTheme="minorHAnsi" w:cs="Arial"/>
          <w:b w:val="0"/>
        </w:rPr>
        <w:t>unknown</w:t>
      </w:r>
      <w:r w:rsidRPr="00630FFA">
        <w:rPr>
          <w:rStyle w:val="Style1Char"/>
          <w:rFonts w:eastAsiaTheme="minorHAnsi" w:cs="Arial"/>
          <w:b w:val="0"/>
        </w:rPr>
        <w:t>. If the stock is subject to a rebuilding plan, what are the objectives for rebuilding.</w:t>
      </w:r>
    </w:p>
    <w:bookmarkEnd w:id="2"/>
    <w:p w14:paraId="33169FD4" w14:textId="77777777" w:rsidR="00871E16" w:rsidRDefault="00871E16" w:rsidP="00871E16">
      <w:pPr>
        <w:pStyle w:val="ListBullet"/>
        <w:numPr>
          <w:ilvl w:val="0"/>
          <w:numId w:val="0"/>
        </w:numPr>
      </w:pPr>
    </w:p>
    <w:p w14:paraId="72747414" w14:textId="77777777" w:rsidR="00871E16" w:rsidRDefault="00871E16" w:rsidP="00871E16">
      <w:pPr>
        <w:pStyle w:val="ListBullet"/>
      </w:pPr>
      <w:r>
        <w:t xml:space="preserve">Summary Bullets: Style – List Bullet </w:t>
      </w:r>
    </w:p>
    <w:p w14:paraId="600F1716" w14:textId="77777777" w:rsidR="001C4D2B" w:rsidRPr="001C4D2B" w:rsidRDefault="001C4D2B" w:rsidP="00115D2E">
      <w:pPr>
        <w:rPr>
          <w:rStyle w:val="Style1Char"/>
          <w:rFonts w:eastAsiaTheme="minorHAnsi" w:cs="Arial"/>
          <w:b w:val="0"/>
          <w:bCs/>
          <w:lang w:val="en-US"/>
        </w:rPr>
      </w:pPr>
    </w:p>
    <w:p w14:paraId="4CAD0074" w14:textId="0E8E87D6" w:rsidR="0081173E" w:rsidRDefault="0081173E" w:rsidP="00C06DA3">
      <w:pPr>
        <w:tabs>
          <w:tab w:val="left" w:pos="540"/>
        </w:tabs>
        <w:rPr>
          <w:rFonts w:ascii="Arial" w:hAnsi="Arial" w:cs="Arial"/>
          <w:bCs/>
          <w:i/>
          <w:iCs/>
        </w:rPr>
      </w:pPr>
      <w:r w:rsidRPr="00F46C3D">
        <w:rPr>
          <w:rFonts w:ascii="Arial" w:hAnsi="Arial" w:cs="Arial"/>
          <w:bCs/>
          <w:i/>
          <w:iCs/>
        </w:rPr>
        <w:t xml:space="preserve">Example </w:t>
      </w:r>
      <w:r>
        <w:rPr>
          <w:rFonts w:ascii="Arial" w:hAnsi="Arial" w:cs="Arial"/>
          <w:bCs/>
          <w:i/>
          <w:iCs/>
        </w:rPr>
        <w:t>1</w:t>
      </w:r>
      <w:r w:rsidRPr="00F46C3D">
        <w:rPr>
          <w:rFonts w:ascii="Arial" w:hAnsi="Arial" w:cs="Arial"/>
          <w:bCs/>
          <w:i/>
          <w:iCs/>
        </w:rPr>
        <w:t xml:space="preserve">: </w:t>
      </w:r>
      <w:r>
        <w:rPr>
          <w:rFonts w:ascii="Arial" w:hAnsi="Arial" w:cs="Arial"/>
          <w:bCs/>
          <w:i/>
          <w:iCs/>
        </w:rPr>
        <w:t xml:space="preserve">(Full quantitative assessment indicating status in relations to limits; </w:t>
      </w:r>
      <w:r w:rsidR="00FA05DA">
        <w:rPr>
          <w:rFonts w:ascii="Arial" w:hAnsi="Arial" w:cs="Arial"/>
          <w:bCs/>
          <w:i/>
          <w:iCs/>
        </w:rPr>
        <w:t xml:space="preserve">short term projections; </w:t>
      </w:r>
      <w:r>
        <w:rPr>
          <w:rFonts w:ascii="Arial" w:hAnsi="Arial" w:cs="Arial"/>
          <w:bCs/>
          <w:i/>
          <w:iCs/>
        </w:rPr>
        <w:t>tactical and strategic ecosystem considerations)</w:t>
      </w:r>
    </w:p>
    <w:p w14:paraId="0CFDD145" w14:textId="66D3CAE2" w:rsidR="005310DC" w:rsidRPr="00F46C3D" w:rsidRDefault="005310DC" w:rsidP="0081173E">
      <w:pPr>
        <w:tabs>
          <w:tab w:val="left" w:pos="540"/>
        </w:tabs>
        <w:ind w:left="720"/>
        <w:rPr>
          <w:rFonts w:ascii="Arial" w:hAnsi="Arial" w:cs="Arial"/>
          <w:bCs/>
          <w:i/>
          <w:iCs/>
        </w:rPr>
      </w:pPr>
      <w:r>
        <w:rPr>
          <w:rFonts w:ascii="Arial" w:hAnsi="Arial" w:cs="Arial"/>
          <w:bCs/>
          <w:i/>
          <w:iCs/>
        </w:rPr>
        <w:t>Status</w:t>
      </w:r>
    </w:p>
    <w:p w14:paraId="23F73217" w14:textId="7F140699" w:rsidR="0081173E" w:rsidRDefault="0081173E" w:rsidP="0081173E">
      <w:pPr>
        <w:pStyle w:val="ListParagraph"/>
        <w:numPr>
          <w:ilvl w:val="0"/>
          <w:numId w:val="26"/>
        </w:numPr>
        <w:rPr>
          <w:rFonts w:ascii="Arial" w:hAnsi="Arial" w:cs="Arial"/>
          <w:bCs/>
          <w:i/>
        </w:rPr>
      </w:pPr>
      <w:r w:rsidRPr="00F46C3D">
        <w:rPr>
          <w:rFonts w:ascii="Arial" w:hAnsi="Arial" w:cs="Arial"/>
          <w:bCs/>
          <w:i/>
        </w:rPr>
        <w:t>The 2018 spawning stock biomass is below the LRP with an 85% probability, placing the stock in the Critical Zone of its PA Framework.</w:t>
      </w:r>
    </w:p>
    <w:p w14:paraId="3E4E25C0" w14:textId="7A23D543" w:rsidR="005310DC" w:rsidRPr="005310DC" w:rsidRDefault="005310DC" w:rsidP="005310DC">
      <w:pPr>
        <w:ind w:firstLine="720"/>
        <w:rPr>
          <w:rFonts w:ascii="Arial" w:hAnsi="Arial" w:cs="Arial"/>
          <w:bCs/>
          <w:i/>
        </w:rPr>
      </w:pPr>
      <w:r>
        <w:rPr>
          <w:rFonts w:ascii="Arial" w:hAnsi="Arial" w:cs="Arial"/>
          <w:bCs/>
          <w:i/>
        </w:rPr>
        <w:t>Science Advice</w:t>
      </w:r>
    </w:p>
    <w:p w14:paraId="5D496EED" w14:textId="77777777" w:rsidR="0081173E" w:rsidRPr="00F46C3D" w:rsidRDefault="0081173E" w:rsidP="0081173E">
      <w:pPr>
        <w:pStyle w:val="ListParagraph"/>
        <w:numPr>
          <w:ilvl w:val="0"/>
          <w:numId w:val="26"/>
        </w:numPr>
        <w:tabs>
          <w:tab w:val="left" w:pos="540"/>
        </w:tabs>
        <w:rPr>
          <w:rFonts w:ascii="Arial" w:hAnsi="Arial" w:cs="Arial"/>
          <w:bCs/>
          <w:i/>
          <w:iCs/>
        </w:rPr>
      </w:pPr>
      <w:r w:rsidRPr="00F46C3D">
        <w:rPr>
          <w:rFonts w:ascii="Arial" w:hAnsi="Arial" w:cs="Arial"/>
          <w:bCs/>
          <w:i/>
          <w:iCs/>
        </w:rPr>
        <w:t>In the absence of fishery removals, it is likely (&gt; 80%) that the stock will remain in the Critical Zone by 2027.</w:t>
      </w:r>
    </w:p>
    <w:p w14:paraId="65315A61" w14:textId="77777777" w:rsidR="0081173E" w:rsidRPr="00F46C3D" w:rsidRDefault="0081173E" w:rsidP="0081173E">
      <w:pPr>
        <w:pStyle w:val="ListParagraph"/>
        <w:numPr>
          <w:ilvl w:val="0"/>
          <w:numId w:val="26"/>
        </w:numPr>
        <w:tabs>
          <w:tab w:val="left" w:pos="540"/>
        </w:tabs>
        <w:rPr>
          <w:rFonts w:ascii="Arial" w:hAnsi="Arial" w:cs="Arial"/>
          <w:bCs/>
          <w:i/>
          <w:iCs/>
        </w:rPr>
      </w:pPr>
      <w:r w:rsidRPr="00F46C3D">
        <w:rPr>
          <w:rFonts w:ascii="Arial" w:hAnsi="Arial" w:cs="Arial"/>
          <w:bCs/>
          <w:i/>
          <w:iCs/>
        </w:rPr>
        <w:t xml:space="preserve">In the harvest scenarios tested, the probability that SSB will increase by 2024 ranges from 44% at a catch of 0, to 42% at a catch 1,250 t under the current conditions (high natural mortality, declines in weight-at-age, and low recruitment). </w:t>
      </w:r>
    </w:p>
    <w:p w14:paraId="316524BD" w14:textId="1DE04311" w:rsidR="0081173E" w:rsidRDefault="0081173E" w:rsidP="0081173E">
      <w:pPr>
        <w:pStyle w:val="ListParagraph"/>
        <w:numPr>
          <w:ilvl w:val="0"/>
          <w:numId w:val="26"/>
        </w:numPr>
        <w:tabs>
          <w:tab w:val="left" w:pos="540"/>
        </w:tabs>
        <w:rPr>
          <w:rFonts w:ascii="Arial" w:hAnsi="Arial" w:cs="Arial"/>
          <w:bCs/>
          <w:i/>
          <w:iCs/>
        </w:rPr>
      </w:pPr>
      <w:r w:rsidRPr="00F46C3D">
        <w:rPr>
          <w:rFonts w:ascii="Arial" w:hAnsi="Arial" w:cs="Arial"/>
          <w:bCs/>
          <w:i/>
          <w:iCs/>
        </w:rPr>
        <w:t xml:space="preserve">Natural mortality for older fish (ages 7-11+) has increased since 2010 to reach a maximum of 65% in 2018 before declining to 59% in 2020 and 2021. </w:t>
      </w:r>
    </w:p>
    <w:p w14:paraId="3F799AC6" w14:textId="12E319ED" w:rsidR="00C06DA3" w:rsidRPr="00C06DA3" w:rsidRDefault="00C06DA3" w:rsidP="00C06DA3">
      <w:pPr>
        <w:tabs>
          <w:tab w:val="left" w:pos="540"/>
        </w:tabs>
        <w:rPr>
          <w:rFonts w:ascii="Arial" w:hAnsi="Arial" w:cs="Arial"/>
          <w:bCs/>
          <w:i/>
          <w:iCs/>
        </w:rPr>
      </w:pPr>
      <w:r>
        <w:rPr>
          <w:rFonts w:ascii="Arial" w:hAnsi="Arial" w:cs="Arial"/>
          <w:bCs/>
          <w:i/>
          <w:iCs/>
        </w:rPr>
        <w:tab/>
        <w:t xml:space="preserve">Ecosystem </w:t>
      </w:r>
      <w:proofErr w:type="spellStart"/>
      <w:r>
        <w:rPr>
          <w:rFonts w:ascii="Arial" w:hAnsi="Arial" w:cs="Arial"/>
          <w:bCs/>
          <w:i/>
          <w:iCs/>
        </w:rPr>
        <w:t>Considereations</w:t>
      </w:r>
      <w:proofErr w:type="spellEnd"/>
    </w:p>
    <w:p w14:paraId="103F36E9" w14:textId="77777777" w:rsidR="0081173E" w:rsidRPr="00F46C3D" w:rsidRDefault="0081173E" w:rsidP="0081173E">
      <w:pPr>
        <w:pStyle w:val="ListParagraph"/>
        <w:numPr>
          <w:ilvl w:val="0"/>
          <w:numId w:val="26"/>
        </w:numPr>
        <w:tabs>
          <w:tab w:val="left" w:pos="540"/>
        </w:tabs>
        <w:rPr>
          <w:rFonts w:ascii="Arial" w:hAnsi="Arial" w:cs="Arial"/>
          <w:bCs/>
          <w:i/>
          <w:iCs/>
        </w:rPr>
      </w:pPr>
      <w:r w:rsidRPr="00F46C3D">
        <w:rPr>
          <w:rFonts w:ascii="Arial" w:hAnsi="Arial" w:cs="Arial"/>
          <w:bCs/>
          <w:i/>
          <w:iCs/>
        </w:rPr>
        <w:t xml:space="preserve">Given the ongoing trend towards warmer environmental conditions and zooplankton dynamics, it is not expected that recruitment will improve. Recruitment has remained stable at low values since 1993. This low recruitment </w:t>
      </w:r>
      <w:r w:rsidRPr="00F46C3D">
        <w:rPr>
          <w:rFonts w:ascii="Arial" w:hAnsi="Arial" w:cs="Arial"/>
          <w:bCs/>
          <w:i/>
          <w:iCs/>
        </w:rPr>
        <w:lastRenderedPageBreak/>
        <w:t xml:space="preserve">corresponds with long-term environmental changes including temperature increases and changes in zooplankton abundance and phenology. Based on dynamics in predator abundance, natural mortality is expected to remain high. </w:t>
      </w:r>
    </w:p>
    <w:p w14:paraId="541B1546" w14:textId="05FE556C" w:rsidR="00F46C3D" w:rsidRDefault="00115D2E" w:rsidP="00C06DA3">
      <w:pPr>
        <w:tabs>
          <w:tab w:val="left" w:pos="540"/>
        </w:tabs>
        <w:autoSpaceDE w:val="0"/>
        <w:autoSpaceDN w:val="0"/>
        <w:adjustRightInd w:val="0"/>
        <w:spacing w:after="0" w:line="240" w:lineRule="auto"/>
        <w:rPr>
          <w:rStyle w:val="Style1Char"/>
          <w:rFonts w:eastAsiaTheme="minorHAnsi" w:cs="Arial"/>
          <w:b w:val="0"/>
          <w:bCs/>
          <w:i/>
          <w:iCs/>
        </w:rPr>
      </w:pPr>
      <w:r w:rsidRPr="00F46C3D">
        <w:rPr>
          <w:rStyle w:val="Style1Char"/>
          <w:rFonts w:eastAsiaTheme="minorHAnsi" w:cs="Arial"/>
          <w:b w:val="0"/>
          <w:bCs/>
          <w:i/>
          <w:iCs/>
        </w:rPr>
        <w:t xml:space="preserve">Example </w:t>
      </w:r>
      <w:r w:rsidR="0081173E">
        <w:rPr>
          <w:rStyle w:val="Style1Char"/>
          <w:rFonts w:eastAsiaTheme="minorHAnsi" w:cs="Arial"/>
          <w:b w:val="0"/>
          <w:bCs/>
          <w:i/>
          <w:iCs/>
        </w:rPr>
        <w:t>2</w:t>
      </w:r>
      <w:r w:rsidRPr="00F46C3D">
        <w:rPr>
          <w:rStyle w:val="Style1Char"/>
          <w:rFonts w:eastAsiaTheme="minorHAnsi" w:cs="Arial"/>
          <w:b w:val="0"/>
          <w:bCs/>
          <w:i/>
          <w:iCs/>
        </w:rPr>
        <w:t xml:space="preserve">: </w:t>
      </w:r>
      <w:r w:rsidR="0081173E">
        <w:rPr>
          <w:rStyle w:val="Style1Char"/>
          <w:rFonts w:eastAsiaTheme="minorHAnsi" w:cs="Arial"/>
          <w:b w:val="0"/>
          <w:bCs/>
          <w:i/>
          <w:iCs/>
        </w:rPr>
        <w:t xml:space="preserve">(Full quantitative assessment indicating status relative to reference points; </w:t>
      </w:r>
      <w:r w:rsidR="00FA05DA">
        <w:rPr>
          <w:rStyle w:val="Style1Char"/>
          <w:rFonts w:eastAsiaTheme="minorHAnsi" w:cs="Arial"/>
          <w:b w:val="0"/>
          <w:bCs/>
          <w:i/>
          <w:iCs/>
        </w:rPr>
        <w:t xml:space="preserve">short term projections; </w:t>
      </w:r>
      <w:r w:rsidR="0081173E">
        <w:rPr>
          <w:rStyle w:val="Style1Char"/>
          <w:rFonts w:eastAsiaTheme="minorHAnsi" w:cs="Arial"/>
          <w:b w:val="0"/>
          <w:bCs/>
          <w:i/>
          <w:iCs/>
        </w:rPr>
        <w:t>no tactical or strategic considerations)</w:t>
      </w:r>
    </w:p>
    <w:p w14:paraId="091FB5B4" w14:textId="208A66FA" w:rsidR="00871E16" w:rsidRDefault="00871E16" w:rsidP="00F46C3D">
      <w:pPr>
        <w:tabs>
          <w:tab w:val="left" w:pos="540"/>
        </w:tabs>
        <w:autoSpaceDE w:val="0"/>
        <w:autoSpaceDN w:val="0"/>
        <w:adjustRightInd w:val="0"/>
        <w:spacing w:after="0" w:line="240" w:lineRule="auto"/>
        <w:ind w:left="720"/>
        <w:rPr>
          <w:rStyle w:val="Style1Char"/>
          <w:rFonts w:eastAsiaTheme="minorHAnsi" w:cs="Arial"/>
          <w:b w:val="0"/>
          <w:bCs/>
          <w:i/>
          <w:iCs/>
        </w:rPr>
      </w:pPr>
    </w:p>
    <w:p w14:paraId="789D3B37" w14:textId="473444EE" w:rsidR="00871E16" w:rsidRPr="00F46C3D" w:rsidRDefault="00871E16" w:rsidP="00F46C3D">
      <w:pPr>
        <w:tabs>
          <w:tab w:val="left" w:pos="540"/>
        </w:tabs>
        <w:autoSpaceDE w:val="0"/>
        <w:autoSpaceDN w:val="0"/>
        <w:adjustRightInd w:val="0"/>
        <w:spacing w:after="0" w:line="240" w:lineRule="auto"/>
        <w:ind w:left="720"/>
        <w:rPr>
          <w:rStyle w:val="Style1Char"/>
          <w:rFonts w:eastAsiaTheme="minorHAnsi" w:cs="Arial"/>
          <w:b w:val="0"/>
          <w:bCs/>
          <w:i/>
          <w:iCs/>
        </w:rPr>
      </w:pPr>
      <w:r>
        <w:rPr>
          <w:rStyle w:val="Style1Char"/>
          <w:rFonts w:eastAsiaTheme="minorHAnsi" w:cs="Arial"/>
          <w:b w:val="0"/>
          <w:bCs/>
          <w:i/>
          <w:iCs/>
        </w:rPr>
        <w:t>Status</w:t>
      </w:r>
    </w:p>
    <w:p w14:paraId="2BF89D70" w14:textId="3B454470" w:rsidR="00F46C3D" w:rsidRDefault="00F46C3D" w:rsidP="00F46C3D">
      <w:pPr>
        <w:pStyle w:val="ListParagraph"/>
        <w:numPr>
          <w:ilvl w:val="0"/>
          <w:numId w:val="25"/>
        </w:numPr>
        <w:rPr>
          <w:rFonts w:ascii="Arial" w:hAnsi="Arial" w:cs="Arial"/>
          <w:bCs/>
          <w:i/>
        </w:rPr>
      </w:pPr>
      <w:r w:rsidRPr="00F46C3D">
        <w:rPr>
          <w:rFonts w:ascii="Arial" w:hAnsi="Arial" w:cs="Arial"/>
          <w:bCs/>
          <w:i/>
        </w:rPr>
        <w:t>The 20</w:t>
      </w:r>
      <w:r w:rsidR="00C77817">
        <w:rPr>
          <w:rFonts w:ascii="Arial" w:hAnsi="Arial" w:cs="Arial"/>
          <w:bCs/>
          <w:i/>
        </w:rPr>
        <w:t>21</w:t>
      </w:r>
      <w:r w:rsidRPr="00F46C3D">
        <w:rPr>
          <w:rFonts w:ascii="Arial" w:hAnsi="Arial" w:cs="Arial"/>
          <w:bCs/>
          <w:i/>
        </w:rPr>
        <w:t xml:space="preserve"> spawning stock biomass is above the USR with an </w:t>
      </w:r>
      <w:r w:rsidR="004F672B">
        <w:rPr>
          <w:rFonts w:ascii="Arial" w:hAnsi="Arial" w:cs="Arial"/>
          <w:bCs/>
          <w:i/>
        </w:rPr>
        <w:t>90%</w:t>
      </w:r>
      <w:r w:rsidRPr="00F46C3D">
        <w:rPr>
          <w:rFonts w:ascii="Arial" w:hAnsi="Arial" w:cs="Arial"/>
          <w:bCs/>
          <w:i/>
        </w:rPr>
        <w:t xml:space="preserve"> probability, placing the stock in the Healthy Zone of its PA Framework.</w:t>
      </w:r>
    </w:p>
    <w:p w14:paraId="6B5F5EB1" w14:textId="7FD6E6FD" w:rsidR="00871E16" w:rsidRPr="00871E16" w:rsidRDefault="00871E16" w:rsidP="00871E16">
      <w:pPr>
        <w:ind w:firstLine="720"/>
        <w:rPr>
          <w:rFonts w:ascii="Arial" w:hAnsi="Arial" w:cs="Arial"/>
          <w:bCs/>
          <w:i/>
        </w:rPr>
      </w:pPr>
      <w:r>
        <w:rPr>
          <w:rFonts w:ascii="Arial" w:hAnsi="Arial" w:cs="Arial"/>
          <w:bCs/>
          <w:i/>
        </w:rPr>
        <w:t>Science Advice</w:t>
      </w:r>
    </w:p>
    <w:p w14:paraId="60AB1999" w14:textId="5D808AFC" w:rsidR="00115D2E" w:rsidRPr="00F46C3D" w:rsidRDefault="00115D2E" w:rsidP="00F46C3D">
      <w:pPr>
        <w:pStyle w:val="ListParagraph"/>
        <w:numPr>
          <w:ilvl w:val="0"/>
          <w:numId w:val="25"/>
        </w:numPr>
        <w:tabs>
          <w:tab w:val="left" w:pos="540"/>
        </w:tabs>
        <w:autoSpaceDE w:val="0"/>
        <w:autoSpaceDN w:val="0"/>
        <w:adjustRightInd w:val="0"/>
        <w:spacing w:after="0" w:line="240" w:lineRule="auto"/>
        <w:rPr>
          <w:rFonts w:ascii="Arial" w:hAnsi="Arial" w:cs="Arial"/>
          <w:bCs/>
          <w:i/>
          <w:iCs/>
          <w:color w:val="000000"/>
        </w:rPr>
      </w:pPr>
      <w:r w:rsidRPr="00F46C3D">
        <w:rPr>
          <w:rStyle w:val="Style1Char"/>
          <w:rFonts w:eastAsiaTheme="minorHAnsi" w:cs="Arial"/>
          <w:b w:val="0"/>
          <w:bCs/>
          <w:i/>
          <w:iCs/>
        </w:rPr>
        <w:t xml:space="preserve">The three </w:t>
      </w:r>
      <w:r w:rsidR="00B8793B">
        <w:rPr>
          <w:rStyle w:val="Style1Char"/>
          <w:rFonts w:eastAsiaTheme="minorHAnsi" w:cs="Arial"/>
          <w:b w:val="0"/>
          <w:bCs/>
          <w:i/>
          <w:iCs/>
        </w:rPr>
        <w:t>constant catch</w:t>
      </w:r>
      <w:r w:rsidRPr="00F46C3D">
        <w:rPr>
          <w:rFonts w:ascii="Arial" w:hAnsi="Arial" w:cs="Arial"/>
          <w:bCs/>
          <w:i/>
          <w:iCs/>
          <w:color w:val="000000"/>
        </w:rPr>
        <w:t xml:space="preserve"> scenarios tested resulted in the probability of annual biomass being above the LRP with a &gt; 75% likelihood</w:t>
      </w:r>
      <w:r w:rsidR="00FA05DA">
        <w:rPr>
          <w:rFonts w:ascii="Arial" w:hAnsi="Arial" w:cs="Arial"/>
          <w:bCs/>
          <w:i/>
          <w:iCs/>
          <w:color w:val="000000"/>
        </w:rPr>
        <w:t xml:space="preserve"> (</w:t>
      </w:r>
      <w:r w:rsidR="00FA05DA" w:rsidRPr="00FA05DA">
        <w:rPr>
          <w:rFonts w:ascii="Arial" w:hAnsi="Arial" w:cs="Arial"/>
          <w:bCs/>
          <w:i/>
          <w:iCs/>
          <w:color w:val="000000"/>
          <w:highlight w:val="yellow"/>
        </w:rPr>
        <w:t>by when</w:t>
      </w:r>
      <w:r w:rsidR="00FA05DA">
        <w:rPr>
          <w:rFonts w:ascii="Arial" w:hAnsi="Arial" w:cs="Arial"/>
          <w:bCs/>
          <w:i/>
          <w:iCs/>
          <w:color w:val="000000"/>
        </w:rPr>
        <w:t>)</w:t>
      </w:r>
      <w:r w:rsidRPr="00F46C3D">
        <w:rPr>
          <w:rFonts w:ascii="Arial" w:hAnsi="Arial" w:cs="Arial"/>
          <w:bCs/>
          <w:i/>
          <w:iCs/>
          <w:color w:val="000000"/>
        </w:rPr>
        <w:t xml:space="preserve">: 0 catch (87%), 500 t (84%), and 100 t (78%). </w:t>
      </w:r>
    </w:p>
    <w:p w14:paraId="42623941" w14:textId="77777777" w:rsidR="00C77817" w:rsidRDefault="00115D2E" w:rsidP="00F46C3D">
      <w:pPr>
        <w:pStyle w:val="ListParagraph"/>
        <w:numPr>
          <w:ilvl w:val="0"/>
          <w:numId w:val="25"/>
        </w:numPr>
        <w:tabs>
          <w:tab w:val="left" w:pos="540"/>
        </w:tabs>
        <w:autoSpaceDE w:val="0"/>
        <w:autoSpaceDN w:val="0"/>
        <w:adjustRightInd w:val="0"/>
        <w:spacing w:after="0" w:line="240" w:lineRule="auto"/>
        <w:rPr>
          <w:rFonts w:ascii="Arial" w:hAnsi="Arial" w:cs="Arial"/>
          <w:bCs/>
          <w:i/>
          <w:iCs/>
        </w:rPr>
      </w:pPr>
      <w:r w:rsidRPr="00F46C3D">
        <w:rPr>
          <w:rFonts w:ascii="Arial" w:hAnsi="Arial" w:cs="Arial"/>
          <w:bCs/>
          <w:i/>
          <w:iCs/>
        </w:rPr>
        <w:t>The available evidence indicates that incoming recruitment &lt; 30 cm is not as strong as the recruitment noted in 2009 and 2010.</w:t>
      </w:r>
    </w:p>
    <w:p w14:paraId="0153F498" w14:textId="77777777" w:rsidR="005C0188" w:rsidRDefault="005C0188" w:rsidP="0081173E">
      <w:pPr>
        <w:tabs>
          <w:tab w:val="left" w:pos="540"/>
        </w:tabs>
        <w:ind w:left="720"/>
        <w:rPr>
          <w:rFonts w:ascii="Arial" w:hAnsi="Arial" w:cs="Arial"/>
          <w:bCs/>
          <w:i/>
          <w:iCs/>
        </w:rPr>
      </w:pPr>
    </w:p>
    <w:p w14:paraId="5111A663" w14:textId="30C1BFE5" w:rsidR="0081173E" w:rsidRDefault="0081173E" w:rsidP="00C06DA3">
      <w:pPr>
        <w:tabs>
          <w:tab w:val="left" w:pos="540"/>
        </w:tabs>
        <w:rPr>
          <w:rFonts w:ascii="Arial" w:hAnsi="Arial" w:cs="Arial"/>
          <w:bCs/>
          <w:i/>
          <w:iCs/>
        </w:rPr>
      </w:pPr>
      <w:r>
        <w:rPr>
          <w:rFonts w:ascii="Arial" w:hAnsi="Arial" w:cs="Arial"/>
          <w:bCs/>
          <w:i/>
          <w:iCs/>
        </w:rPr>
        <w:t xml:space="preserve">Example 3: (Full quantitative assessment indicating status relative to reference points; </w:t>
      </w:r>
      <w:r w:rsidR="00163E0F">
        <w:rPr>
          <w:rFonts w:ascii="Arial" w:hAnsi="Arial" w:cs="Arial"/>
          <w:bCs/>
          <w:i/>
          <w:iCs/>
        </w:rPr>
        <w:t xml:space="preserve">HDR; </w:t>
      </w:r>
      <w:r w:rsidR="00FA05DA">
        <w:rPr>
          <w:rFonts w:ascii="Arial" w:hAnsi="Arial" w:cs="Arial"/>
          <w:bCs/>
          <w:i/>
          <w:iCs/>
        </w:rPr>
        <w:t>short term projections</w:t>
      </w:r>
      <w:r w:rsidR="00C77817">
        <w:rPr>
          <w:rFonts w:ascii="Arial" w:hAnsi="Arial" w:cs="Arial"/>
          <w:bCs/>
          <w:i/>
          <w:iCs/>
        </w:rPr>
        <w:t>; tactical ecosystem considerations)</w:t>
      </w:r>
    </w:p>
    <w:p w14:paraId="13EB8BB6" w14:textId="43DF223D" w:rsidR="00871E16" w:rsidRDefault="00871E16" w:rsidP="0081173E">
      <w:pPr>
        <w:tabs>
          <w:tab w:val="left" w:pos="540"/>
        </w:tabs>
        <w:ind w:left="720"/>
        <w:rPr>
          <w:rFonts w:ascii="Arial" w:hAnsi="Arial" w:cs="Arial"/>
          <w:bCs/>
          <w:i/>
          <w:iCs/>
        </w:rPr>
      </w:pPr>
      <w:r>
        <w:rPr>
          <w:rFonts w:ascii="Arial" w:hAnsi="Arial" w:cs="Arial"/>
          <w:bCs/>
          <w:i/>
          <w:iCs/>
        </w:rPr>
        <w:t>Status</w:t>
      </w:r>
    </w:p>
    <w:p w14:paraId="06BDA8F0" w14:textId="19FC1B5A" w:rsidR="00FA05DA" w:rsidRDefault="00FA05DA" w:rsidP="00FA05DA">
      <w:pPr>
        <w:pStyle w:val="ListParagraph"/>
        <w:numPr>
          <w:ilvl w:val="0"/>
          <w:numId w:val="32"/>
        </w:numPr>
        <w:tabs>
          <w:tab w:val="left" w:pos="540"/>
        </w:tabs>
        <w:rPr>
          <w:rFonts w:ascii="Arial" w:hAnsi="Arial" w:cs="Arial"/>
          <w:bCs/>
          <w:i/>
          <w:iCs/>
        </w:rPr>
      </w:pPr>
      <w:r>
        <w:rPr>
          <w:rFonts w:ascii="Arial" w:hAnsi="Arial" w:cs="Arial"/>
          <w:bCs/>
          <w:i/>
          <w:iCs/>
        </w:rPr>
        <w:t xml:space="preserve">The 2020 spawning stock biomass </w:t>
      </w:r>
      <w:r w:rsidR="00C77817">
        <w:rPr>
          <w:rFonts w:ascii="Arial" w:hAnsi="Arial" w:cs="Arial"/>
          <w:bCs/>
          <w:i/>
          <w:iCs/>
        </w:rPr>
        <w:t>is below the LRP with a 52% probability, placing the stock in the Critical Zone of its PA Framework.</w:t>
      </w:r>
    </w:p>
    <w:p w14:paraId="02748E36" w14:textId="72687E07" w:rsidR="00163E0F" w:rsidRDefault="00163E0F" w:rsidP="00163E0F">
      <w:pPr>
        <w:pStyle w:val="ListParagraph"/>
        <w:numPr>
          <w:ilvl w:val="0"/>
          <w:numId w:val="32"/>
        </w:numPr>
        <w:tabs>
          <w:tab w:val="left" w:pos="540"/>
        </w:tabs>
        <w:rPr>
          <w:rFonts w:ascii="Arial" w:hAnsi="Arial" w:cs="Arial"/>
          <w:bCs/>
          <w:i/>
          <w:iCs/>
        </w:rPr>
      </w:pPr>
      <w:r>
        <w:rPr>
          <w:rFonts w:ascii="Arial" w:hAnsi="Arial" w:cs="Arial"/>
          <w:bCs/>
          <w:i/>
          <w:iCs/>
        </w:rPr>
        <w:t>The 2020 fishing mortality is below the 10 year average.</w:t>
      </w:r>
    </w:p>
    <w:p w14:paraId="2DB7D824" w14:textId="352A9CFF" w:rsidR="00871E16" w:rsidRPr="00871E16" w:rsidRDefault="00871E16" w:rsidP="00871E16">
      <w:pPr>
        <w:tabs>
          <w:tab w:val="left" w:pos="540"/>
        </w:tabs>
        <w:rPr>
          <w:rFonts w:ascii="Arial" w:hAnsi="Arial" w:cs="Arial"/>
          <w:bCs/>
          <w:i/>
          <w:iCs/>
        </w:rPr>
      </w:pPr>
      <w:r>
        <w:rPr>
          <w:rFonts w:ascii="Arial" w:hAnsi="Arial" w:cs="Arial"/>
          <w:bCs/>
          <w:i/>
          <w:iCs/>
        </w:rPr>
        <w:tab/>
      </w:r>
      <w:r w:rsidR="00C06DA3">
        <w:rPr>
          <w:rFonts w:ascii="Arial" w:hAnsi="Arial" w:cs="Arial"/>
          <w:bCs/>
          <w:i/>
          <w:iCs/>
        </w:rPr>
        <w:tab/>
      </w:r>
      <w:r>
        <w:rPr>
          <w:rFonts w:ascii="Arial" w:hAnsi="Arial" w:cs="Arial"/>
          <w:bCs/>
          <w:i/>
          <w:iCs/>
        </w:rPr>
        <w:t>Science Advice</w:t>
      </w:r>
    </w:p>
    <w:p w14:paraId="0FAE2C34" w14:textId="3C8C5AC6" w:rsidR="00163E0F" w:rsidRDefault="00163E0F" w:rsidP="00FA05DA">
      <w:pPr>
        <w:pStyle w:val="ListParagraph"/>
        <w:numPr>
          <w:ilvl w:val="0"/>
          <w:numId w:val="32"/>
        </w:numPr>
        <w:tabs>
          <w:tab w:val="left" w:pos="540"/>
        </w:tabs>
        <w:rPr>
          <w:rFonts w:ascii="Arial" w:hAnsi="Arial" w:cs="Arial"/>
          <w:bCs/>
          <w:i/>
          <w:iCs/>
        </w:rPr>
      </w:pPr>
      <w:r>
        <w:rPr>
          <w:rFonts w:ascii="Arial" w:hAnsi="Arial" w:cs="Arial"/>
          <w:bCs/>
          <w:i/>
          <w:iCs/>
        </w:rPr>
        <w:t>The Harvest Decision Rule for this stock indicates removals for 2021 of 12,999t.</w:t>
      </w:r>
    </w:p>
    <w:p w14:paraId="25DA7E48" w14:textId="18BA195D" w:rsidR="00FA05DA" w:rsidRDefault="00FA05DA" w:rsidP="00FA05DA">
      <w:pPr>
        <w:pStyle w:val="ListParagraph"/>
        <w:numPr>
          <w:ilvl w:val="0"/>
          <w:numId w:val="32"/>
        </w:numPr>
        <w:tabs>
          <w:tab w:val="left" w:pos="540"/>
        </w:tabs>
        <w:rPr>
          <w:rFonts w:ascii="Arial" w:hAnsi="Arial" w:cs="Arial"/>
          <w:bCs/>
          <w:i/>
          <w:iCs/>
        </w:rPr>
      </w:pPr>
      <w:r>
        <w:rPr>
          <w:rFonts w:ascii="Arial" w:hAnsi="Arial" w:cs="Arial"/>
          <w:bCs/>
          <w:i/>
          <w:iCs/>
        </w:rPr>
        <w:t>The harvest scenarios tested (0-15</w:t>
      </w:r>
      <w:r w:rsidR="005C0188">
        <w:rPr>
          <w:rFonts w:ascii="Arial" w:hAnsi="Arial" w:cs="Arial"/>
          <w:bCs/>
          <w:i/>
          <w:iCs/>
        </w:rPr>
        <w:t>,360</w:t>
      </w:r>
      <w:r>
        <w:rPr>
          <w:rFonts w:ascii="Arial" w:hAnsi="Arial" w:cs="Arial"/>
          <w:bCs/>
          <w:i/>
          <w:iCs/>
        </w:rPr>
        <w:t xml:space="preserve"> mt) resulted in a </w:t>
      </w:r>
      <w:r w:rsidR="005C0188">
        <w:rPr>
          <w:rFonts w:ascii="Arial" w:hAnsi="Arial" w:cs="Arial"/>
          <w:bCs/>
          <w:i/>
          <w:iCs/>
        </w:rPr>
        <w:t>&lt;</w:t>
      </w:r>
      <w:r w:rsidR="00163E0F">
        <w:rPr>
          <w:rFonts w:ascii="Arial" w:hAnsi="Arial" w:cs="Arial"/>
          <w:bCs/>
          <w:i/>
          <w:iCs/>
        </w:rPr>
        <w:t>98%</w:t>
      </w:r>
      <w:r>
        <w:rPr>
          <w:rFonts w:ascii="Arial" w:hAnsi="Arial" w:cs="Arial"/>
          <w:bCs/>
          <w:i/>
          <w:iCs/>
        </w:rPr>
        <w:t xml:space="preserve"> probability that biomass will </w:t>
      </w:r>
      <w:r w:rsidR="00163E0F">
        <w:rPr>
          <w:rFonts w:ascii="Arial" w:hAnsi="Arial" w:cs="Arial"/>
          <w:bCs/>
          <w:i/>
          <w:iCs/>
        </w:rPr>
        <w:t xml:space="preserve">remain </w:t>
      </w:r>
      <w:r>
        <w:rPr>
          <w:rFonts w:ascii="Arial" w:hAnsi="Arial" w:cs="Arial"/>
          <w:bCs/>
          <w:i/>
          <w:iCs/>
        </w:rPr>
        <w:t>below the LRP.</w:t>
      </w:r>
    </w:p>
    <w:p w14:paraId="366BC9DF" w14:textId="578D5BA6" w:rsidR="00163E0F" w:rsidRDefault="00163E0F" w:rsidP="00FA05DA">
      <w:pPr>
        <w:pStyle w:val="ListParagraph"/>
        <w:numPr>
          <w:ilvl w:val="0"/>
          <w:numId w:val="32"/>
        </w:numPr>
        <w:tabs>
          <w:tab w:val="left" w:pos="540"/>
        </w:tabs>
        <w:rPr>
          <w:rFonts w:ascii="Arial" w:hAnsi="Arial" w:cs="Arial"/>
          <w:bCs/>
          <w:i/>
          <w:iCs/>
        </w:rPr>
      </w:pPr>
      <w:r>
        <w:rPr>
          <w:rFonts w:ascii="Arial" w:hAnsi="Arial" w:cs="Arial"/>
          <w:bCs/>
          <w:i/>
          <w:iCs/>
        </w:rPr>
        <w:t>The probability the stock will increase from 2021 to 2022 across all harvest scenarios tested ranged from 52-59%.</w:t>
      </w:r>
    </w:p>
    <w:p w14:paraId="7E796A95" w14:textId="3346601D" w:rsidR="00C77817" w:rsidRDefault="00C77817" w:rsidP="004F672B">
      <w:pPr>
        <w:pStyle w:val="ListParagraph"/>
        <w:numPr>
          <w:ilvl w:val="0"/>
          <w:numId w:val="32"/>
        </w:numPr>
        <w:tabs>
          <w:tab w:val="left" w:pos="540"/>
        </w:tabs>
        <w:rPr>
          <w:rFonts w:ascii="Arial" w:hAnsi="Arial" w:cs="Arial"/>
          <w:bCs/>
          <w:i/>
          <w:iCs/>
        </w:rPr>
      </w:pPr>
      <w:r>
        <w:rPr>
          <w:rFonts w:ascii="Arial" w:hAnsi="Arial" w:cs="Arial"/>
          <w:bCs/>
          <w:i/>
          <w:iCs/>
        </w:rPr>
        <w:t xml:space="preserve">The 2020 Natural Mortality rate (0.51) is above the 10-year </w:t>
      </w:r>
      <w:r w:rsidR="00163E0F">
        <w:rPr>
          <w:rFonts w:ascii="Arial" w:hAnsi="Arial" w:cs="Arial"/>
          <w:bCs/>
          <w:i/>
          <w:iCs/>
        </w:rPr>
        <w:t>average</w:t>
      </w:r>
      <w:r>
        <w:rPr>
          <w:rFonts w:ascii="Arial" w:hAnsi="Arial" w:cs="Arial"/>
          <w:bCs/>
          <w:i/>
          <w:iCs/>
        </w:rPr>
        <w:t xml:space="preserve"> (0.02)</w:t>
      </w:r>
    </w:p>
    <w:p w14:paraId="4FA2F802" w14:textId="2D664695" w:rsidR="00C77817" w:rsidRDefault="00C77817" w:rsidP="004F672B">
      <w:pPr>
        <w:pStyle w:val="ListParagraph"/>
        <w:numPr>
          <w:ilvl w:val="0"/>
          <w:numId w:val="32"/>
        </w:numPr>
        <w:tabs>
          <w:tab w:val="left" w:pos="540"/>
        </w:tabs>
        <w:rPr>
          <w:rFonts w:ascii="Arial" w:hAnsi="Arial" w:cs="Arial"/>
          <w:bCs/>
          <w:i/>
          <w:iCs/>
        </w:rPr>
      </w:pPr>
      <w:r>
        <w:rPr>
          <w:rFonts w:ascii="Arial" w:hAnsi="Arial" w:cs="Arial"/>
          <w:bCs/>
          <w:i/>
          <w:iCs/>
        </w:rPr>
        <w:t>The pre-recruit index suggests that recruitment from 2018-2020 will be weaker than in the past ten years.</w:t>
      </w:r>
    </w:p>
    <w:p w14:paraId="47AE7F6C" w14:textId="3ED5AFBD" w:rsidR="00C06DA3" w:rsidRPr="00C06DA3" w:rsidRDefault="00C06DA3" w:rsidP="00C06DA3">
      <w:pPr>
        <w:tabs>
          <w:tab w:val="left" w:pos="540"/>
        </w:tabs>
        <w:rPr>
          <w:rFonts w:ascii="Arial" w:hAnsi="Arial" w:cs="Arial"/>
          <w:bCs/>
          <w:i/>
          <w:iCs/>
        </w:rPr>
      </w:pPr>
      <w:r>
        <w:rPr>
          <w:rFonts w:ascii="Arial" w:hAnsi="Arial" w:cs="Arial"/>
          <w:bCs/>
          <w:i/>
          <w:iCs/>
        </w:rPr>
        <w:tab/>
      </w:r>
      <w:r>
        <w:rPr>
          <w:rFonts w:ascii="Arial" w:hAnsi="Arial" w:cs="Arial"/>
          <w:bCs/>
          <w:i/>
          <w:iCs/>
        </w:rPr>
        <w:tab/>
        <w:t>Ecosystem Considerations</w:t>
      </w:r>
    </w:p>
    <w:p w14:paraId="6C29D1AF" w14:textId="5E1566A3" w:rsidR="00C77817" w:rsidRPr="00C77817" w:rsidRDefault="00C77817" w:rsidP="00C77817">
      <w:pPr>
        <w:pStyle w:val="ListParagraph"/>
        <w:numPr>
          <w:ilvl w:val="0"/>
          <w:numId w:val="32"/>
        </w:numPr>
        <w:tabs>
          <w:tab w:val="left" w:pos="540"/>
        </w:tabs>
        <w:autoSpaceDE w:val="0"/>
        <w:autoSpaceDN w:val="0"/>
        <w:adjustRightInd w:val="0"/>
        <w:spacing w:after="0" w:line="240" w:lineRule="auto"/>
        <w:rPr>
          <w:rFonts w:ascii="Arial" w:hAnsi="Arial" w:cs="Arial"/>
          <w:bCs/>
          <w:i/>
          <w:iCs/>
        </w:rPr>
      </w:pPr>
      <w:r>
        <w:rPr>
          <w:rFonts w:ascii="Arial" w:hAnsi="Arial" w:cs="Arial"/>
          <w:bCs/>
          <w:i/>
          <w:iCs/>
        </w:rPr>
        <w:t xml:space="preserve">Cod productivity has been linked to Capelin levels. Given the forecasted levels of Capelin for the next two years, the prospects for cod stock growth appear limited. </w:t>
      </w:r>
      <w:r w:rsidRPr="00F46C3D">
        <w:rPr>
          <w:rFonts w:ascii="Arial" w:hAnsi="Arial" w:cs="Arial"/>
          <w:bCs/>
          <w:i/>
          <w:iCs/>
          <w:color w:val="000000"/>
        </w:rPr>
        <w:br/>
      </w:r>
    </w:p>
    <w:p w14:paraId="2ED7E628" w14:textId="62315B72" w:rsidR="004048B9" w:rsidRDefault="004048B9" w:rsidP="00C06DA3">
      <w:pPr>
        <w:tabs>
          <w:tab w:val="left" w:pos="540"/>
        </w:tabs>
        <w:rPr>
          <w:rFonts w:ascii="Arial" w:hAnsi="Arial" w:cs="Arial"/>
          <w:bCs/>
          <w:i/>
          <w:iCs/>
        </w:rPr>
      </w:pPr>
      <w:r>
        <w:rPr>
          <w:rFonts w:ascii="Arial" w:hAnsi="Arial" w:cs="Arial"/>
          <w:bCs/>
          <w:i/>
          <w:iCs/>
        </w:rPr>
        <w:t xml:space="preserve">Example </w:t>
      </w:r>
      <w:r w:rsidR="00BC58BE">
        <w:rPr>
          <w:rFonts w:ascii="Arial" w:hAnsi="Arial" w:cs="Arial"/>
          <w:bCs/>
          <w:i/>
          <w:iCs/>
        </w:rPr>
        <w:t>4</w:t>
      </w:r>
      <w:r>
        <w:rPr>
          <w:rFonts w:ascii="Arial" w:hAnsi="Arial" w:cs="Arial"/>
          <w:bCs/>
          <w:i/>
          <w:iCs/>
        </w:rPr>
        <w:t xml:space="preserve">: </w:t>
      </w:r>
      <w:r w:rsidR="00F26920">
        <w:rPr>
          <w:rFonts w:ascii="Arial" w:hAnsi="Arial" w:cs="Arial"/>
          <w:bCs/>
          <w:i/>
          <w:iCs/>
        </w:rPr>
        <w:t>(</w:t>
      </w:r>
      <w:r w:rsidR="0081173E">
        <w:rPr>
          <w:rFonts w:ascii="Arial" w:hAnsi="Arial" w:cs="Arial"/>
          <w:bCs/>
          <w:i/>
          <w:iCs/>
        </w:rPr>
        <w:t xml:space="preserve">Partial quantitative assessment; </w:t>
      </w:r>
      <w:r w:rsidR="00F26920">
        <w:rPr>
          <w:rFonts w:ascii="Arial" w:hAnsi="Arial" w:cs="Arial"/>
          <w:bCs/>
          <w:i/>
          <w:iCs/>
        </w:rPr>
        <w:t>no reference points</w:t>
      </w:r>
      <w:r w:rsidR="0081173E">
        <w:rPr>
          <w:rFonts w:ascii="Arial" w:hAnsi="Arial" w:cs="Arial"/>
          <w:bCs/>
          <w:i/>
          <w:iCs/>
        </w:rPr>
        <w:t xml:space="preserve">; no tactical or strategic </w:t>
      </w:r>
      <w:r w:rsidR="0081173E" w:rsidRPr="0081173E">
        <w:rPr>
          <w:rFonts w:ascii="Arial" w:hAnsi="Arial" w:cs="Arial"/>
          <w:bCs/>
          <w:i/>
          <w:iCs/>
        </w:rPr>
        <w:t>ecosystem considerations</w:t>
      </w:r>
      <w:r w:rsidR="00F26920" w:rsidRPr="0081173E">
        <w:rPr>
          <w:rFonts w:ascii="Arial" w:hAnsi="Arial" w:cs="Arial"/>
          <w:bCs/>
          <w:i/>
          <w:iCs/>
        </w:rPr>
        <w:t>)</w:t>
      </w:r>
    </w:p>
    <w:p w14:paraId="1A8E03BA" w14:textId="0D3BE1C3" w:rsidR="00871E16" w:rsidRPr="0081173E" w:rsidRDefault="00871E16" w:rsidP="0081173E">
      <w:pPr>
        <w:tabs>
          <w:tab w:val="left" w:pos="540"/>
        </w:tabs>
        <w:ind w:left="720"/>
        <w:rPr>
          <w:rFonts w:ascii="Arial" w:hAnsi="Arial" w:cs="Arial"/>
          <w:bCs/>
          <w:i/>
          <w:iCs/>
        </w:rPr>
      </w:pPr>
      <w:r>
        <w:rPr>
          <w:rFonts w:ascii="Arial" w:hAnsi="Arial" w:cs="Arial"/>
          <w:bCs/>
          <w:i/>
          <w:iCs/>
        </w:rPr>
        <w:t>Status</w:t>
      </w:r>
    </w:p>
    <w:p w14:paraId="78A2BF18" w14:textId="4D50B754" w:rsidR="004048B9" w:rsidRDefault="004048B9" w:rsidP="00F26920">
      <w:pPr>
        <w:pStyle w:val="ListParagraph"/>
        <w:numPr>
          <w:ilvl w:val="0"/>
          <w:numId w:val="31"/>
        </w:numPr>
        <w:tabs>
          <w:tab w:val="left" w:pos="540"/>
        </w:tabs>
        <w:ind w:left="1440"/>
        <w:rPr>
          <w:rFonts w:ascii="Arial" w:hAnsi="Arial" w:cs="Arial"/>
          <w:bCs/>
          <w:i/>
          <w:iCs/>
        </w:rPr>
      </w:pPr>
      <w:r w:rsidRPr="0081173E">
        <w:rPr>
          <w:rFonts w:ascii="Arial" w:hAnsi="Arial" w:cs="Arial"/>
          <w:bCs/>
          <w:i/>
          <w:iCs/>
        </w:rPr>
        <w:t xml:space="preserve">The status of this stock is uncertain, as this is a data poor stock. </w:t>
      </w:r>
    </w:p>
    <w:p w14:paraId="2C95E1EA" w14:textId="38494E8A" w:rsidR="00871E16" w:rsidRPr="00871E16" w:rsidRDefault="00871E16" w:rsidP="00871E16">
      <w:pPr>
        <w:tabs>
          <w:tab w:val="left" w:pos="540"/>
        </w:tabs>
        <w:rPr>
          <w:rFonts w:ascii="Arial" w:hAnsi="Arial" w:cs="Arial"/>
          <w:bCs/>
          <w:i/>
          <w:iCs/>
        </w:rPr>
      </w:pPr>
      <w:r>
        <w:rPr>
          <w:rFonts w:ascii="Arial" w:hAnsi="Arial" w:cs="Arial"/>
          <w:bCs/>
          <w:i/>
          <w:iCs/>
        </w:rPr>
        <w:tab/>
      </w:r>
      <w:r>
        <w:rPr>
          <w:rFonts w:ascii="Arial" w:hAnsi="Arial" w:cs="Arial"/>
          <w:bCs/>
          <w:i/>
          <w:iCs/>
        </w:rPr>
        <w:tab/>
        <w:t>Science Advice</w:t>
      </w:r>
    </w:p>
    <w:p w14:paraId="758E493A" w14:textId="3A9A6364" w:rsidR="004048B9" w:rsidRPr="0081173E" w:rsidRDefault="004048B9" w:rsidP="00F26920">
      <w:pPr>
        <w:pStyle w:val="ListParagraph"/>
        <w:numPr>
          <w:ilvl w:val="0"/>
          <w:numId w:val="31"/>
        </w:numPr>
        <w:tabs>
          <w:tab w:val="left" w:pos="540"/>
        </w:tabs>
        <w:ind w:left="1440"/>
        <w:rPr>
          <w:rFonts w:ascii="Arial" w:hAnsi="Arial" w:cs="Arial"/>
          <w:bCs/>
          <w:i/>
          <w:iCs/>
        </w:rPr>
      </w:pPr>
      <w:r w:rsidRPr="0081173E">
        <w:rPr>
          <w:rFonts w:ascii="Arial" w:hAnsi="Arial" w:cs="Arial"/>
          <w:bCs/>
          <w:i/>
          <w:iCs/>
        </w:rPr>
        <w:lastRenderedPageBreak/>
        <w:t xml:space="preserve">The catch per unit effort (CPUE) </w:t>
      </w:r>
      <w:r w:rsidR="00F26920" w:rsidRPr="0081173E">
        <w:rPr>
          <w:rFonts w:ascii="Arial" w:hAnsi="Arial" w:cs="Arial"/>
          <w:bCs/>
          <w:i/>
          <w:iCs/>
        </w:rPr>
        <w:t xml:space="preserve">for 2018 to 2020 are above the time series median. </w:t>
      </w:r>
    </w:p>
    <w:p w14:paraId="5CBCCECC" w14:textId="1C84C9BD" w:rsidR="00F26920" w:rsidRPr="0081173E" w:rsidRDefault="00F26920" w:rsidP="00F26920">
      <w:pPr>
        <w:pStyle w:val="ListParagraph"/>
        <w:numPr>
          <w:ilvl w:val="0"/>
          <w:numId w:val="31"/>
        </w:numPr>
        <w:tabs>
          <w:tab w:val="left" w:pos="540"/>
        </w:tabs>
        <w:ind w:left="1440"/>
        <w:rPr>
          <w:rFonts w:ascii="Arial" w:hAnsi="Arial" w:cs="Arial"/>
          <w:bCs/>
          <w:i/>
          <w:iCs/>
        </w:rPr>
      </w:pPr>
      <w:r w:rsidRPr="0081173E">
        <w:rPr>
          <w:rFonts w:ascii="Arial" w:hAnsi="Arial" w:cs="Arial"/>
          <w:bCs/>
          <w:i/>
          <w:iCs/>
        </w:rPr>
        <w:t>The exploitation rate is b</w:t>
      </w:r>
      <w:r w:rsidR="00163E0F">
        <w:rPr>
          <w:rFonts w:ascii="Arial" w:hAnsi="Arial" w:cs="Arial"/>
          <w:bCs/>
          <w:i/>
          <w:iCs/>
        </w:rPr>
        <w:t>e</w:t>
      </w:r>
      <w:r w:rsidRPr="0081173E">
        <w:rPr>
          <w:rFonts w:ascii="Arial" w:hAnsi="Arial" w:cs="Arial"/>
          <w:bCs/>
          <w:i/>
          <w:iCs/>
        </w:rPr>
        <w:t xml:space="preserve">low the 3% recommended rate. </w:t>
      </w:r>
    </w:p>
    <w:p w14:paraId="150BD233" w14:textId="5E39A5FF" w:rsidR="00F26920" w:rsidRPr="0081173E" w:rsidRDefault="00F26920" w:rsidP="00F26920">
      <w:pPr>
        <w:pStyle w:val="ListParagraph"/>
        <w:numPr>
          <w:ilvl w:val="1"/>
          <w:numId w:val="31"/>
        </w:numPr>
        <w:autoSpaceDE w:val="0"/>
        <w:autoSpaceDN w:val="0"/>
        <w:adjustRightInd w:val="0"/>
        <w:spacing w:after="0" w:line="240" w:lineRule="auto"/>
        <w:rPr>
          <w:rFonts w:ascii="Arial" w:hAnsi="Arial" w:cs="Arial"/>
          <w:i/>
          <w:iCs/>
          <w:color w:val="000000"/>
        </w:rPr>
      </w:pPr>
      <w:r w:rsidRPr="0081173E">
        <w:rPr>
          <w:rFonts w:ascii="Arial" w:hAnsi="Arial" w:cs="Arial"/>
          <w:i/>
          <w:iCs/>
          <w:color w:val="000000"/>
        </w:rPr>
        <w:t xml:space="preserve">The 2018-2020 landed </w:t>
      </w:r>
      <w:proofErr w:type="spellStart"/>
      <w:r w:rsidRPr="0081173E">
        <w:rPr>
          <w:rFonts w:ascii="Arial" w:hAnsi="Arial" w:cs="Arial"/>
          <w:i/>
          <w:iCs/>
          <w:color w:val="000000"/>
        </w:rPr>
        <w:t>surfclam</w:t>
      </w:r>
      <w:proofErr w:type="spellEnd"/>
      <w:r w:rsidRPr="0081173E">
        <w:rPr>
          <w:rFonts w:ascii="Arial" w:hAnsi="Arial" w:cs="Arial"/>
          <w:i/>
          <w:iCs/>
          <w:color w:val="000000"/>
        </w:rPr>
        <w:t xml:space="preserve"> size averages are above the time series median</w:t>
      </w:r>
    </w:p>
    <w:p w14:paraId="3978F76E" w14:textId="2D3C1434" w:rsidR="00F26920" w:rsidRPr="0081173E" w:rsidRDefault="00F26920" w:rsidP="00F26920">
      <w:pPr>
        <w:pStyle w:val="ListParagraph"/>
        <w:numPr>
          <w:ilvl w:val="0"/>
          <w:numId w:val="31"/>
        </w:numPr>
        <w:tabs>
          <w:tab w:val="left" w:pos="540"/>
        </w:tabs>
        <w:ind w:left="1440"/>
        <w:rPr>
          <w:rFonts w:ascii="Arial" w:hAnsi="Arial" w:cs="Arial"/>
          <w:bCs/>
          <w:i/>
          <w:iCs/>
        </w:rPr>
      </w:pPr>
      <w:r w:rsidRPr="0081173E">
        <w:rPr>
          <w:rFonts w:ascii="Arial" w:hAnsi="Arial" w:cs="Arial"/>
          <w:bCs/>
          <w:i/>
          <w:iCs/>
        </w:rPr>
        <w:t>Area 3A meets the criteria for a 6% quota increase: 80% of quota reached, CPUE and mean size are above the time series median, and exploitation is below 3%.</w:t>
      </w:r>
    </w:p>
    <w:p w14:paraId="114C7B16" w14:textId="0262E3A1" w:rsidR="00F26920" w:rsidRDefault="00F26920" w:rsidP="00F26920">
      <w:pPr>
        <w:pStyle w:val="ListParagraph"/>
        <w:numPr>
          <w:ilvl w:val="0"/>
          <w:numId w:val="31"/>
        </w:numPr>
        <w:tabs>
          <w:tab w:val="left" w:pos="540"/>
        </w:tabs>
        <w:ind w:left="1440"/>
        <w:rPr>
          <w:rFonts w:ascii="Arial" w:hAnsi="Arial" w:cs="Arial"/>
          <w:bCs/>
          <w:i/>
          <w:iCs/>
        </w:rPr>
      </w:pPr>
      <w:r w:rsidRPr="0081173E">
        <w:rPr>
          <w:rFonts w:ascii="Arial" w:hAnsi="Arial" w:cs="Arial"/>
          <w:bCs/>
          <w:i/>
          <w:iCs/>
        </w:rPr>
        <w:t>Fishing effort should be distributed within and among beds to limit the possibility of local overfishing.</w:t>
      </w:r>
    </w:p>
    <w:p w14:paraId="2E65576E" w14:textId="4E444F32" w:rsidR="00B8793B" w:rsidRDefault="00B8793B" w:rsidP="00C06DA3">
      <w:pPr>
        <w:tabs>
          <w:tab w:val="left" w:pos="540"/>
        </w:tabs>
        <w:rPr>
          <w:rFonts w:ascii="Arial" w:hAnsi="Arial" w:cs="Arial"/>
          <w:bCs/>
          <w:i/>
          <w:iCs/>
        </w:rPr>
      </w:pPr>
      <w:r>
        <w:rPr>
          <w:rFonts w:ascii="Arial" w:hAnsi="Arial" w:cs="Arial"/>
          <w:bCs/>
          <w:i/>
          <w:iCs/>
        </w:rPr>
        <w:t xml:space="preserve">Example </w:t>
      </w:r>
      <w:r w:rsidR="00BC58BE">
        <w:rPr>
          <w:rFonts w:ascii="Arial" w:hAnsi="Arial" w:cs="Arial"/>
          <w:bCs/>
          <w:i/>
          <w:iCs/>
        </w:rPr>
        <w:t>5</w:t>
      </w:r>
      <w:r>
        <w:rPr>
          <w:rFonts w:ascii="Arial" w:hAnsi="Arial" w:cs="Arial"/>
          <w:bCs/>
          <w:i/>
          <w:iCs/>
        </w:rPr>
        <w:t xml:space="preserve"> (full quantitative assessment including status relative to reference points, decision tables, Healthy Zone):</w:t>
      </w:r>
    </w:p>
    <w:p w14:paraId="2AFCE6DD" w14:textId="26C3BBFB" w:rsidR="00871E16" w:rsidRPr="00871E16" w:rsidRDefault="00871E16" w:rsidP="00871E16">
      <w:pPr>
        <w:tabs>
          <w:tab w:val="left" w:pos="540"/>
        </w:tabs>
        <w:rPr>
          <w:rFonts w:ascii="Arial" w:hAnsi="Arial" w:cs="Arial"/>
          <w:bCs/>
          <w:i/>
          <w:iCs/>
        </w:rPr>
      </w:pPr>
      <w:r>
        <w:rPr>
          <w:rFonts w:ascii="Arial" w:hAnsi="Arial" w:cs="Arial"/>
          <w:bCs/>
          <w:i/>
          <w:iCs/>
        </w:rPr>
        <w:tab/>
      </w:r>
      <w:r w:rsidR="00C06DA3">
        <w:rPr>
          <w:rFonts w:ascii="Arial" w:hAnsi="Arial" w:cs="Arial"/>
          <w:bCs/>
          <w:i/>
          <w:iCs/>
        </w:rPr>
        <w:tab/>
      </w:r>
      <w:r>
        <w:rPr>
          <w:rFonts w:ascii="Arial" w:hAnsi="Arial" w:cs="Arial"/>
          <w:bCs/>
          <w:i/>
          <w:iCs/>
        </w:rPr>
        <w:t>Status</w:t>
      </w:r>
    </w:p>
    <w:p w14:paraId="2F49AF24" w14:textId="00B49676" w:rsidR="00BC58BE" w:rsidRDefault="00B8793B" w:rsidP="00871E16">
      <w:pPr>
        <w:pStyle w:val="ListParagraph"/>
        <w:numPr>
          <w:ilvl w:val="0"/>
          <w:numId w:val="34"/>
        </w:numPr>
        <w:tabs>
          <w:tab w:val="left" w:pos="540"/>
        </w:tabs>
        <w:ind w:left="1440"/>
        <w:rPr>
          <w:rFonts w:ascii="Arial" w:hAnsi="Arial" w:cs="Arial"/>
          <w:bCs/>
          <w:i/>
          <w:iCs/>
        </w:rPr>
      </w:pPr>
      <w:r w:rsidRPr="000E4BBA">
        <w:rPr>
          <w:rFonts w:ascii="Arial" w:hAnsi="Arial" w:cs="Arial"/>
          <w:bCs/>
          <w:i/>
          <w:iCs/>
        </w:rPr>
        <w:t xml:space="preserve">There was an estimated probability of 1 that B2022 </w:t>
      </w:r>
      <w:r>
        <w:rPr>
          <w:rFonts w:ascii="Arial" w:hAnsi="Arial" w:cs="Arial"/>
          <w:bCs/>
          <w:i/>
          <w:iCs/>
        </w:rPr>
        <w:t>is above the</w:t>
      </w:r>
      <w:r w:rsidRPr="000E4BBA">
        <w:rPr>
          <w:rFonts w:ascii="Arial" w:hAnsi="Arial" w:cs="Arial"/>
          <w:bCs/>
          <w:i/>
          <w:iCs/>
        </w:rPr>
        <w:t xml:space="preserve"> </w:t>
      </w:r>
      <w:r>
        <w:rPr>
          <w:rFonts w:ascii="Arial" w:hAnsi="Arial" w:cs="Arial"/>
          <w:bCs/>
          <w:i/>
          <w:iCs/>
        </w:rPr>
        <w:t>LRP and the USR</w:t>
      </w:r>
      <w:r w:rsidR="00BC58BE">
        <w:rPr>
          <w:rFonts w:ascii="Arial" w:hAnsi="Arial" w:cs="Arial"/>
          <w:bCs/>
          <w:i/>
          <w:iCs/>
        </w:rPr>
        <w:t>, placing the stock in the Healthy Zone if it’s PA framework</w:t>
      </w:r>
      <w:r w:rsidRPr="000E4BBA">
        <w:rPr>
          <w:rFonts w:ascii="Arial" w:hAnsi="Arial" w:cs="Arial"/>
          <w:bCs/>
          <w:i/>
          <w:iCs/>
        </w:rPr>
        <w:t xml:space="preserve">. </w:t>
      </w:r>
    </w:p>
    <w:p w14:paraId="73F65FE8" w14:textId="67BAEB7F" w:rsidR="00B8793B" w:rsidRDefault="00B8793B" w:rsidP="00871E16">
      <w:pPr>
        <w:pStyle w:val="ListParagraph"/>
        <w:numPr>
          <w:ilvl w:val="0"/>
          <w:numId w:val="34"/>
        </w:numPr>
        <w:tabs>
          <w:tab w:val="left" w:pos="540"/>
        </w:tabs>
        <w:ind w:left="1440"/>
        <w:rPr>
          <w:rFonts w:ascii="Arial" w:hAnsi="Arial" w:cs="Arial"/>
          <w:bCs/>
          <w:i/>
          <w:iCs/>
        </w:rPr>
      </w:pPr>
      <w:r w:rsidRPr="00BC58BE">
        <w:rPr>
          <w:rFonts w:ascii="Arial" w:hAnsi="Arial" w:cs="Arial"/>
          <w:bCs/>
          <w:i/>
          <w:iCs/>
        </w:rPr>
        <w:t xml:space="preserve">The </w:t>
      </w:r>
      <w:r w:rsidR="00BC58BE" w:rsidRPr="00BC58BE">
        <w:rPr>
          <w:rFonts w:ascii="Arial" w:hAnsi="Arial" w:cs="Arial"/>
          <w:bCs/>
          <w:i/>
          <w:iCs/>
        </w:rPr>
        <w:t xml:space="preserve">2021 exploitation rate </w:t>
      </w:r>
      <w:r w:rsidRPr="00BC58BE">
        <w:rPr>
          <w:rFonts w:ascii="Arial" w:hAnsi="Arial" w:cs="Arial"/>
          <w:bCs/>
          <w:i/>
          <w:iCs/>
        </w:rPr>
        <w:t xml:space="preserve">was below that </w:t>
      </w:r>
      <w:r w:rsidR="00BC58BE" w:rsidRPr="00BC58BE">
        <w:rPr>
          <w:rFonts w:ascii="Arial" w:hAnsi="Arial" w:cs="Arial"/>
          <w:bCs/>
          <w:i/>
          <w:iCs/>
        </w:rPr>
        <w:t>the RR</w:t>
      </w:r>
      <w:r w:rsidRPr="00BC58BE">
        <w:rPr>
          <w:rFonts w:ascii="Arial" w:hAnsi="Arial" w:cs="Arial"/>
          <w:bCs/>
          <w:i/>
          <w:iCs/>
        </w:rPr>
        <w:t xml:space="preserve"> </w:t>
      </w:r>
      <w:r w:rsidR="00BC58BE" w:rsidRPr="00BC58BE">
        <w:rPr>
          <w:rFonts w:ascii="Arial" w:hAnsi="Arial" w:cs="Arial"/>
          <w:bCs/>
          <w:i/>
          <w:iCs/>
        </w:rPr>
        <w:t>with a 95%</w:t>
      </w:r>
      <w:r w:rsidRPr="00BC58BE">
        <w:rPr>
          <w:rFonts w:ascii="Arial" w:hAnsi="Arial" w:cs="Arial"/>
          <w:bCs/>
          <w:i/>
          <w:iCs/>
        </w:rPr>
        <w:t xml:space="preserve"> </w:t>
      </w:r>
      <w:r w:rsidR="00BC58BE" w:rsidRPr="00BC58BE">
        <w:rPr>
          <w:rFonts w:ascii="Arial" w:hAnsi="Arial" w:cs="Arial"/>
          <w:bCs/>
          <w:i/>
          <w:iCs/>
        </w:rPr>
        <w:t xml:space="preserve">probability </w:t>
      </w:r>
      <w:r w:rsidRPr="00BC58BE">
        <w:rPr>
          <w:rFonts w:ascii="Arial" w:hAnsi="Arial" w:cs="Arial"/>
          <w:bCs/>
          <w:i/>
          <w:iCs/>
        </w:rPr>
        <w:t>for the commercial fishery.</w:t>
      </w:r>
    </w:p>
    <w:p w14:paraId="08E96745" w14:textId="3E0F4940" w:rsidR="00871E16" w:rsidRPr="00871E16" w:rsidRDefault="00871E16" w:rsidP="00871E16">
      <w:pPr>
        <w:tabs>
          <w:tab w:val="left" w:pos="540"/>
        </w:tabs>
        <w:rPr>
          <w:rFonts w:ascii="Arial" w:hAnsi="Arial" w:cs="Arial"/>
          <w:bCs/>
          <w:i/>
          <w:iCs/>
        </w:rPr>
      </w:pPr>
      <w:r>
        <w:rPr>
          <w:rFonts w:ascii="Arial" w:hAnsi="Arial" w:cs="Arial"/>
          <w:bCs/>
          <w:i/>
          <w:iCs/>
        </w:rPr>
        <w:tab/>
      </w:r>
      <w:r w:rsidR="00C06DA3">
        <w:rPr>
          <w:rFonts w:ascii="Arial" w:hAnsi="Arial" w:cs="Arial"/>
          <w:bCs/>
          <w:i/>
          <w:iCs/>
        </w:rPr>
        <w:tab/>
      </w:r>
      <w:r>
        <w:rPr>
          <w:rFonts w:ascii="Arial" w:hAnsi="Arial" w:cs="Arial"/>
          <w:bCs/>
          <w:i/>
          <w:iCs/>
        </w:rPr>
        <w:t>Science Advice</w:t>
      </w:r>
    </w:p>
    <w:p w14:paraId="4DCA2EC2" w14:textId="77777777" w:rsidR="00B8793B" w:rsidRPr="000E4BBA" w:rsidRDefault="00B8793B" w:rsidP="00871E16">
      <w:pPr>
        <w:pStyle w:val="ListParagraph"/>
        <w:numPr>
          <w:ilvl w:val="0"/>
          <w:numId w:val="34"/>
        </w:numPr>
        <w:tabs>
          <w:tab w:val="left" w:pos="540"/>
        </w:tabs>
        <w:ind w:left="1440"/>
        <w:rPr>
          <w:rFonts w:ascii="Arial" w:hAnsi="Arial" w:cs="Arial"/>
          <w:bCs/>
          <w:i/>
          <w:iCs/>
        </w:rPr>
      </w:pPr>
      <w:r w:rsidRPr="000E4BBA">
        <w:rPr>
          <w:rFonts w:ascii="Arial" w:hAnsi="Arial" w:cs="Arial"/>
          <w:bCs/>
          <w:i/>
          <w:iCs/>
        </w:rPr>
        <w:t xml:space="preserve">Advice to managers was presented in the form of decision tables using ten-year projections across a range of constant catches up to 3000 </w:t>
      </w:r>
      <w:proofErr w:type="spellStart"/>
      <w:r w:rsidRPr="000E4BBA">
        <w:rPr>
          <w:rFonts w:ascii="Arial" w:hAnsi="Arial" w:cs="Arial"/>
          <w:bCs/>
          <w:i/>
          <w:iCs/>
        </w:rPr>
        <w:t>tonnes</w:t>
      </w:r>
      <w:proofErr w:type="spellEnd"/>
      <w:r w:rsidRPr="000E4BBA">
        <w:rPr>
          <w:rFonts w:ascii="Arial" w:hAnsi="Arial" w:cs="Arial"/>
          <w:bCs/>
          <w:i/>
          <w:iCs/>
        </w:rPr>
        <w:t>/year.</w:t>
      </w:r>
    </w:p>
    <w:p w14:paraId="6070A802" w14:textId="3674AC1C" w:rsidR="00B8793B" w:rsidRDefault="00B8793B" w:rsidP="00871E16">
      <w:pPr>
        <w:pStyle w:val="ListParagraph"/>
        <w:numPr>
          <w:ilvl w:val="0"/>
          <w:numId w:val="34"/>
        </w:numPr>
        <w:tabs>
          <w:tab w:val="left" w:pos="540"/>
        </w:tabs>
        <w:ind w:left="1440"/>
        <w:rPr>
          <w:rFonts w:ascii="Arial" w:hAnsi="Arial" w:cs="Arial"/>
          <w:bCs/>
          <w:i/>
          <w:iCs/>
        </w:rPr>
      </w:pPr>
      <w:r w:rsidRPr="000E4BBA">
        <w:rPr>
          <w:rFonts w:ascii="Arial" w:hAnsi="Arial" w:cs="Arial"/>
          <w:bCs/>
          <w:i/>
          <w:iCs/>
        </w:rPr>
        <w:t xml:space="preserve">The stock was projected to remain above the </w:t>
      </w:r>
      <w:r>
        <w:rPr>
          <w:rFonts w:ascii="Arial" w:hAnsi="Arial" w:cs="Arial"/>
          <w:bCs/>
          <w:i/>
          <w:iCs/>
        </w:rPr>
        <w:t>LRP and USR</w:t>
      </w:r>
      <w:r w:rsidRPr="000E4BBA">
        <w:rPr>
          <w:rFonts w:ascii="Arial" w:hAnsi="Arial" w:cs="Arial"/>
          <w:bCs/>
          <w:i/>
          <w:iCs/>
        </w:rPr>
        <w:t xml:space="preserve"> with a probability of </w:t>
      </w:r>
      <w:r w:rsidR="00BC58BE">
        <w:rPr>
          <w:rFonts w:ascii="Arial" w:hAnsi="Arial" w:cs="Arial"/>
          <w:bCs/>
          <w:i/>
          <w:iCs/>
        </w:rPr>
        <w:t>99%</w:t>
      </w:r>
      <w:r w:rsidRPr="000E4BBA">
        <w:rPr>
          <w:rFonts w:ascii="Arial" w:hAnsi="Arial" w:cs="Arial"/>
          <w:bCs/>
          <w:i/>
          <w:iCs/>
        </w:rPr>
        <w:t xml:space="preserve"> over the next 10 years at current levels of catch (1000-1250 t/y). Catches </w:t>
      </w:r>
      <w:r w:rsidR="00BC58BE">
        <w:rPr>
          <w:rFonts w:ascii="Arial" w:hAnsi="Arial" w:cs="Arial"/>
          <w:bCs/>
          <w:i/>
          <w:iCs/>
        </w:rPr>
        <w:t xml:space="preserve">greater than </w:t>
      </w:r>
      <w:r w:rsidRPr="000E4BBA">
        <w:rPr>
          <w:rFonts w:ascii="Arial" w:hAnsi="Arial" w:cs="Arial"/>
          <w:bCs/>
          <w:i/>
          <w:iCs/>
        </w:rPr>
        <w:t xml:space="preserve">1500 t were predicted to exceed the </w:t>
      </w:r>
      <w:r w:rsidR="00BC58BE">
        <w:rPr>
          <w:rFonts w:ascii="Arial" w:hAnsi="Arial" w:cs="Arial"/>
          <w:bCs/>
          <w:i/>
          <w:iCs/>
        </w:rPr>
        <w:t>RR</w:t>
      </w:r>
      <w:r w:rsidRPr="000E4BBA">
        <w:rPr>
          <w:rFonts w:ascii="Arial" w:hAnsi="Arial" w:cs="Arial"/>
          <w:bCs/>
          <w:i/>
          <w:iCs/>
        </w:rPr>
        <w:t xml:space="preserve"> (</w:t>
      </w:r>
      <w:proofErr w:type="spellStart"/>
      <w:r w:rsidRPr="000E4BBA">
        <w:rPr>
          <w:rFonts w:ascii="Arial" w:hAnsi="Arial" w:cs="Arial"/>
          <w:bCs/>
          <w:i/>
          <w:iCs/>
        </w:rPr>
        <w:t>uMSY</w:t>
      </w:r>
      <w:proofErr w:type="spellEnd"/>
      <w:r w:rsidRPr="000E4BBA">
        <w:rPr>
          <w:rFonts w:ascii="Arial" w:hAnsi="Arial" w:cs="Arial"/>
          <w:bCs/>
          <w:i/>
          <w:iCs/>
        </w:rPr>
        <w:t xml:space="preserve">) in 10 years with probability </w:t>
      </w:r>
      <w:r w:rsidR="00BC58BE">
        <w:rPr>
          <w:rFonts w:ascii="Arial" w:hAnsi="Arial" w:cs="Arial"/>
          <w:bCs/>
          <w:i/>
          <w:iCs/>
        </w:rPr>
        <w:t xml:space="preserve">greater than </w:t>
      </w:r>
      <w:r w:rsidRPr="000E4BBA">
        <w:rPr>
          <w:rFonts w:ascii="Arial" w:hAnsi="Arial" w:cs="Arial"/>
          <w:bCs/>
          <w:i/>
          <w:iCs/>
        </w:rPr>
        <w:t>50%.</w:t>
      </w:r>
    </w:p>
    <w:p w14:paraId="34FB6C4A" w14:textId="1FA269E1" w:rsidR="00BC58BE" w:rsidRPr="00BC58BE" w:rsidRDefault="00BC58BE" w:rsidP="00871E16">
      <w:pPr>
        <w:pStyle w:val="ListParagraph"/>
        <w:numPr>
          <w:ilvl w:val="0"/>
          <w:numId w:val="34"/>
        </w:numPr>
        <w:tabs>
          <w:tab w:val="left" w:pos="540"/>
        </w:tabs>
        <w:ind w:left="1440"/>
        <w:rPr>
          <w:rFonts w:ascii="Arial" w:hAnsi="Arial" w:cs="Arial"/>
          <w:bCs/>
          <w:i/>
          <w:iCs/>
          <w:highlight w:val="yellow"/>
        </w:rPr>
      </w:pPr>
      <w:r w:rsidRPr="00BC58BE">
        <w:rPr>
          <w:rFonts w:ascii="Arial" w:hAnsi="Arial" w:cs="Arial"/>
          <w:bCs/>
          <w:i/>
          <w:iCs/>
          <w:highlight w:val="yellow"/>
        </w:rPr>
        <w:t>The median (with 5th and 95th percentiles) female spawning biomass at the beginning of 2022 (B</w:t>
      </w:r>
      <w:r w:rsidRPr="00BC58BE">
        <w:rPr>
          <w:rFonts w:ascii="Arial" w:hAnsi="Arial" w:cs="Arial"/>
          <w:bCs/>
          <w:i/>
          <w:iCs/>
          <w:highlight w:val="yellow"/>
          <w:vertAlign w:val="subscript"/>
        </w:rPr>
        <w:t>2022</w:t>
      </w:r>
      <w:r w:rsidRPr="00BC58BE">
        <w:rPr>
          <w:rFonts w:ascii="Arial" w:hAnsi="Arial" w:cs="Arial"/>
          <w:bCs/>
          <w:i/>
          <w:iCs/>
          <w:highlight w:val="yellow"/>
        </w:rPr>
        <w:t>) was estimated to be 0.69 (0.44, 1.08) of the equilibrium unfished female spawning biomass (B</w:t>
      </w:r>
      <w:r w:rsidRPr="00BC58BE">
        <w:rPr>
          <w:rFonts w:ascii="Arial" w:hAnsi="Arial" w:cs="Arial"/>
          <w:bCs/>
          <w:i/>
          <w:iCs/>
          <w:highlight w:val="yellow"/>
          <w:vertAlign w:val="subscript"/>
        </w:rPr>
        <w:t>0</w:t>
      </w:r>
      <w:r w:rsidRPr="00BC58BE">
        <w:rPr>
          <w:rFonts w:ascii="Arial" w:hAnsi="Arial" w:cs="Arial"/>
          <w:bCs/>
          <w:i/>
          <w:iCs/>
          <w:highlight w:val="yellow"/>
        </w:rPr>
        <w:t>). and 2.39 (1.54, 3.73) times the equilibrium spawning biomass at maximum sustainable yield, B</w:t>
      </w:r>
      <w:r w:rsidRPr="00BC58BE">
        <w:rPr>
          <w:rFonts w:ascii="Arial" w:hAnsi="Arial" w:cs="Arial"/>
          <w:bCs/>
          <w:i/>
          <w:iCs/>
          <w:highlight w:val="yellow"/>
          <w:vertAlign w:val="subscript"/>
        </w:rPr>
        <w:t>MSY</w:t>
      </w:r>
      <w:r w:rsidRPr="00BC58BE">
        <w:rPr>
          <w:rFonts w:ascii="Arial" w:hAnsi="Arial" w:cs="Arial"/>
          <w:bCs/>
          <w:i/>
          <w:iCs/>
          <w:highlight w:val="yellow"/>
        </w:rPr>
        <w:t xml:space="preserve">. </w:t>
      </w:r>
    </w:p>
    <w:p w14:paraId="2D9F0071" w14:textId="42D2DF85" w:rsidR="00BC58BE" w:rsidRDefault="00871E16" w:rsidP="00BC58BE">
      <w:pPr>
        <w:tabs>
          <w:tab w:val="left" w:pos="540"/>
        </w:tabs>
        <w:rPr>
          <w:rFonts w:ascii="Arial" w:hAnsi="Arial" w:cs="Arial"/>
          <w:bCs/>
          <w:i/>
          <w:iCs/>
        </w:rPr>
      </w:pPr>
      <w:r>
        <w:rPr>
          <w:rFonts w:ascii="Arial" w:hAnsi="Arial" w:cs="Arial"/>
          <w:bCs/>
          <w:i/>
          <w:iCs/>
        </w:rPr>
        <w:tab/>
      </w:r>
      <w:commentRangeStart w:id="3"/>
      <w:r w:rsidR="00BC58BE">
        <w:rPr>
          <w:rFonts w:ascii="Arial" w:hAnsi="Arial" w:cs="Arial"/>
          <w:bCs/>
          <w:i/>
          <w:iCs/>
        </w:rPr>
        <w:t>Example 6 (MSE</w:t>
      </w:r>
      <w:r w:rsidR="00BC591C">
        <w:rPr>
          <w:rFonts w:ascii="Arial" w:hAnsi="Arial" w:cs="Arial"/>
          <w:bCs/>
          <w:i/>
          <w:iCs/>
        </w:rPr>
        <w:t>, no ecological consideration</w:t>
      </w:r>
      <w:r w:rsidR="00BC58BE">
        <w:rPr>
          <w:rFonts w:ascii="Arial" w:hAnsi="Arial" w:cs="Arial"/>
          <w:bCs/>
          <w:i/>
          <w:iCs/>
        </w:rPr>
        <w:t>)</w:t>
      </w:r>
      <w:commentRangeEnd w:id="3"/>
      <w:r w:rsidR="00BC58BE">
        <w:rPr>
          <w:rStyle w:val="CommentReference"/>
        </w:rPr>
        <w:commentReference w:id="3"/>
      </w:r>
    </w:p>
    <w:p w14:paraId="4C7C6675" w14:textId="6B79F783" w:rsidR="00871E16" w:rsidRPr="00871E16" w:rsidRDefault="00871E16" w:rsidP="00871E16">
      <w:pPr>
        <w:tabs>
          <w:tab w:val="left" w:pos="540"/>
        </w:tabs>
        <w:spacing w:after="0" w:line="240" w:lineRule="auto"/>
        <w:rPr>
          <w:rFonts w:ascii="Arial" w:hAnsi="Arial" w:cs="Arial"/>
          <w:bCs/>
          <w:i/>
          <w:iCs/>
        </w:rPr>
      </w:pPr>
      <w:r>
        <w:rPr>
          <w:rFonts w:ascii="Arial" w:hAnsi="Arial" w:cs="Arial"/>
          <w:bCs/>
          <w:i/>
          <w:iCs/>
        </w:rPr>
        <w:tab/>
      </w:r>
      <w:r w:rsidR="00C06DA3">
        <w:rPr>
          <w:rFonts w:ascii="Arial" w:hAnsi="Arial" w:cs="Arial"/>
          <w:bCs/>
          <w:i/>
          <w:iCs/>
        </w:rPr>
        <w:tab/>
      </w:r>
      <w:r>
        <w:rPr>
          <w:rFonts w:ascii="Arial" w:hAnsi="Arial" w:cs="Arial"/>
          <w:bCs/>
          <w:i/>
          <w:iCs/>
        </w:rPr>
        <w:t>Status</w:t>
      </w:r>
    </w:p>
    <w:p w14:paraId="3DCB6C1A" w14:textId="18226527" w:rsidR="00ED3AC8" w:rsidRPr="00871E16" w:rsidRDefault="00ED3AC8" w:rsidP="00871E16">
      <w:pPr>
        <w:numPr>
          <w:ilvl w:val="0"/>
          <w:numId w:val="35"/>
        </w:numPr>
        <w:tabs>
          <w:tab w:val="clear" w:pos="720"/>
          <w:tab w:val="left" w:pos="540"/>
          <w:tab w:val="num" w:pos="810"/>
        </w:tabs>
        <w:spacing w:after="0" w:line="240" w:lineRule="auto"/>
        <w:ind w:left="1440"/>
        <w:rPr>
          <w:rFonts w:ascii="Arial" w:hAnsi="Arial" w:cs="Arial"/>
          <w:bCs/>
          <w:i/>
          <w:iCs/>
        </w:rPr>
      </w:pPr>
      <w:r w:rsidRPr="00BC591C">
        <w:rPr>
          <w:rFonts w:ascii="Arial" w:hAnsi="Arial" w:cs="Arial"/>
          <w:i/>
          <w:iCs/>
        </w:rPr>
        <w:t xml:space="preserve">The </w:t>
      </w:r>
      <w:r w:rsidR="00BC591C">
        <w:rPr>
          <w:rFonts w:ascii="Arial" w:hAnsi="Arial" w:cs="Arial"/>
          <w:i/>
          <w:iCs/>
        </w:rPr>
        <w:t xml:space="preserve">2018 three-year moving average of the acoustic index is below the LRP, placing the </w:t>
      </w:r>
      <w:r w:rsidRPr="00BC591C">
        <w:rPr>
          <w:rFonts w:ascii="Arial" w:hAnsi="Arial" w:cs="Arial"/>
          <w:i/>
          <w:iCs/>
        </w:rPr>
        <w:t>SWNS/</w:t>
      </w:r>
      <w:proofErr w:type="spellStart"/>
      <w:r w:rsidRPr="00BC591C">
        <w:rPr>
          <w:rFonts w:ascii="Arial" w:hAnsi="Arial" w:cs="Arial"/>
          <w:i/>
          <w:iCs/>
        </w:rPr>
        <w:t>BoF</w:t>
      </w:r>
      <w:proofErr w:type="spellEnd"/>
      <w:r w:rsidRPr="00BC591C">
        <w:rPr>
          <w:rFonts w:ascii="Arial" w:hAnsi="Arial" w:cs="Arial"/>
          <w:i/>
          <w:iCs/>
        </w:rPr>
        <w:t xml:space="preserve"> stock is in the Critical zone </w:t>
      </w:r>
      <w:r w:rsidR="00BC591C">
        <w:rPr>
          <w:rFonts w:ascii="Arial" w:hAnsi="Arial" w:cs="Arial"/>
          <w:i/>
          <w:iCs/>
        </w:rPr>
        <w:t>of its PA Framework</w:t>
      </w:r>
      <w:r w:rsidRPr="00BC591C">
        <w:rPr>
          <w:rFonts w:ascii="Arial" w:hAnsi="Arial" w:cs="Arial"/>
          <w:i/>
          <w:iCs/>
        </w:rPr>
        <w:t xml:space="preserve">. Since 2018, </w:t>
      </w:r>
      <w:r w:rsidR="00BC591C">
        <w:rPr>
          <w:rFonts w:ascii="Arial" w:hAnsi="Arial" w:cs="Arial"/>
          <w:i/>
          <w:iCs/>
        </w:rPr>
        <w:t xml:space="preserve">the stock </w:t>
      </w:r>
      <w:r w:rsidRPr="00BC591C">
        <w:rPr>
          <w:rFonts w:ascii="Arial" w:hAnsi="Arial" w:cs="Arial"/>
          <w:i/>
          <w:iCs/>
        </w:rPr>
        <w:t xml:space="preserve">has been below the Limit Reference Point (LRP). </w:t>
      </w:r>
    </w:p>
    <w:p w14:paraId="7A8F4089" w14:textId="41193F92" w:rsidR="00871E16" w:rsidRPr="00871E16" w:rsidRDefault="00871E16" w:rsidP="00871E16">
      <w:pPr>
        <w:tabs>
          <w:tab w:val="left" w:pos="540"/>
        </w:tabs>
        <w:spacing w:after="0" w:line="240" w:lineRule="auto"/>
        <w:rPr>
          <w:rFonts w:ascii="Arial" w:hAnsi="Arial" w:cs="Arial"/>
          <w:bCs/>
          <w:i/>
          <w:iCs/>
        </w:rPr>
      </w:pPr>
      <w:r>
        <w:rPr>
          <w:rFonts w:ascii="Arial" w:hAnsi="Arial" w:cs="Arial"/>
          <w:i/>
          <w:iCs/>
        </w:rPr>
        <w:tab/>
      </w:r>
      <w:r w:rsidR="00C06DA3">
        <w:rPr>
          <w:rFonts w:ascii="Arial" w:hAnsi="Arial" w:cs="Arial"/>
          <w:i/>
          <w:iCs/>
        </w:rPr>
        <w:tab/>
      </w:r>
      <w:r>
        <w:rPr>
          <w:rFonts w:ascii="Arial" w:hAnsi="Arial" w:cs="Arial"/>
          <w:i/>
          <w:iCs/>
        </w:rPr>
        <w:t>Science Advice</w:t>
      </w:r>
    </w:p>
    <w:p w14:paraId="58700146" w14:textId="77777777" w:rsidR="00871E16" w:rsidRPr="00BC591C" w:rsidRDefault="00871E16" w:rsidP="00871E16">
      <w:pPr>
        <w:numPr>
          <w:ilvl w:val="0"/>
          <w:numId w:val="35"/>
        </w:numPr>
        <w:tabs>
          <w:tab w:val="clear" w:pos="720"/>
          <w:tab w:val="left" w:pos="540"/>
          <w:tab w:val="num" w:pos="810"/>
        </w:tabs>
        <w:spacing w:after="0" w:line="240" w:lineRule="auto"/>
        <w:ind w:left="1440"/>
        <w:rPr>
          <w:rFonts w:ascii="Arial" w:hAnsi="Arial" w:cs="Arial"/>
          <w:bCs/>
          <w:i/>
          <w:iCs/>
        </w:rPr>
      </w:pPr>
      <w:r w:rsidRPr="00BC591C">
        <w:rPr>
          <w:rFonts w:ascii="Arial" w:hAnsi="Arial" w:cs="Arial"/>
          <w:i/>
          <w:iCs/>
        </w:rPr>
        <w:t>Although there is uncertainty with annual estimates of spawning stock biomass (SSB), there is a decreasing trend in the acoustic index since 1999 to present that is evident for the two remaining major spawning grounds</w:t>
      </w:r>
    </w:p>
    <w:p w14:paraId="71C1DF89" w14:textId="1D948E6F" w:rsidR="00BC591C" w:rsidRPr="00BC591C" w:rsidRDefault="00BC591C" w:rsidP="00871E16">
      <w:pPr>
        <w:numPr>
          <w:ilvl w:val="0"/>
          <w:numId w:val="35"/>
        </w:numPr>
        <w:tabs>
          <w:tab w:val="clear" w:pos="720"/>
          <w:tab w:val="left" w:pos="540"/>
          <w:tab w:val="num" w:pos="810"/>
        </w:tabs>
        <w:spacing w:after="0" w:line="240" w:lineRule="auto"/>
        <w:ind w:left="1440"/>
        <w:rPr>
          <w:rFonts w:ascii="Arial" w:hAnsi="Arial" w:cs="Arial"/>
          <w:bCs/>
          <w:i/>
          <w:iCs/>
        </w:rPr>
      </w:pPr>
      <w:r w:rsidRPr="00BC591C">
        <w:rPr>
          <w:rFonts w:ascii="Arial" w:hAnsi="Arial" w:cs="Arial"/>
          <w:i/>
          <w:iCs/>
        </w:rPr>
        <w:t xml:space="preserve">Of the 11 candidate MPs evaluated, 8 MPs had a probability of the Spawning Stock Biomass (SSB) being above the LRP with at least 75% probability in each year (from years 10–15) of the projection period for each Operating Model (OM) in the reference set of OMs. </w:t>
      </w:r>
    </w:p>
    <w:p w14:paraId="342D388F" w14:textId="07C6675F" w:rsidR="00BC591C" w:rsidRPr="00BC591C" w:rsidRDefault="00BC591C" w:rsidP="00871E16">
      <w:pPr>
        <w:tabs>
          <w:tab w:val="left" w:pos="540"/>
          <w:tab w:val="num" w:pos="810"/>
        </w:tabs>
        <w:spacing w:after="0" w:line="240" w:lineRule="auto"/>
        <w:ind w:left="1440"/>
        <w:rPr>
          <w:rFonts w:ascii="Arial" w:hAnsi="Arial" w:cs="Arial"/>
          <w:i/>
          <w:iCs/>
        </w:rPr>
      </w:pPr>
      <w:r w:rsidRPr="00BC591C">
        <w:rPr>
          <w:rFonts w:ascii="Arial" w:hAnsi="Arial" w:cs="Arial"/>
          <w:i/>
          <w:iCs/>
        </w:rPr>
        <w:t>Or</w:t>
      </w:r>
    </w:p>
    <w:p w14:paraId="61785930" w14:textId="77777777" w:rsidR="00BC591C" w:rsidRPr="00BC591C" w:rsidRDefault="00BC591C" w:rsidP="00871E16">
      <w:pPr>
        <w:numPr>
          <w:ilvl w:val="0"/>
          <w:numId w:val="35"/>
        </w:numPr>
        <w:tabs>
          <w:tab w:val="clear" w:pos="720"/>
          <w:tab w:val="left" w:pos="540"/>
          <w:tab w:val="num" w:pos="810"/>
        </w:tabs>
        <w:spacing w:after="0" w:line="240" w:lineRule="auto"/>
        <w:ind w:left="1440"/>
        <w:rPr>
          <w:rFonts w:ascii="Arial" w:hAnsi="Arial" w:cs="Arial"/>
          <w:bCs/>
          <w:i/>
          <w:iCs/>
        </w:rPr>
      </w:pPr>
      <w:r w:rsidRPr="00BC591C">
        <w:rPr>
          <w:rFonts w:ascii="Arial" w:hAnsi="Arial" w:cs="Arial"/>
          <w:i/>
          <w:iCs/>
        </w:rPr>
        <w:t xml:space="preserve">Based on the agreed upon harvest decisions rule, the value of the 2020 DFO Summer RV Survey corresponds to a catch limit of 3,407 t for WC Pollock for FY 2021–2022, which is a decrease of 20% from 2020–2021. </w:t>
      </w:r>
    </w:p>
    <w:p w14:paraId="26C35934" w14:textId="43C0EA64" w:rsidR="00B8793B" w:rsidRPr="00BC591C" w:rsidRDefault="00BC591C" w:rsidP="00871E16">
      <w:pPr>
        <w:numPr>
          <w:ilvl w:val="0"/>
          <w:numId w:val="35"/>
        </w:numPr>
        <w:tabs>
          <w:tab w:val="clear" w:pos="720"/>
          <w:tab w:val="left" w:pos="540"/>
          <w:tab w:val="num" w:pos="810"/>
        </w:tabs>
        <w:spacing w:after="0" w:line="240" w:lineRule="auto"/>
        <w:ind w:left="1440"/>
        <w:rPr>
          <w:rFonts w:ascii="Arial" w:hAnsi="Arial" w:cs="Arial"/>
          <w:bCs/>
          <w:i/>
          <w:iCs/>
        </w:rPr>
      </w:pPr>
      <w:r w:rsidRPr="00BC591C">
        <w:rPr>
          <w:rFonts w:ascii="Arial" w:hAnsi="Arial" w:cs="Arial"/>
          <w:i/>
          <w:iCs/>
        </w:rPr>
        <w:lastRenderedPageBreak/>
        <w:t>No exceptional circumstances were triggered during the first two projection years of the MSE framework</w:t>
      </w:r>
    </w:p>
    <w:p w14:paraId="1C871F7B" w14:textId="77777777" w:rsidR="004048B9" w:rsidRPr="004048B9" w:rsidRDefault="004048B9" w:rsidP="00871E16">
      <w:pPr>
        <w:tabs>
          <w:tab w:val="left" w:pos="540"/>
          <w:tab w:val="num" w:pos="810"/>
        </w:tabs>
        <w:spacing w:after="0" w:line="240" w:lineRule="auto"/>
        <w:ind w:left="1440"/>
        <w:rPr>
          <w:rFonts w:ascii="Arial" w:hAnsi="Arial" w:cs="Arial"/>
          <w:bCs/>
          <w:i/>
          <w:iCs/>
        </w:rPr>
      </w:pPr>
    </w:p>
    <w:p w14:paraId="3C7E14AD" w14:textId="59362258" w:rsidR="00301FA1" w:rsidRDefault="00301FA1" w:rsidP="00C06DA3">
      <w:pPr>
        <w:tabs>
          <w:tab w:val="left" w:pos="630"/>
        </w:tabs>
        <w:rPr>
          <w:rFonts w:ascii="Arial" w:hAnsi="Arial" w:cs="Arial"/>
          <w:bCs/>
          <w:i/>
          <w:iCs/>
        </w:rPr>
      </w:pPr>
      <w:r>
        <w:rPr>
          <w:rFonts w:ascii="Arial" w:hAnsi="Arial" w:cs="Arial"/>
          <w:bCs/>
          <w:i/>
          <w:iCs/>
        </w:rPr>
        <w:t>Example</w:t>
      </w:r>
      <w:r w:rsidR="0081173E">
        <w:rPr>
          <w:rFonts w:ascii="Arial" w:hAnsi="Arial" w:cs="Arial"/>
          <w:bCs/>
          <w:i/>
          <w:iCs/>
        </w:rPr>
        <w:t xml:space="preserve"> </w:t>
      </w:r>
      <w:r w:rsidR="00C06DA3">
        <w:rPr>
          <w:rFonts w:ascii="Arial" w:hAnsi="Arial" w:cs="Arial"/>
          <w:bCs/>
          <w:i/>
          <w:iCs/>
        </w:rPr>
        <w:t>7</w:t>
      </w:r>
      <w:r>
        <w:rPr>
          <w:rFonts w:ascii="Arial" w:hAnsi="Arial" w:cs="Arial"/>
          <w:bCs/>
          <w:i/>
          <w:iCs/>
        </w:rPr>
        <w:t xml:space="preserve">: </w:t>
      </w:r>
      <w:r w:rsidR="0081173E">
        <w:rPr>
          <w:rFonts w:ascii="Arial" w:hAnsi="Arial" w:cs="Arial"/>
          <w:bCs/>
          <w:i/>
          <w:iCs/>
        </w:rPr>
        <w:t>(Qualitative Evaluation or Low information evaluation</w:t>
      </w:r>
      <w:r w:rsidR="00BC58BE">
        <w:rPr>
          <w:rFonts w:ascii="Arial" w:hAnsi="Arial" w:cs="Arial"/>
          <w:bCs/>
          <w:i/>
          <w:iCs/>
        </w:rPr>
        <w:t>; index-based assessment</w:t>
      </w:r>
      <w:r w:rsidR="0081173E">
        <w:rPr>
          <w:rFonts w:ascii="Arial" w:hAnsi="Arial" w:cs="Arial"/>
          <w:bCs/>
          <w:i/>
          <w:iCs/>
        </w:rPr>
        <w:t>)</w:t>
      </w:r>
    </w:p>
    <w:p w14:paraId="6B2D46B9" w14:textId="4697C70F" w:rsidR="00871E16" w:rsidRPr="00C06DA3" w:rsidRDefault="00871E16" w:rsidP="00C06DA3">
      <w:pPr>
        <w:tabs>
          <w:tab w:val="left" w:pos="540"/>
          <w:tab w:val="left" w:pos="1440"/>
        </w:tabs>
        <w:ind w:left="720"/>
        <w:rPr>
          <w:rFonts w:ascii="Arial" w:hAnsi="Arial" w:cs="Arial"/>
          <w:bCs/>
          <w:i/>
          <w:iCs/>
        </w:rPr>
      </w:pPr>
      <w:r w:rsidRPr="00C06DA3">
        <w:rPr>
          <w:rFonts w:ascii="Arial" w:hAnsi="Arial" w:cs="Arial"/>
          <w:bCs/>
          <w:i/>
          <w:iCs/>
        </w:rPr>
        <w:t>Status</w:t>
      </w:r>
    </w:p>
    <w:p w14:paraId="6CC284F2" w14:textId="32C98411" w:rsidR="00301FA1" w:rsidRPr="00C06DA3" w:rsidRDefault="00BC58BE" w:rsidP="00F07F60">
      <w:pPr>
        <w:pStyle w:val="ListParagraph"/>
        <w:numPr>
          <w:ilvl w:val="0"/>
          <w:numId w:val="30"/>
        </w:numPr>
        <w:tabs>
          <w:tab w:val="left" w:pos="540"/>
          <w:tab w:val="left" w:pos="1440"/>
        </w:tabs>
        <w:ind w:left="1440"/>
        <w:rPr>
          <w:rFonts w:ascii="Arial" w:hAnsi="Arial" w:cs="Arial"/>
          <w:bCs/>
          <w:i/>
          <w:iCs/>
        </w:rPr>
      </w:pPr>
      <w:r w:rsidRPr="00C06DA3">
        <w:rPr>
          <w:rFonts w:ascii="Arial" w:hAnsi="Arial" w:cs="Arial"/>
          <w:i/>
          <w:iCs/>
        </w:rPr>
        <w:t>Stock status is uncertain due to</w:t>
      </w:r>
      <w:r w:rsidR="00301FA1" w:rsidRPr="00C06DA3">
        <w:rPr>
          <w:rFonts w:ascii="Arial" w:hAnsi="Arial" w:cs="Arial"/>
          <w:i/>
          <w:iCs/>
        </w:rPr>
        <w:t xml:space="preserve"> (e.g. a lack of reliable survey and catch data). </w:t>
      </w:r>
    </w:p>
    <w:p w14:paraId="77DC3F6A" w14:textId="334FB667" w:rsidR="00871E16" w:rsidRPr="00C06DA3" w:rsidRDefault="00871E16" w:rsidP="00C06DA3">
      <w:pPr>
        <w:tabs>
          <w:tab w:val="left" w:pos="540"/>
          <w:tab w:val="left" w:pos="1440"/>
        </w:tabs>
        <w:ind w:left="720"/>
        <w:rPr>
          <w:rFonts w:ascii="Arial" w:hAnsi="Arial" w:cs="Arial"/>
          <w:bCs/>
          <w:i/>
          <w:iCs/>
        </w:rPr>
      </w:pPr>
      <w:r w:rsidRPr="00C06DA3">
        <w:rPr>
          <w:rFonts w:ascii="Arial" w:hAnsi="Arial" w:cs="Arial"/>
          <w:bCs/>
          <w:i/>
          <w:iCs/>
        </w:rPr>
        <w:t>Science Advice</w:t>
      </w:r>
    </w:p>
    <w:p w14:paraId="28818FB5" w14:textId="77777777" w:rsidR="00BC58BE" w:rsidRPr="005918BE" w:rsidRDefault="00BC58BE" w:rsidP="00BC58BE">
      <w:pPr>
        <w:pStyle w:val="ListParagraph"/>
        <w:numPr>
          <w:ilvl w:val="0"/>
          <w:numId w:val="30"/>
        </w:numPr>
        <w:tabs>
          <w:tab w:val="left" w:pos="540"/>
          <w:tab w:val="left" w:pos="1440"/>
        </w:tabs>
        <w:ind w:left="1440"/>
        <w:rPr>
          <w:rFonts w:ascii="Arial" w:hAnsi="Arial" w:cs="Arial"/>
          <w:bCs/>
          <w:i/>
          <w:iCs/>
          <w:sz w:val="24"/>
          <w:szCs w:val="24"/>
        </w:rPr>
      </w:pPr>
      <w:r>
        <w:rPr>
          <w:rFonts w:ascii="Arial" w:hAnsi="Arial" w:cs="Arial"/>
          <w:i/>
          <w:iCs/>
        </w:rPr>
        <w:t>Stock and fishery indices (XYZ) have remained stable in recent years, however environmental conditions are trending XYZ and a continued positive trend is expected.</w:t>
      </w:r>
    </w:p>
    <w:p w14:paraId="381C899B" w14:textId="6C1AF921" w:rsidR="00BC58BE" w:rsidRPr="00BC58BE" w:rsidRDefault="00BC58BE" w:rsidP="00BC58BE">
      <w:pPr>
        <w:pStyle w:val="ListParagraph"/>
        <w:numPr>
          <w:ilvl w:val="0"/>
          <w:numId w:val="30"/>
        </w:numPr>
        <w:tabs>
          <w:tab w:val="left" w:pos="540"/>
          <w:tab w:val="left" w:pos="1440"/>
        </w:tabs>
        <w:ind w:left="1440"/>
        <w:rPr>
          <w:rFonts w:ascii="Arial" w:hAnsi="Arial" w:cs="Arial"/>
          <w:bCs/>
          <w:i/>
          <w:iCs/>
          <w:sz w:val="24"/>
          <w:szCs w:val="24"/>
        </w:rPr>
      </w:pPr>
      <w:r>
        <w:rPr>
          <w:rFonts w:ascii="Arial" w:hAnsi="Arial" w:cs="Arial"/>
          <w:i/>
          <w:iCs/>
        </w:rPr>
        <w:t>It is uncertain how the stock may respond to harvest in the future (due to XYZ).</w:t>
      </w:r>
      <w:r w:rsidRPr="00F07F60">
        <w:rPr>
          <w:rFonts w:ascii="Arial" w:hAnsi="Arial" w:cs="Arial"/>
          <w:i/>
          <w:iCs/>
        </w:rPr>
        <w:t xml:space="preserve"> </w:t>
      </w:r>
    </w:p>
    <w:bookmarkEnd w:id="0"/>
    <w:p w14:paraId="6E7908D0" w14:textId="77777777" w:rsidR="00115D2E" w:rsidRPr="00F46C3D" w:rsidRDefault="00115D2E" w:rsidP="00F46C3D">
      <w:pPr>
        <w:pStyle w:val="ListParagraph"/>
        <w:tabs>
          <w:tab w:val="left" w:pos="540"/>
        </w:tabs>
        <w:rPr>
          <w:rFonts w:ascii="Arial" w:hAnsi="Arial" w:cs="Arial"/>
          <w:bCs/>
        </w:rPr>
      </w:pPr>
    </w:p>
    <w:p w14:paraId="471A6A70" w14:textId="77777777" w:rsidR="00352B41" w:rsidRPr="00F46C3D" w:rsidRDefault="00352B41" w:rsidP="00056687">
      <w:pPr>
        <w:spacing w:after="0" w:line="240" w:lineRule="auto"/>
        <w:rPr>
          <w:rFonts w:ascii="Arial" w:hAnsi="Arial" w:cs="Arial"/>
        </w:rPr>
      </w:pPr>
    </w:p>
    <w:p w14:paraId="6215A8AD" w14:textId="14FEC327" w:rsidR="005D55EB" w:rsidRPr="00F46C3D" w:rsidRDefault="005D55EB" w:rsidP="00C268D1">
      <w:pPr>
        <w:rPr>
          <w:rStyle w:val="Style1Char"/>
          <w:rFonts w:eastAsiaTheme="minorHAnsi" w:cs="Arial"/>
        </w:rPr>
      </w:pPr>
      <w:r w:rsidRPr="00F46C3D">
        <w:rPr>
          <w:rStyle w:val="Style1Char"/>
          <w:rFonts w:eastAsiaTheme="minorHAnsi" w:cs="Arial"/>
        </w:rPr>
        <w:t>BASIS FOR ASSESSMENT</w:t>
      </w:r>
    </w:p>
    <w:p w14:paraId="232E307B" w14:textId="204790AB" w:rsidR="0070215E" w:rsidRPr="00F46C3D" w:rsidRDefault="0070215E" w:rsidP="0070215E">
      <w:pPr>
        <w:rPr>
          <w:rFonts w:ascii="Arial" w:hAnsi="Arial" w:cs="Arial"/>
        </w:rPr>
      </w:pPr>
      <w:r w:rsidRPr="00F46C3D">
        <w:rPr>
          <w:rFonts w:ascii="Arial" w:hAnsi="Arial" w:cs="Arial"/>
          <w:b/>
          <w:bCs/>
        </w:rPr>
        <w:t xml:space="preserve">Year </w:t>
      </w:r>
      <w:r w:rsidR="00C82287">
        <w:rPr>
          <w:rFonts w:ascii="Arial" w:hAnsi="Arial" w:cs="Arial"/>
          <w:b/>
          <w:bCs/>
        </w:rPr>
        <w:t xml:space="preserve">Framework (or </w:t>
      </w:r>
      <w:r w:rsidRPr="00F46C3D">
        <w:rPr>
          <w:rFonts w:ascii="Arial" w:hAnsi="Arial" w:cs="Arial"/>
          <w:b/>
          <w:bCs/>
        </w:rPr>
        <w:t>Assessment Approach</w:t>
      </w:r>
      <w:r w:rsidR="00C82287">
        <w:rPr>
          <w:rFonts w:ascii="Arial" w:hAnsi="Arial" w:cs="Arial"/>
          <w:b/>
          <w:bCs/>
        </w:rPr>
        <w:t>)</w:t>
      </w:r>
      <w:r w:rsidRPr="00F46C3D">
        <w:rPr>
          <w:rFonts w:ascii="Arial" w:hAnsi="Arial" w:cs="Arial"/>
          <w:b/>
          <w:bCs/>
        </w:rPr>
        <w:t xml:space="preserve"> was Approved</w:t>
      </w:r>
      <w:r>
        <w:rPr>
          <w:rFonts w:ascii="Arial" w:hAnsi="Arial" w:cs="Arial"/>
          <w:b/>
          <w:bCs/>
        </w:rPr>
        <w:t xml:space="preserve">. </w:t>
      </w:r>
      <w:r w:rsidR="00C82287">
        <w:rPr>
          <w:rFonts w:ascii="Arial" w:hAnsi="Arial" w:cs="Arial"/>
        </w:rPr>
        <w:t xml:space="preserve">Year &amp; </w:t>
      </w:r>
      <w:r w:rsidR="00C82287" w:rsidRPr="00C82287">
        <w:rPr>
          <w:rFonts w:ascii="Arial" w:hAnsi="Arial" w:cs="Arial"/>
        </w:rPr>
        <w:t xml:space="preserve">Reference </w:t>
      </w:r>
      <w:r w:rsidR="00C82287" w:rsidRPr="00C82287">
        <w:rPr>
          <w:rFonts w:ascii="Arial" w:hAnsi="Arial" w:cs="Arial"/>
          <w:i/>
          <w:iCs/>
        </w:rPr>
        <w:t>i</w:t>
      </w:r>
      <w:r w:rsidRPr="00C82287">
        <w:rPr>
          <w:rFonts w:ascii="Arial" w:hAnsi="Arial" w:cs="Arial"/>
          <w:i/>
          <w:iCs/>
        </w:rPr>
        <w:t xml:space="preserve">.e. </w:t>
      </w:r>
      <w:proofErr w:type="spellStart"/>
      <w:r w:rsidR="00C82287" w:rsidRPr="00C82287">
        <w:rPr>
          <w:rFonts w:ascii="Arial" w:hAnsi="Arial" w:cs="Arial"/>
          <w:i/>
          <w:iCs/>
        </w:rPr>
        <w:t>Vitti</w:t>
      </w:r>
      <w:proofErr w:type="spellEnd"/>
      <w:r w:rsidR="00C82287" w:rsidRPr="00C82287">
        <w:rPr>
          <w:rFonts w:ascii="Arial" w:hAnsi="Arial" w:cs="Arial"/>
          <w:i/>
          <w:iCs/>
        </w:rPr>
        <w:t xml:space="preserve"> et al. </w:t>
      </w:r>
      <w:r w:rsidRPr="00C82287">
        <w:rPr>
          <w:rFonts w:ascii="Arial" w:hAnsi="Arial" w:cs="Arial"/>
          <w:i/>
          <w:iCs/>
        </w:rPr>
        <w:t>2016</w:t>
      </w:r>
    </w:p>
    <w:p w14:paraId="438D2DFE" w14:textId="1813C013" w:rsidR="002B54D9" w:rsidRDefault="00F77D33" w:rsidP="007862B9">
      <w:pPr>
        <w:rPr>
          <w:rFonts w:ascii="Arial" w:hAnsi="Arial" w:cs="Arial"/>
          <w:b/>
          <w:bCs/>
          <w:lang w:val="en-CA"/>
        </w:rPr>
      </w:pPr>
      <w:r>
        <w:rPr>
          <w:rFonts w:ascii="Arial" w:hAnsi="Arial" w:cs="Arial"/>
          <w:b/>
          <w:bCs/>
          <w:lang w:val="en-CA"/>
        </w:rPr>
        <w:t xml:space="preserve">Previous </w:t>
      </w:r>
      <w:r w:rsidR="002B54D9">
        <w:rPr>
          <w:rFonts w:ascii="Arial" w:hAnsi="Arial" w:cs="Arial"/>
          <w:b/>
          <w:bCs/>
          <w:lang w:val="en-CA"/>
        </w:rPr>
        <w:t>Assessment Date</w:t>
      </w:r>
      <w:r>
        <w:rPr>
          <w:rFonts w:ascii="Arial" w:hAnsi="Arial" w:cs="Arial"/>
          <w:b/>
          <w:bCs/>
          <w:lang w:val="en-CA"/>
        </w:rPr>
        <w:t>(s)</w:t>
      </w:r>
    </w:p>
    <w:p w14:paraId="51A01C61" w14:textId="61A0E7C7" w:rsidR="007862B9" w:rsidRPr="00F77D33" w:rsidRDefault="007862B9" w:rsidP="002B54D9">
      <w:pPr>
        <w:pStyle w:val="ListParagraph"/>
        <w:numPr>
          <w:ilvl w:val="0"/>
          <w:numId w:val="29"/>
        </w:numPr>
        <w:rPr>
          <w:rFonts w:ascii="Arial" w:hAnsi="Arial" w:cs="Arial"/>
          <w:i/>
          <w:iCs/>
        </w:rPr>
      </w:pPr>
      <w:r w:rsidRPr="00F77D33">
        <w:rPr>
          <w:rFonts w:ascii="Arial" w:hAnsi="Arial" w:cs="Arial"/>
          <w:lang w:val="en-CA"/>
        </w:rPr>
        <w:t>Last Full Assessment</w:t>
      </w:r>
      <w:r w:rsidR="002B54D9" w:rsidRPr="00F77D33">
        <w:rPr>
          <w:rFonts w:ascii="Arial" w:hAnsi="Arial" w:cs="Arial"/>
          <w:lang w:val="en-CA"/>
        </w:rPr>
        <w:t>.</w:t>
      </w:r>
      <w:r w:rsidRPr="00F77D33">
        <w:rPr>
          <w:rFonts w:ascii="Arial" w:hAnsi="Arial" w:cs="Arial"/>
          <w:i/>
          <w:iCs/>
        </w:rPr>
        <w:t xml:space="preserve"> </w:t>
      </w:r>
      <w:r w:rsidRPr="00F77D33">
        <w:rPr>
          <w:rFonts w:ascii="Arial" w:hAnsi="Arial" w:cs="Arial"/>
        </w:rPr>
        <w:t>Year</w:t>
      </w:r>
      <w:r w:rsidR="00C82287">
        <w:rPr>
          <w:rFonts w:ascii="Arial" w:hAnsi="Arial" w:cs="Arial"/>
        </w:rPr>
        <w:t xml:space="preserve"> and reference</w:t>
      </w:r>
      <w:r w:rsidRPr="00F77D33">
        <w:rPr>
          <w:rFonts w:ascii="Arial" w:hAnsi="Arial" w:cs="Arial"/>
        </w:rPr>
        <w:t xml:space="preserve">; i.e., </w:t>
      </w:r>
      <w:r w:rsidRPr="00F77D33">
        <w:rPr>
          <w:rFonts w:ascii="Arial" w:hAnsi="Arial" w:cs="Arial"/>
          <w:i/>
          <w:iCs/>
        </w:rPr>
        <w:t>2019</w:t>
      </w:r>
    </w:p>
    <w:p w14:paraId="066D8830" w14:textId="791DB058" w:rsidR="007862B9" w:rsidRPr="002B54D9" w:rsidRDefault="007862B9" w:rsidP="002B54D9">
      <w:pPr>
        <w:pStyle w:val="ListParagraph"/>
        <w:numPr>
          <w:ilvl w:val="0"/>
          <w:numId w:val="29"/>
        </w:numPr>
        <w:rPr>
          <w:rFonts w:ascii="Arial" w:hAnsi="Arial" w:cs="Arial"/>
          <w:i/>
          <w:iCs/>
        </w:rPr>
      </w:pPr>
      <w:r w:rsidRPr="00F77D33">
        <w:rPr>
          <w:rFonts w:ascii="Arial" w:hAnsi="Arial" w:cs="Arial"/>
        </w:rPr>
        <w:t>Last</w:t>
      </w:r>
      <w:r w:rsidR="002B54D9" w:rsidRPr="00F77D33">
        <w:rPr>
          <w:rFonts w:ascii="Arial" w:hAnsi="Arial" w:cs="Arial"/>
        </w:rPr>
        <w:t xml:space="preserve"> &lt;interim year&gt;</w:t>
      </w:r>
      <w:r w:rsidRPr="00F77D33">
        <w:rPr>
          <w:rFonts w:ascii="Arial" w:hAnsi="Arial" w:cs="Arial"/>
        </w:rPr>
        <w:t xml:space="preserve"> Update</w:t>
      </w:r>
      <w:r w:rsidR="002B54D9" w:rsidRPr="00F77D33">
        <w:rPr>
          <w:rFonts w:ascii="Arial" w:hAnsi="Arial" w:cs="Arial"/>
        </w:rPr>
        <w:t>.</w:t>
      </w:r>
      <w:r w:rsidR="002B54D9" w:rsidRPr="002B54D9">
        <w:rPr>
          <w:rFonts w:ascii="Arial" w:hAnsi="Arial" w:cs="Arial"/>
          <w:b/>
          <w:bCs/>
        </w:rPr>
        <w:t xml:space="preserve"> </w:t>
      </w:r>
      <w:r w:rsidRPr="002B54D9">
        <w:rPr>
          <w:rFonts w:ascii="Arial" w:hAnsi="Arial" w:cs="Arial"/>
        </w:rPr>
        <w:t>Year</w:t>
      </w:r>
      <w:r w:rsidR="00C82287">
        <w:rPr>
          <w:rFonts w:ascii="Arial" w:hAnsi="Arial" w:cs="Arial"/>
        </w:rPr>
        <w:t xml:space="preserve"> and reference</w:t>
      </w:r>
      <w:r w:rsidRPr="002B54D9">
        <w:rPr>
          <w:rFonts w:ascii="Arial" w:hAnsi="Arial" w:cs="Arial"/>
        </w:rPr>
        <w:t xml:space="preserve">; i.e., </w:t>
      </w:r>
      <w:r w:rsidRPr="002B54D9">
        <w:rPr>
          <w:rFonts w:ascii="Arial" w:hAnsi="Arial" w:cs="Arial"/>
          <w:i/>
          <w:iCs/>
        </w:rPr>
        <w:t>2019</w:t>
      </w:r>
    </w:p>
    <w:p w14:paraId="662A1F6C" w14:textId="59A77F9F" w:rsidR="002B54D9" w:rsidRDefault="007862B9" w:rsidP="00C268D1">
      <w:pPr>
        <w:rPr>
          <w:rStyle w:val="Style1Char"/>
          <w:rFonts w:eastAsiaTheme="minorHAnsi" w:cs="Arial"/>
          <w:lang w:val="en-US"/>
        </w:rPr>
      </w:pPr>
      <w:r w:rsidRPr="002B54D9">
        <w:rPr>
          <w:rStyle w:val="Style1Char"/>
          <w:rFonts w:eastAsiaTheme="minorHAnsi" w:cs="Arial"/>
          <w:lang w:val="en-US"/>
        </w:rPr>
        <w:t>Assessment Approach</w:t>
      </w:r>
      <w:r w:rsidR="002B54D9">
        <w:rPr>
          <w:rStyle w:val="Style1Char"/>
          <w:rFonts w:eastAsiaTheme="minorHAnsi" w:cs="Arial"/>
          <w:lang w:val="en-US"/>
        </w:rPr>
        <w:t>.</w:t>
      </w:r>
      <w:r w:rsidRPr="00F46C3D">
        <w:rPr>
          <w:rStyle w:val="Style1Char"/>
          <w:rFonts w:eastAsiaTheme="minorHAnsi" w:cs="Arial"/>
          <w:lang w:val="en-US"/>
        </w:rPr>
        <w:t xml:space="preserve"> </w:t>
      </w:r>
      <w:r w:rsidR="005310DC">
        <w:rPr>
          <w:rStyle w:val="Style1Char"/>
          <w:rFonts w:eastAsiaTheme="minorHAnsi" w:cs="Arial"/>
          <w:lang w:val="en-US"/>
        </w:rPr>
        <w:t>(select as many as apply)</w:t>
      </w:r>
    </w:p>
    <w:p w14:paraId="3C27D456" w14:textId="7337970C" w:rsidR="007862B9" w:rsidRPr="002B54D9" w:rsidRDefault="00871E16" w:rsidP="002B54D9">
      <w:pPr>
        <w:pStyle w:val="ListParagraph"/>
        <w:numPr>
          <w:ilvl w:val="0"/>
          <w:numId w:val="28"/>
        </w:numPr>
        <w:rPr>
          <w:rStyle w:val="Style1Char"/>
          <w:rFonts w:eastAsiaTheme="minorHAnsi" w:cs="Arial"/>
          <w:b w:val="0"/>
          <w:bCs/>
          <w:lang w:val="en-US"/>
        </w:rPr>
      </w:pPr>
      <w:bookmarkStart w:id="4" w:name="_Hlk124419511"/>
      <w:r>
        <w:rPr>
          <w:rStyle w:val="Style1Char"/>
          <w:rFonts w:eastAsiaTheme="minorHAnsi" w:cs="Arial"/>
          <w:b w:val="0"/>
          <w:bCs/>
          <w:lang w:val="en-US"/>
        </w:rPr>
        <w:t xml:space="preserve">Pick one: </w:t>
      </w:r>
      <w:bookmarkStart w:id="5" w:name="_Hlk124854522"/>
      <w:r w:rsidR="007862B9" w:rsidRPr="002B54D9">
        <w:rPr>
          <w:rStyle w:val="Style1Char"/>
          <w:rFonts w:eastAsiaTheme="minorHAnsi" w:cs="Arial"/>
          <w:b w:val="0"/>
          <w:bCs/>
          <w:lang w:val="en-US"/>
        </w:rPr>
        <w:t>Data-poor,</w:t>
      </w:r>
      <w:r w:rsidR="005310DC">
        <w:rPr>
          <w:rStyle w:val="Style1Char"/>
          <w:rFonts w:eastAsiaTheme="minorHAnsi" w:cs="Arial"/>
          <w:b w:val="0"/>
          <w:bCs/>
          <w:lang w:val="en-US"/>
        </w:rPr>
        <w:t xml:space="preserve"> index-based,</w:t>
      </w:r>
      <w:r w:rsidR="007862B9" w:rsidRPr="002B54D9">
        <w:rPr>
          <w:rStyle w:val="Style1Char"/>
          <w:rFonts w:eastAsiaTheme="minorHAnsi" w:cs="Arial"/>
          <w:b w:val="0"/>
          <w:bCs/>
          <w:lang w:val="en-US"/>
        </w:rPr>
        <w:t xml:space="preserve"> stock assessment model, model </w:t>
      </w:r>
      <w:commentRangeStart w:id="6"/>
      <w:r w:rsidR="007862B9" w:rsidRPr="002B54D9">
        <w:rPr>
          <w:rStyle w:val="Style1Char"/>
          <w:rFonts w:eastAsiaTheme="minorHAnsi" w:cs="Arial"/>
          <w:b w:val="0"/>
          <w:bCs/>
          <w:lang w:val="en-US"/>
        </w:rPr>
        <w:t>ensemble</w:t>
      </w:r>
      <w:commentRangeEnd w:id="6"/>
      <w:r w:rsidR="00FC4351">
        <w:rPr>
          <w:rStyle w:val="CommentReference"/>
        </w:rPr>
        <w:commentReference w:id="6"/>
      </w:r>
      <w:r w:rsidR="007862B9" w:rsidRPr="002B54D9">
        <w:rPr>
          <w:rStyle w:val="Style1Char"/>
          <w:rFonts w:eastAsiaTheme="minorHAnsi" w:cs="Arial"/>
          <w:b w:val="0"/>
          <w:bCs/>
          <w:lang w:val="en-US"/>
        </w:rPr>
        <w:t>, MSE(full or MSE-lite), other (specify)</w:t>
      </w:r>
    </w:p>
    <w:p w14:paraId="63F0AD66" w14:textId="67F75CC8" w:rsidR="00B6228C" w:rsidRPr="002B54D9" w:rsidRDefault="00871E16" w:rsidP="002B54D9">
      <w:pPr>
        <w:pStyle w:val="ListParagraph"/>
        <w:numPr>
          <w:ilvl w:val="0"/>
          <w:numId w:val="28"/>
        </w:numPr>
        <w:rPr>
          <w:rFonts w:ascii="Arial" w:hAnsi="Arial" w:cs="Arial"/>
        </w:rPr>
      </w:pPr>
      <w:bookmarkStart w:id="7" w:name="_Hlk124419542"/>
      <w:bookmarkEnd w:id="4"/>
      <w:bookmarkEnd w:id="5"/>
      <w:r>
        <w:rPr>
          <w:rFonts w:ascii="Arial" w:hAnsi="Arial" w:cs="Arial"/>
        </w:rPr>
        <w:t xml:space="preserve">Pick one or as many as apply: </w:t>
      </w:r>
      <w:bookmarkStart w:id="8" w:name="_Hlk124854510"/>
      <w:r w:rsidR="00B6228C" w:rsidRPr="002B54D9">
        <w:rPr>
          <w:rFonts w:ascii="Arial" w:hAnsi="Arial" w:cs="Arial"/>
        </w:rPr>
        <w:t>Index-based (fishery-dependent indices only), Index-based (including fishery-</w:t>
      </w:r>
      <w:r w:rsidR="005310DC">
        <w:rPr>
          <w:rFonts w:ascii="Arial" w:hAnsi="Arial" w:cs="Arial"/>
        </w:rPr>
        <w:t>dependent and fishery-</w:t>
      </w:r>
      <w:r w:rsidR="00B6228C" w:rsidRPr="002B54D9">
        <w:rPr>
          <w:rFonts w:ascii="Arial" w:hAnsi="Arial" w:cs="Arial"/>
        </w:rPr>
        <w:t>independent indices), Delay difference</w:t>
      </w:r>
      <w:r w:rsidR="00C268D1" w:rsidRPr="002B54D9">
        <w:rPr>
          <w:rFonts w:ascii="Arial" w:hAnsi="Arial" w:cs="Arial"/>
        </w:rPr>
        <w:t xml:space="preserve">, </w:t>
      </w:r>
      <w:r w:rsidR="00B6228C" w:rsidRPr="002B54D9">
        <w:rPr>
          <w:rFonts w:ascii="Arial" w:hAnsi="Arial" w:cs="Arial"/>
        </w:rPr>
        <w:t xml:space="preserve">Biomass dynamics, Virtual population analysis, Statistical catch-at-length, Statistical catch-at-age, </w:t>
      </w:r>
      <w:r w:rsidR="00FC4351">
        <w:rPr>
          <w:rFonts w:ascii="Arial" w:hAnsi="Arial" w:cs="Arial"/>
        </w:rPr>
        <w:t xml:space="preserve">State-Space, Sequential Population Analysis, Surplus Production, Potential Biological Removal, </w:t>
      </w:r>
      <w:r w:rsidR="00B6228C" w:rsidRPr="002B54D9">
        <w:rPr>
          <w:rFonts w:ascii="Arial" w:hAnsi="Arial" w:cs="Arial"/>
        </w:rPr>
        <w:t>Other (please explain)</w:t>
      </w:r>
    </w:p>
    <w:bookmarkEnd w:id="7"/>
    <w:bookmarkEnd w:id="8"/>
    <w:p w14:paraId="14DCC98D" w14:textId="53930B63" w:rsidR="006B4CBC" w:rsidRDefault="007B35CF" w:rsidP="00C268D1">
      <w:pPr>
        <w:rPr>
          <w:rFonts w:ascii="Arial" w:hAnsi="Arial" w:cs="Arial"/>
          <w:b/>
          <w:bCs/>
        </w:rPr>
      </w:pPr>
      <w:r w:rsidRPr="00F46C3D">
        <w:rPr>
          <w:rFonts w:ascii="Arial" w:hAnsi="Arial" w:cs="Arial"/>
          <w:b/>
          <w:bCs/>
        </w:rPr>
        <w:t>Assessment Type</w:t>
      </w:r>
      <w:r w:rsidR="002B54D9">
        <w:rPr>
          <w:rFonts w:ascii="Arial" w:hAnsi="Arial" w:cs="Arial"/>
          <w:b/>
          <w:bCs/>
        </w:rPr>
        <w:t xml:space="preserve">. </w:t>
      </w:r>
      <w:bookmarkStart w:id="9" w:name="_Hlk124419638"/>
      <w:r w:rsidR="00FC4351">
        <w:rPr>
          <w:rFonts w:ascii="Arial" w:hAnsi="Arial" w:cs="Arial"/>
          <w:b/>
          <w:bCs/>
        </w:rPr>
        <w:t>(select one)</w:t>
      </w:r>
    </w:p>
    <w:p w14:paraId="573ABC15" w14:textId="414E13A3" w:rsidR="006B4CBC" w:rsidRPr="006B4CBC" w:rsidRDefault="007B35CF" w:rsidP="00C268D1">
      <w:pPr>
        <w:rPr>
          <w:rFonts w:ascii="Arial" w:hAnsi="Arial" w:cs="Arial"/>
        </w:rPr>
      </w:pPr>
      <w:r w:rsidRPr="006B4CBC">
        <w:rPr>
          <w:rFonts w:ascii="Arial" w:hAnsi="Arial" w:cs="Arial"/>
        </w:rPr>
        <w:t>Full Assessment</w:t>
      </w:r>
      <w:r w:rsidR="006B4CBC">
        <w:rPr>
          <w:rFonts w:ascii="Arial" w:hAnsi="Arial" w:cs="Arial"/>
        </w:rPr>
        <w:t>: F</w:t>
      </w:r>
      <w:r w:rsidR="00D576DD" w:rsidRPr="006B4CBC">
        <w:rPr>
          <w:rFonts w:ascii="Arial" w:hAnsi="Arial" w:cs="Arial"/>
        </w:rPr>
        <w:t>ull peer-reviewed stock assessment</w:t>
      </w:r>
    </w:p>
    <w:p w14:paraId="7914CA93" w14:textId="40A11694" w:rsidR="006B4CBC" w:rsidRDefault="006B4CBC" w:rsidP="00C268D1">
      <w:pPr>
        <w:rPr>
          <w:rFonts w:ascii="Arial" w:hAnsi="Arial" w:cs="Arial"/>
        </w:rPr>
      </w:pPr>
      <w:r w:rsidRPr="006B4CBC">
        <w:rPr>
          <w:rFonts w:ascii="Arial" w:hAnsi="Arial" w:cs="Arial"/>
        </w:rPr>
        <w:t>Interim-Year Update</w:t>
      </w:r>
      <w:r>
        <w:rPr>
          <w:rFonts w:ascii="Arial" w:hAnsi="Arial" w:cs="Arial"/>
        </w:rPr>
        <w:t>: S</w:t>
      </w:r>
      <w:r w:rsidRPr="006B4CBC">
        <w:rPr>
          <w:rFonts w:ascii="Arial" w:hAnsi="Arial" w:cs="Arial"/>
        </w:rPr>
        <w:t>cience advice that is provided for years in-between full stock assessments. The content of an interim-year update report should include an update on indicator(s), assessments of indicators against trigger values, and the calculation of harvest decisions rules (or others) that were agreed upon at the full assessment. Interim-year updates may be produced annually or at less frequent intervals within the multi-year assessment cycle. The timing and number of interim-year updates are scheduled during the full stock assessment processes, but they could be requested due to exceptional circumstances</w:t>
      </w:r>
      <w:r>
        <w:rPr>
          <w:rFonts w:ascii="Arial" w:hAnsi="Arial" w:cs="Arial"/>
        </w:rPr>
        <w:t xml:space="preserve"> (</w:t>
      </w:r>
      <w:hyperlink r:id="rId13" w:history="1">
        <w:r w:rsidRPr="006B4CBC">
          <w:rPr>
            <w:rStyle w:val="Hyperlink"/>
            <w:rFonts w:ascii="Arial" w:hAnsi="Arial" w:cs="Arial"/>
          </w:rPr>
          <w:t>DFO, 2016</w:t>
        </w:r>
      </w:hyperlink>
      <w:r>
        <w:rPr>
          <w:rFonts w:ascii="Arial" w:hAnsi="Arial" w:cs="Arial"/>
        </w:rPr>
        <w:t>)</w:t>
      </w:r>
      <w:r w:rsidRPr="006B4CBC">
        <w:rPr>
          <w:rFonts w:ascii="Arial" w:hAnsi="Arial" w:cs="Arial"/>
        </w:rPr>
        <w:t>.</w:t>
      </w:r>
    </w:p>
    <w:p w14:paraId="7749F756" w14:textId="43B3B76E" w:rsidR="007B35CF" w:rsidRPr="006B4CBC" w:rsidRDefault="006B4CBC" w:rsidP="00C268D1">
      <w:pPr>
        <w:rPr>
          <w:rFonts w:ascii="Arial" w:hAnsi="Arial" w:cs="Arial"/>
        </w:rPr>
      </w:pPr>
      <w:r>
        <w:rPr>
          <w:rFonts w:ascii="Arial" w:hAnsi="Arial" w:cs="Arial"/>
        </w:rPr>
        <w:t>Harvest Decision Rule (HDR)</w:t>
      </w:r>
      <w:r w:rsidR="007B35CF" w:rsidRPr="006B4CBC">
        <w:rPr>
          <w:rFonts w:ascii="Arial" w:hAnsi="Arial" w:cs="Arial"/>
        </w:rPr>
        <w:t xml:space="preserve"> Update</w:t>
      </w:r>
      <w:r>
        <w:rPr>
          <w:rFonts w:ascii="Arial" w:hAnsi="Arial" w:cs="Arial"/>
        </w:rPr>
        <w:t>: The stock has a Harvest Decision Rule that is currently being updated</w:t>
      </w:r>
      <w:r w:rsidR="007B35CF" w:rsidRPr="006B4CBC">
        <w:rPr>
          <w:rFonts w:ascii="Arial" w:hAnsi="Arial" w:cs="Arial"/>
        </w:rPr>
        <w:t xml:space="preserve"> </w:t>
      </w:r>
    </w:p>
    <w:bookmarkEnd w:id="9"/>
    <w:p w14:paraId="2D3BBF86" w14:textId="117EC9C3" w:rsidR="005C77D6" w:rsidRPr="005C77D6" w:rsidRDefault="00335A76" w:rsidP="005C77D6">
      <w:pPr>
        <w:rPr>
          <w:rFonts w:ascii="Arial" w:hAnsi="Arial" w:cs="Arial"/>
        </w:rPr>
      </w:pPr>
      <w:r w:rsidRPr="005C77D6">
        <w:rPr>
          <w:rStyle w:val="Style1Char"/>
          <w:rFonts w:eastAsiaTheme="minorHAnsi" w:cs="Arial"/>
        </w:rPr>
        <w:lastRenderedPageBreak/>
        <w:t>Stock Structure Assumption</w:t>
      </w:r>
      <w:r w:rsidR="002B54D9" w:rsidRPr="005C77D6">
        <w:rPr>
          <w:rStyle w:val="Style1Char"/>
          <w:rFonts w:eastAsiaTheme="minorHAnsi" w:cs="Arial"/>
        </w:rPr>
        <w:t xml:space="preserve">. </w:t>
      </w:r>
      <w:bookmarkStart w:id="10" w:name="_Hlk124855400"/>
      <w:bookmarkStart w:id="11" w:name="_Hlk124419736"/>
      <w:r w:rsidR="007862B9" w:rsidRPr="005C77D6">
        <w:rPr>
          <w:rFonts w:ascii="Arial" w:hAnsi="Arial" w:cs="Arial"/>
        </w:rPr>
        <w:t>Briefly summarize</w:t>
      </w:r>
      <w:r w:rsidR="003071AF" w:rsidRPr="005C77D6">
        <w:rPr>
          <w:rFonts w:ascii="Arial" w:hAnsi="Arial" w:cs="Arial"/>
        </w:rPr>
        <w:t xml:space="preserve"> t</w:t>
      </w:r>
      <w:r w:rsidRPr="005C77D6">
        <w:rPr>
          <w:rFonts w:ascii="Arial" w:hAnsi="Arial" w:cs="Arial"/>
        </w:rPr>
        <w:t xml:space="preserve">he current assumptions regarding the stock structure and distribution of the stock being reported. </w:t>
      </w:r>
      <w:r w:rsidR="007862B9" w:rsidRPr="005C77D6">
        <w:rPr>
          <w:rFonts w:ascii="Arial" w:hAnsi="Arial" w:cs="Arial"/>
        </w:rPr>
        <w:t>Where the assessed stock distribution differs from the stock defined for management</w:t>
      </w:r>
      <w:r w:rsidR="00C82287">
        <w:rPr>
          <w:rFonts w:ascii="Arial" w:hAnsi="Arial" w:cs="Arial"/>
        </w:rPr>
        <w:t xml:space="preserve"> (i.e. there are mismatches between the biological unit and the assessment unit and/or the management unit)</w:t>
      </w:r>
      <w:r w:rsidR="007862B9" w:rsidRPr="005C77D6">
        <w:rPr>
          <w:rFonts w:ascii="Arial" w:hAnsi="Arial" w:cs="Arial"/>
        </w:rPr>
        <w:t>, an explanation must be provided of how the assessed stock relates to the managed stock.</w:t>
      </w:r>
      <w:r w:rsidR="005C77D6" w:rsidRPr="005C77D6">
        <w:rPr>
          <w:rFonts w:ascii="Arial" w:hAnsi="Arial" w:cs="Arial"/>
        </w:rPr>
        <w:t xml:space="preserve"> Where there are LRPs for multiple sub-units, indicate, by name, the sub-units that have LRPs and those that do not (where possible). </w:t>
      </w:r>
      <w:bookmarkEnd w:id="10"/>
    </w:p>
    <w:bookmarkEnd w:id="11"/>
    <w:p w14:paraId="4208E54F" w14:textId="2736902C" w:rsidR="003071AF" w:rsidRPr="002B54D9" w:rsidRDefault="003071AF" w:rsidP="002B54D9">
      <w:pPr>
        <w:ind w:left="810"/>
        <w:rPr>
          <w:rFonts w:ascii="Arial" w:hAnsi="Arial" w:cs="Arial"/>
          <w:i/>
          <w:iCs/>
        </w:rPr>
      </w:pPr>
      <w:r w:rsidRPr="002B54D9">
        <w:rPr>
          <w:rFonts w:ascii="Arial" w:hAnsi="Arial" w:cs="Arial"/>
          <w:i/>
          <w:iCs/>
        </w:rPr>
        <w:t>Examples:</w:t>
      </w:r>
    </w:p>
    <w:p w14:paraId="069F583B" w14:textId="77777777" w:rsidR="005C77D6" w:rsidRDefault="00335A76" w:rsidP="005C77D6">
      <w:pPr>
        <w:pStyle w:val="ListParagraph"/>
        <w:numPr>
          <w:ilvl w:val="0"/>
          <w:numId w:val="30"/>
        </w:numPr>
        <w:ind w:left="1080"/>
        <w:rPr>
          <w:rFonts w:ascii="Arial" w:hAnsi="Arial" w:cs="Arial"/>
          <w:i/>
          <w:iCs/>
        </w:rPr>
      </w:pPr>
      <w:r w:rsidRPr="005C77D6">
        <w:rPr>
          <w:rFonts w:ascii="Arial" w:hAnsi="Arial" w:cs="Arial"/>
          <w:i/>
          <w:iCs/>
        </w:rPr>
        <w:t>One LRP has been developed for the aggregate stock</w:t>
      </w:r>
      <w:r w:rsidR="00D11D2D" w:rsidRPr="005C77D6">
        <w:rPr>
          <w:rFonts w:ascii="Arial" w:hAnsi="Arial" w:cs="Arial"/>
          <w:i/>
          <w:iCs/>
        </w:rPr>
        <w:t xml:space="preserve"> (</w:t>
      </w:r>
      <w:r w:rsidRPr="005C77D6">
        <w:rPr>
          <w:rFonts w:ascii="Arial" w:hAnsi="Arial" w:cs="Arial"/>
          <w:i/>
          <w:iCs/>
        </w:rPr>
        <w:t>meaning the sub-units do not have their own LRPs</w:t>
      </w:r>
      <w:r w:rsidR="00D11D2D" w:rsidRPr="005C77D6">
        <w:rPr>
          <w:rFonts w:ascii="Arial" w:hAnsi="Arial" w:cs="Arial"/>
          <w:i/>
          <w:iCs/>
        </w:rPr>
        <w:t>)</w:t>
      </w:r>
      <w:r w:rsidRPr="005C77D6">
        <w:rPr>
          <w:rFonts w:ascii="Arial" w:hAnsi="Arial" w:cs="Arial"/>
          <w:i/>
          <w:iCs/>
        </w:rPr>
        <w:t xml:space="preserve">. </w:t>
      </w:r>
    </w:p>
    <w:p w14:paraId="381CBC83" w14:textId="77777777" w:rsidR="005C77D6" w:rsidRDefault="00335A76" w:rsidP="005C77D6">
      <w:pPr>
        <w:pStyle w:val="ListParagraph"/>
        <w:numPr>
          <w:ilvl w:val="0"/>
          <w:numId w:val="30"/>
        </w:numPr>
        <w:ind w:left="1080"/>
        <w:rPr>
          <w:rFonts w:ascii="Arial" w:hAnsi="Arial" w:cs="Arial"/>
          <w:i/>
          <w:iCs/>
        </w:rPr>
      </w:pPr>
      <w:r w:rsidRPr="005C77D6">
        <w:rPr>
          <w:rFonts w:ascii="Arial" w:hAnsi="Arial" w:cs="Arial"/>
          <w:i/>
          <w:iCs/>
        </w:rPr>
        <w:t xml:space="preserve">LRPs have been developed for all of the sub-units of this stock. </w:t>
      </w:r>
    </w:p>
    <w:p w14:paraId="5C3B93A0" w14:textId="77777777" w:rsidR="005C77D6" w:rsidRPr="005C77D6" w:rsidRDefault="00335A76" w:rsidP="005C77D6">
      <w:pPr>
        <w:pStyle w:val="ListParagraph"/>
        <w:numPr>
          <w:ilvl w:val="0"/>
          <w:numId w:val="30"/>
        </w:numPr>
        <w:ind w:left="1080"/>
        <w:rPr>
          <w:rFonts w:ascii="Arial" w:hAnsi="Arial" w:cs="Arial"/>
          <w:i/>
          <w:iCs/>
        </w:rPr>
      </w:pPr>
      <w:r w:rsidRPr="005C77D6">
        <w:rPr>
          <w:rFonts w:ascii="Arial" w:hAnsi="Arial" w:cs="Arial"/>
          <w:bCs/>
          <w:i/>
          <w:iCs/>
        </w:rPr>
        <w:t xml:space="preserve">LRPs have been developed for some, but not for all of the sub-units of this stock. </w:t>
      </w:r>
    </w:p>
    <w:p w14:paraId="60284BA9" w14:textId="77777777" w:rsidR="005C77D6" w:rsidRPr="005C77D6" w:rsidRDefault="00335A76" w:rsidP="005C77D6">
      <w:pPr>
        <w:pStyle w:val="ListParagraph"/>
        <w:numPr>
          <w:ilvl w:val="0"/>
          <w:numId w:val="30"/>
        </w:numPr>
        <w:spacing w:after="0" w:line="240" w:lineRule="auto"/>
        <w:ind w:left="1080"/>
        <w:rPr>
          <w:rStyle w:val="Style1Char"/>
          <w:rFonts w:eastAsiaTheme="minorHAnsi" w:cs="Arial"/>
          <w:b w:val="0"/>
          <w:lang w:val="en-US"/>
        </w:rPr>
      </w:pPr>
      <w:r w:rsidRPr="005C77D6">
        <w:rPr>
          <w:rFonts w:ascii="Arial" w:hAnsi="Arial" w:cs="Arial"/>
          <w:i/>
          <w:iCs/>
        </w:rPr>
        <w:t xml:space="preserve">There are no LRPs developed for the sub-units of this stock. </w:t>
      </w:r>
      <w:r w:rsidR="00D11D2D" w:rsidRPr="005C77D6">
        <w:rPr>
          <w:rFonts w:ascii="Arial" w:hAnsi="Arial" w:cs="Arial"/>
          <w:i/>
          <w:iCs/>
        </w:rPr>
        <w:br/>
      </w:r>
    </w:p>
    <w:p w14:paraId="4C206208" w14:textId="56DB8A15" w:rsidR="003E6240" w:rsidRPr="005C77D6" w:rsidRDefault="003E6240" w:rsidP="005C77D6">
      <w:pPr>
        <w:spacing w:after="0" w:line="240" w:lineRule="auto"/>
        <w:rPr>
          <w:rFonts w:ascii="Arial" w:hAnsi="Arial" w:cs="Arial"/>
        </w:rPr>
      </w:pPr>
      <w:r w:rsidRPr="005C77D6">
        <w:rPr>
          <w:rStyle w:val="Style1Char"/>
          <w:rFonts w:eastAsiaTheme="minorHAnsi" w:cs="Arial"/>
        </w:rPr>
        <w:t>Reference Points</w:t>
      </w:r>
      <w:r w:rsidR="002B54D9" w:rsidRPr="005C77D6">
        <w:rPr>
          <w:rStyle w:val="Style1Char"/>
          <w:rFonts w:eastAsiaTheme="minorHAnsi" w:cs="Arial"/>
        </w:rPr>
        <w:t xml:space="preserve">. </w:t>
      </w:r>
      <w:bookmarkStart w:id="12" w:name="_Hlk124419827"/>
      <w:r w:rsidR="003071AF" w:rsidRPr="005C77D6">
        <w:rPr>
          <w:rFonts w:ascii="Arial" w:hAnsi="Arial" w:cs="Arial"/>
        </w:rPr>
        <w:t>Include the</w:t>
      </w:r>
      <w:r w:rsidRPr="005C77D6">
        <w:rPr>
          <w:rFonts w:ascii="Arial" w:hAnsi="Arial" w:cs="Arial"/>
        </w:rPr>
        <w:t xml:space="preserve"> </w:t>
      </w:r>
      <w:r w:rsidR="00D25995" w:rsidRPr="005C77D6">
        <w:rPr>
          <w:rFonts w:ascii="Arial" w:hAnsi="Arial" w:cs="Arial"/>
        </w:rPr>
        <w:t>description of reference point</w:t>
      </w:r>
      <w:r w:rsidR="00CB1F85">
        <w:rPr>
          <w:rFonts w:ascii="Arial" w:hAnsi="Arial" w:cs="Arial"/>
        </w:rPr>
        <w:t>,</w:t>
      </w:r>
      <w:r w:rsidR="00D25995" w:rsidRPr="005C77D6">
        <w:rPr>
          <w:rFonts w:ascii="Arial" w:hAnsi="Arial" w:cs="Arial"/>
        </w:rPr>
        <w:t xml:space="preserve"> current value</w:t>
      </w:r>
      <w:r w:rsidRPr="005C77D6">
        <w:rPr>
          <w:rFonts w:ascii="Arial" w:hAnsi="Arial" w:cs="Arial"/>
        </w:rPr>
        <w:t xml:space="preserve"> (numbers</w:t>
      </w:r>
      <w:r w:rsidR="003071AF" w:rsidRPr="005C77D6">
        <w:rPr>
          <w:rFonts w:ascii="Arial" w:hAnsi="Arial" w:cs="Arial"/>
        </w:rPr>
        <w:t xml:space="preserve"> or formulas</w:t>
      </w:r>
      <w:r w:rsidRPr="005C77D6">
        <w:rPr>
          <w:rFonts w:ascii="Arial" w:hAnsi="Arial" w:cs="Arial"/>
        </w:rPr>
        <w:t>)</w:t>
      </w:r>
      <w:r w:rsidR="00CB1F85">
        <w:rPr>
          <w:rFonts w:ascii="Arial" w:hAnsi="Arial" w:cs="Arial"/>
        </w:rPr>
        <w:t xml:space="preserve">, and reference. </w:t>
      </w:r>
    </w:p>
    <w:p w14:paraId="115DBC67" w14:textId="78E1BF9B" w:rsidR="003E6240" w:rsidRPr="00F46C3D" w:rsidRDefault="003E6240" w:rsidP="005C77D6">
      <w:pPr>
        <w:pStyle w:val="ListParagraph"/>
        <w:numPr>
          <w:ilvl w:val="1"/>
          <w:numId w:val="16"/>
        </w:numPr>
        <w:ind w:left="720"/>
        <w:rPr>
          <w:rFonts w:ascii="Arial" w:hAnsi="Arial" w:cs="Arial"/>
        </w:rPr>
      </w:pPr>
      <w:bookmarkStart w:id="13" w:name="_Hlk124419771"/>
      <w:bookmarkEnd w:id="12"/>
      <w:r w:rsidRPr="00F46C3D">
        <w:rPr>
          <w:rFonts w:ascii="Arial" w:hAnsi="Arial" w:cs="Arial"/>
        </w:rPr>
        <w:t xml:space="preserve">Limit Reference Point (LRP) – </w:t>
      </w:r>
      <w:r w:rsidR="00D25995" w:rsidRPr="002B54D9">
        <w:rPr>
          <w:rFonts w:ascii="Arial" w:hAnsi="Arial" w:cs="Arial"/>
          <w:i/>
          <w:iCs/>
        </w:rPr>
        <w:t xml:space="preserve">x </w:t>
      </w:r>
      <w:proofErr w:type="spellStart"/>
      <w:r w:rsidR="00D25995" w:rsidRPr="002B54D9">
        <w:rPr>
          <w:rFonts w:ascii="Arial" w:hAnsi="Arial" w:cs="Arial"/>
          <w:i/>
          <w:iCs/>
        </w:rPr>
        <w:t>tonnes</w:t>
      </w:r>
      <w:proofErr w:type="spellEnd"/>
      <w:r w:rsidR="00C82287">
        <w:rPr>
          <w:rFonts w:ascii="Arial" w:hAnsi="Arial" w:cs="Arial"/>
          <w:i/>
          <w:iCs/>
        </w:rPr>
        <w:t xml:space="preserve"> (2019 estimate)</w:t>
      </w:r>
      <w:r w:rsidR="00D25995" w:rsidRPr="002B54D9">
        <w:rPr>
          <w:rFonts w:ascii="Arial" w:hAnsi="Arial" w:cs="Arial"/>
          <w:i/>
          <w:iCs/>
        </w:rPr>
        <w:t xml:space="preserve">, </w:t>
      </w:r>
      <w:r w:rsidRPr="002B54D9">
        <w:rPr>
          <w:rFonts w:ascii="Arial" w:hAnsi="Arial" w:cs="Arial"/>
          <w:i/>
          <w:iCs/>
        </w:rPr>
        <w:t>30</w:t>
      </w:r>
      <w:r w:rsidRPr="00F46C3D">
        <w:rPr>
          <w:rFonts w:ascii="Arial" w:hAnsi="Arial" w:cs="Arial"/>
          <w:i/>
        </w:rPr>
        <w:t>% of the geometric mean of female spawning stock biomass (SSB) over the productive period (2005-2009 for [stock area])</w:t>
      </w:r>
      <w:r w:rsidR="00CB1F85">
        <w:rPr>
          <w:rFonts w:ascii="Arial" w:hAnsi="Arial" w:cs="Arial"/>
          <w:i/>
        </w:rPr>
        <w:t>,</w:t>
      </w:r>
      <w:r w:rsidR="00C82287">
        <w:rPr>
          <w:rFonts w:ascii="Arial" w:hAnsi="Arial" w:cs="Arial"/>
          <w:i/>
        </w:rPr>
        <w:t xml:space="preserve"> a proxy for B</w:t>
      </w:r>
      <w:r w:rsidR="00C82287">
        <w:rPr>
          <w:rFonts w:ascii="Arial" w:hAnsi="Arial" w:cs="Arial"/>
          <w:i/>
          <w:vertAlign w:val="subscript"/>
        </w:rPr>
        <w:t>MSY</w:t>
      </w:r>
      <w:r w:rsidR="00C82287">
        <w:rPr>
          <w:rFonts w:ascii="Arial" w:hAnsi="Arial" w:cs="Arial"/>
          <w:i/>
        </w:rPr>
        <w:t>,</w:t>
      </w:r>
      <w:r w:rsidR="00CB1F85">
        <w:rPr>
          <w:rFonts w:ascii="Arial" w:hAnsi="Arial" w:cs="Arial"/>
          <w:i/>
        </w:rPr>
        <w:t xml:space="preserve"> Turnbull et al. 2018.</w:t>
      </w:r>
    </w:p>
    <w:p w14:paraId="3D76063E" w14:textId="5B9D000E" w:rsidR="003E6240" w:rsidRPr="002B54D9" w:rsidRDefault="003E6240" w:rsidP="005C77D6">
      <w:pPr>
        <w:pStyle w:val="ListParagraph"/>
        <w:numPr>
          <w:ilvl w:val="1"/>
          <w:numId w:val="16"/>
        </w:numPr>
        <w:ind w:left="720"/>
        <w:rPr>
          <w:rFonts w:ascii="Arial" w:hAnsi="Arial" w:cs="Arial"/>
          <w:i/>
          <w:iCs/>
        </w:rPr>
      </w:pPr>
      <w:r w:rsidRPr="00F46C3D">
        <w:rPr>
          <w:rFonts w:ascii="Arial" w:hAnsi="Arial" w:cs="Arial"/>
        </w:rPr>
        <w:t>Upper Stock Reference (USR)</w:t>
      </w:r>
      <w:r w:rsidR="00D25995" w:rsidRPr="00F46C3D">
        <w:rPr>
          <w:rFonts w:ascii="Arial" w:hAnsi="Arial" w:cs="Arial"/>
        </w:rPr>
        <w:t xml:space="preserve"> </w:t>
      </w:r>
      <w:r w:rsidR="00D25995" w:rsidRPr="002B54D9">
        <w:rPr>
          <w:rFonts w:ascii="Arial" w:hAnsi="Arial" w:cs="Arial"/>
          <w:i/>
          <w:iCs/>
        </w:rPr>
        <w:t xml:space="preserve">- x </w:t>
      </w:r>
      <w:proofErr w:type="spellStart"/>
      <w:r w:rsidR="00D25995" w:rsidRPr="002B54D9">
        <w:rPr>
          <w:rFonts w:ascii="Arial" w:hAnsi="Arial" w:cs="Arial"/>
          <w:i/>
          <w:iCs/>
        </w:rPr>
        <w:t>tonnes</w:t>
      </w:r>
      <w:proofErr w:type="spellEnd"/>
      <w:r w:rsidR="00D25995" w:rsidRPr="002B54D9">
        <w:rPr>
          <w:rFonts w:ascii="Arial" w:hAnsi="Arial" w:cs="Arial"/>
          <w:i/>
          <w:iCs/>
        </w:rPr>
        <w:t>; 80% B</w:t>
      </w:r>
      <w:r w:rsidR="00D25995" w:rsidRPr="002B54D9">
        <w:rPr>
          <w:rFonts w:ascii="Arial" w:hAnsi="Arial" w:cs="Arial"/>
          <w:i/>
          <w:iCs/>
          <w:vertAlign w:val="subscript"/>
        </w:rPr>
        <w:t>MSY</w:t>
      </w:r>
      <w:r w:rsidR="00CB1F85">
        <w:rPr>
          <w:rFonts w:ascii="Arial" w:hAnsi="Arial" w:cs="Arial"/>
          <w:i/>
          <w:iCs/>
        </w:rPr>
        <w:t>, Turnbull et al. 2020</w:t>
      </w:r>
    </w:p>
    <w:p w14:paraId="1F949EC8" w14:textId="19A500AA" w:rsidR="00D25995" w:rsidRPr="00F46C3D" w:rsidRDefault="00D25995" w:rsidP="005C77D6">
      <w:pPr>
        <w:pStyle w:val="ListParagraph"/>
        <w:numPr>
          <w:ilvl w:val="1"/>
          <w:numId w:val="16"/>
        </w:numPr>
        <w:ind w:left="720"/>
        <w:rPr>
          <w:rFonts w:ascii="Arial" w:hAnsi="Arial" w:cs="Arial"/>
        </w:rPr>
      </w:pPr>
      <w:r w:rsidRPr="00F46C3D">
        <w:rPr>
          <w:rFonts w:ascii="Arial" w:hAnsi="Arial" w:cs="Arial"/>
        </w:rPr>
        <w:t xml:space="preserve">Removal Reference (RR) – </w:t>
      </w:r>
      <w:r w:rsidR="00094664" w:rsidRPr="00094664">
        <w:rPr>
          <w:rFonts w:ascii="Arial" w:hAnsi="Arial" w:cs="Arial"/>
          <w:i/>
          <w:iCs/>
          <w:highlight w:val="yellow"/>
        </w:rPr>
        <w:t>(include example)</w:t>
      </w:r>
      <w:r w:rsidR="00094664">
        <w:rPr>
          <w:rFonts w:ascii="Arial" w:hAnsi="Arial" w:cs="Arial"/>
        </w:rPr>
        <w:t xml:space="preserve"> </w:t>
      </w:r>
      <w:r w:rsidRPr="00F46C3D">
        <w:rPr>
          <w:rFonts w:ascii="Arial" w:hAnsi="Arial" w:cs="Arial"/>
        </w:rPr>
        <w:t xml:space="preserve">(if there are different removal references for Healthy, Cautious and Critical, list them all). </w:t>
      </w:r>
    </w:p>
    <w:p w14:paraId="73DA3FED" w14:textId="116E4E4C" w:rsidR="003E6240" w:rsidRPr="00F46C3D" w:rsidRDefault="003E6240" w:rsidP="005C77D6">
      <w:pPr>
        <w:pStyle w:val="ListParagraph"/>
        <w:numPr>
          <w:ilvl w:val="1"/>
          <w:numId w:val="16"/>
        </w:numPr>
        <w:ind w:left="720"/>
        <w:rPr>
          <w:rFonts w:ascii="Arial" w:hAnsi="Arial" w:cs="Arial"/>
        </w:rPr>
      </w:pPr>
      <w:r w:rsidRPr="00F46C3D">
        <w:rPr>
          <w:rFonts w:ascii="Arial" w:hAnsi="Arial" w:cs="Arial"/>
        </w:rPr>
        <w:t>Target</w:t>
      </w:r>
      <w:r w:rsidR="00D25995" w:rsidRPr="00F46C3D">
        <w:rPr>
          <w:rFonts w:ascii="Arial" w:hAnsi="Arial" w:cs="Arial"/>
        </w:rPr>
        <w:t xml:space="preserve"> </w:t>
      </w:r>
      <w:r w:rsidR="002B54D9">
        <w:rPr>
          <w:rFonts w:ascii="Arial" w:hAnsi="Arial" w:cs="Arial"/>
        </w:rPr>
        <w:t xml:space="preserve">(TRP) </w:t>
      </w:r>
      <w:r w:rsidR="00CB1F85">
        <w:rPr>
          <w:rFonts w:ascii="Arial" w:hAnsi="Arial" w:cs="Arial"/>
        </w:rPr>
        <w:t>–</w:t>
      </w:r>
      <w:r w:rsidR="00D25995" w:rsidRPr="00F46C3D">
        <w:rPr>
          <w:rFonts w:ascii="Arial" w:hAnsi="Arial" w:cs="Arial"/>
        </w:rPr>
        <w:t xml:space="preserve"> </w:t>
      </w:r>
      <w:r w:rsidR="00CB1F85">
        <w:rPr>
          <w:rFonts w:ascii="Arial" w:hAnsi="Arial" w:cs="Arial"/>
        </w:rPr>
        <w:t>(if developed</w:t>
      </w:r>
      <w:r w:rsidR="00C82287">
        <w:rPr>
          <w:rFonts w:ascii="Arial" w:hAnsi="Arial" w:cs="Arial"/>
        </w:rPr>
        <w:t>; e.g. B</w:t>
      </w:r>
      <w:r w:rsidR="00C82287">
        <w:rPr>
          <w:rFonts w:ascii="Arial" w:hAnsi="Arial" w:cs="Arial"/>
          <w:vertAlign w:val="subscript"/>
        </w:rPr>
        <w:t>MSY</w:t>
      </w:r>
      <w:r w:rsidR="00CB1F85">
        <w:rPr>
          <w:rFonts w:ascii="Arial" w:hAnsi="Arial" w:cs="Arial"/>
        </w:rPr>
        <w:t>)</w:t>
      </w:r>
    </w:p>
    <w:bookmarkEnd w:id="13"/>
    <w:p w14:paraId="2D2087D1" w14:textId="2EE3A9C8" w:rsidR="00F93007" w:rsidRPr="00F46C3D" w:rsidRDefault="008E6410" w:rsidP="00335A76">
      <w:pPr>
        <w:rPr>
          <w:rStyle w:val="Style1Char"/>
          <w:rFonts w:eastAsiaTheme="minorHAnsi" w:cs="Arial"/>
          <w:b w:val="0"/>
          <w:bCs/>
          <w:lang w:val="en-US"/>
        </w:rPr>
      </w:pPr>
      <w:r>
        <w:rPr>
          <w:rStyle w:val="Style1Char"/>
          <w:rFonts w:eastAsiaTheme="minorHAnsi" w:cs="Arial"/>
        </w:rPr>
        <w:t>Harvest Decision Rule</w:t>
      </w:r>
      <w:r w:rsidR="002B54D9">
        <w:rPr>
          <w:rStyle w:val="Style1Char"/>
          <w:rFonts w:eastAsiaTheme="minorHAnsi" w:cs="Arial"/>
        </w:rPr>
        <w:t xml:space="preserve">. </w:t>
      </w:r>
      <w:bookmarkStart w:id="14" w:name="_Hlk124419863"/>
      <w:r w:rsidR="00F93007" w:rsidRPr="00F46C3D">
        <w:rPr>
          <w:rStyle w:val="Style1Char"/>
          <w:rFonts w:eastAsiaTheme="minorHAnsi" w:cs="Arial"/>
          <w:b w:val="0"/>
          <w:bCs/>
          <w:lang w:val="en-US"/>
        </w:rPr>
        <w:t xml:space="preserve">Include text and/or figure to </w:t>
      </w:r>
      <w:r w:rsidR="002B54D9">
        <w:rPr>
          <w:rStyle w:val="Style1Char"/>
          <w:rFonts w:eastAsiaTheme="minorHAnsi" w:cs="Arial"/>
          <w:b w:val="0"/>
          <w:bCs/>
          <w:lang w:val="en-US"/>
        </w:rPr>
        <w:t xml:space="preserve">describe the </w:t>
      </w:r>
      <w:r w:rsidR="00F93007" w:rsidRPr="00F46C3D">
        <w:rPr>
          <w:rStyle w:val="Style1Char"/>
          <w:rFonts w:eastAsiaTheme="minorHAnsi" w:cs="Arial"/>
          <w:b w:val="0"/>
          <w:bCs/>
          <w:lang w:val="en-US"/>
        </w:rPr>
        <w:t xml:space="preserve">management procedure (s) </w:t>
      </w:r>
      <w:r w:rsidR="003071AF" w:rsidRPr="00F46C3D">
        <w:rPr>
          <w:rStyle w:val="Style1Char"/>
          <w:rFonts w:eastAsiaTheme="minorHAnsi" w:cs="Arial"/>
          <w:b w:val="0"/>
          <w:bCs/>
          <w:lang w:val="en-US"/>
        </w:rPr>
        <w:t>for the fishery if applicable</w:t>
      </w:r>
      <w:r w:rsidR="00F93007" w:rsidRPr="00F46C3D">
        <w:rPr>
          <w:rStyle w:val="Style1Char"/>
          <w:rFonts w:eastAsiaTheme="minorHAnsi" w:cs="Arial"/>
          <w:b w:val="0"/>
          <w:bCs/>
          <w:lang w:val="en-US"/>
        </w:rPr>
        <w:t>.</w:t>
      </w:r>
    </w:p>
    <w:bookmarkEnd w:id="14"/>
    <w:p w14:paraId="74D7985F" w14:textId="257F6FFE" w:rsidR="00335A76" w:rsidRPr="00F46C3D" w:rsidRDefault="00335A76" w:rsidP="00335A76">
      <w:pPr>
        <w:rPr>
          <w:rFonts w:ascii="Arial" w:hAnsi="Arial" w:cs="Arial"/>
        </w:rPr>
      </w:pPr>
      <w:r w:rsidRPr="00F46C3D">
        <w:rPr>
          <w:rStyle w:val="Style1Char"/>
          <w:rFonts w:eastAsiaTheme="minorHAnsi" w:cs="Arial"/>
        </w:rPr>
        <w:t>Data</w:t>
      </w:r>
      <w:r w:rsidR="002B54D9">
        <w:rPr>
          <w:rStyle w:val="Style1Char"/>
          <w:rFonts w:eastAsiaTheme="minorHAnsi" w:cs="Arial"/>
        </w:rPr>
        <w:t xml:space="preserve">. </w:t>
      </w:r>
      <w:r w:rsidRPr="00F46C3D">
        <w:rPr>
          <w:rFonts w:ascii="Arial" w:hAnsi="Arial" w:cs="Arial"/>
        </w:rPr>
        <w:t xml:space="preserve"> </w:t>
      </w:r>
      <w:bookmarkStart w:id="15" w:name="_Hlk124419929"/>
      <w:r w:rsidRPr="00F46C3D">
        <w:rPr>
          <w:rFonts w:ascii="Arial" w:hAnsi="Arial" w:cs="Arial"/>
        </w:rPr>
        <w:t xml:space="preserve">Short summary of main data inputs. Longer summary in Research Document/ or if unchanging Species Overview </w:t>
      </w:r>
      <w:commentRangeStart w:id="16"/>
      <w:r w:rsidRPr="00F46C3D">
        <w:rPr>
          <w:rFonts w:ascii="Arial" w:hAnsi="Arial" w:cs="Arial"/>
        </w:rPr>
        <w:t>Document</w:t>
      </w:r>
      <w:commentRangeEnd w:id="16"/>
      <w:r w:rsidR="00C82287">
        <w:rPr>
          <w:rStyle w:val="CommentReference"/>
        </w:rPr>
        <w:commentReference w:id="16"/>
      </w:r>
    </w:p>
    <w:bookmarkEnd w:id="15"/>
    <w:p w14:paraId="76FAFD70" w14:textId="77777777" w:rsidR="00C82287" w:rsidRPr="00C82287" w:rsidRDefault="00335A76" w:rsidP="00C82287">
      <w:pPr>
        <w:pStyle w:val="ListParagraph"/>
        <w:numPr>
          <w:ilvl w:val="0"/>
          <w:numId w:val="39"/>
        </w:numPr>
        <w:rPr>
          <w:rFonts w:ascii="Arial" w:hAnsi="Arial" w:cs="Arial"/>
          <w:i/>
          <w:iCs/>
        </w:rPr>
      </w:pPr>
      <w:r w:rsidRPr="00C82287">
        <w:rPr>
          <w:rFonts w:ascii="Arial" w:hAnsi="Arial" w:cs="Arial"/>
          <w:i/>
          <w:iCs/>
        </w:rPr>
        <w:t>DFO Summer RV Survey Catch at Age (1983- 2019)</w:t>
      </w:r>
    </w:p>
    <w:p w14:paraId="20A9E242" w14:textId="77777777" w:rsidR="00C82287" w:rsidRPr="00C82287" w:rsidRDefault="00335A76" w:rsidP="00C82287">
      <w:pPr>
        <w:pStyle w:val="ListParagraph"/>
        <w:numPr>
          <w:ilvl w:val="0"/>
          <w:numId w:val="39"/>
        </w:numPr>
        <w:rPr>
          <w:rFonts w:ascii="Arial" w:hAnsi="Arial" w:cs="Arial"/>
          <w:i/>
          <w:iCs/>
        </w:rPr>
      </w:pPr>
      <w:r w:rsidRPr="00C82287">
        <w:rPr>
          <w:rFonts w:ascii="Arial" w:hAnsi="Arial" w:cs="Arial"/>
          <w:i/>
          <w:iCs/>
        </w:rPr>
        <w:t>Commercial Catch at Age (1983-2018)</w:t>
      </w:r>
    </w:p>
    <w:p w14:paraId="510476F5" w14:textId="77777777" w:rsidR="00C82287" w:rsidRPr="00C82287" w:rsidRDefault="00335A76" w:rsidP="00C82287">
      <w:pPr>
        <w:pStyle w:val="ListParagraph"/>
        <w:numPr>
          <w:ilvl w:val="0"/>
          <w:numId w:val="39"/>
        </w:numPr>
        <w:rPr>
          <w:rFonts w:ascii="Arial" w:hAnsi="Arial" w:cs="Arial"/>
          <w:i/>
          <w:iCs/>
        </w:rPr>
      </w:pPr>
      <w:r w:rsidRPr="00C82287">
        <w:rPr>
          <w:rFonts w:ascii="Arial" w:hAnsi="Arial" w:cs="Arial"/>
          <w:i/>
          <w:iCs/>
        </w:rPr>
        <w:t>Survey Weight at Age (1983- 2019)</w:t>
      </w:r>
    </w:p>
    <w:p w14:paraId="0DFD638F" w14:textId="5B85D572" w:rsidR="00335A76" w:rsidRPr="00C82287" w:rsidRDefault="00335A76" w:rsidP="00C82287">
      <w:pPr>
        <w:pStyle w:val="ListParagraph"/>
        <w:numPr>
          <w:ilvl w:val="0"/>
          <w:numId w:val="39"/>
        </w:numPr>
        <w:rPr>
          <w:rFonts w:ascii="Arial" w:hAnsi="Arial" w:cs="Arial"/>
          <w:i/>
          <w:iCs/>
        </w:rPr>
      </w:pPr>
      <w:r w:rsidRPr="00C82287">
        <w:rPr>
          <w:rFonts w:ascii="Arial" w:hAnsi="Arial" w:cs="Arial"/>
          <w:i/>
          <w:iCs/>
        </w:rPr>
        <w:t xml:space="preserve">Commercial Weight at Age (1983-2018). </w:t>
      </w:r>
    </w:p>
    <w:p w14:paraId="45ABAD00" w14:textId="77777777" w:rsidR="00CD5B12" w:rsidRPr="00F46C3D" w:rsidRDefault="00CD5B12" w:rsidP="00045C37">
      <w:pPr>
        <w:rPr>
          <w:rStyle w:val="Style1Char"/>
          <w:rFonts w:eastAsiaTheme="minorHAnsi" w:cs="Arial"/>
        </w:rPr>
      </w:pPr>
    </w:p>
    <w:p w14:paraId="69318EFB" w14:textId="7885F284" w:rsidR="00C268D1" w:rsidRPr="00F46C3D" w:rsidRDefault="00615EF2" w:rsidP="00045C37">
      <w:pPr>
        <w:rPr>
          <w:rFonts w:ascii="Arial" w:hAnsi="Arial" w:cs="Arial"/>
        </w:rPr>
      </w:pPr>
      <w:r w:rsidRPr="00F46C3D">
        <w:rPr>
          <w:rStyle w:val="Style1Char"/>
          <w:rFonts w:eastAsiaTheme="minorHAnsi" w:cs="Arial"/>
        </w:rPr>
        <w:t>Historical and Recent Stock Trajectory</w:t>
      </w:r>
      <w:r w:rsidR="00DB590F" w:rsidRPr="00F46C3D">
        <w:rPr>
          <w:rStyle w:val="Style1Char"/>
          <w:rFonts w:eastAsiaTheme="minorHAnsi" w:cs="Arial"/>
        </w:rPr>
        <w:t>:</w:t>
      </w:r>
      <w:r w:rsidRPr="00F46C3D">
        <w:rPr>
          <w:rFonts w:ascii="Arial" w:hAnsi="Arial" w:cs="Arial"/>
        </w:rPr>
        <w:t xml:space="preserve"> </w:t>
      </w:r>
      <w:bookmarkStart w:id="17" w:name="_Hlk124419990"/>
      <w:r w:rsidR="00D25995" w:rsidRPr="00F46C3D">
        <w:rPr>
          <w:rFonts w:ascii="Arial" w:hAnsi="Arial" w:cs="Arial"/>
        </w:rPr>
        <w:t>The r</w:t>
      </w:r>
      <w:r w:rsidRPr="00F46C3D">
        <w:rPr>
          <w:rFonts w:ascii="Arial" w:hAnsi="Arial" w:cs="Arial"/>
        </w:rPr>
        <w:t xml:space="preserve">ecent </w:t>
      </w:r>
      <w:r w:rsidR="00D25995" w:rsidRPr="00F46C3D">
        <w:rPr>
          <w:rFonts w:ascii="Arial" w:hAnsi="Arial" w:cs="Arial"/>
        </w:rPr>
        <w:t xml:space="preserve">fish </w:t>
      </w:r>
      <w:r w:rsidRPr="00F46C3D">
        <w:rPr>
          <w:rFonts w:ascii="Arial" w:hAnsi="Arial" w:cs="Arial"/>
        </w:rPr>
        <w:t xml:space="preserve">stock trends should be reported in terms of stock size and fishing intensity (or proxies for these), respectively. Observed trends should be reported using descriptors such as increasing, decreasing, stable, or fluctuating without trend. Where it is considered relevant, mention could be made of whether the indicator is moving towards or away from a limit, </w:t>
      </w:r>
      <w:r w:rsidR="00AC1942" w:rsidRPr="00F46C3D">
        <w:rPr>
          <w:rFonts w:ascii="Arial" w:hAnsi="Arial" w:cs="Arial"/>
        </w:rPr>
        <w:t xml:space="preserve">target, </w:t>
      </w:r>
      <w:r w:rsidRPr="00F46C3D">
        <w:rPr>
          <w:rFonts w:ascii="Arial" w:hAnsi="Arial" w:cs="Arial"/>
        </w:rPr>
        <w:t>or long term average.</w:t>
      </w:r>
      <w:r w:rsidR="00C268D1" w:rsidRPr="00F46C3D">
        <w:rPr>
          <w:rFonts w:ascii="Arial" w:hAnsi="Arial" w:cs="Arial"/>
        </w:rPr>
        <w:t xml:space="preserve"> Note if </w:t>
      </w:r>
      <w:r w:rsidR="00AC1942" w:rsidRPr="00F46C3D">
        <w:rPr>
          <w:rFonts w:ascii="Arial" w:hAnsi="Arial" w:cs="Arial"/>
        </w:rPr>
        <w:t>fishing mortality</w:t>
      </w:r>
      <w:r w:rsidR="00C268D1" w:rsidRPr="00F46C3D">
        <w:rPr>
          <w:rFonts w:ascii="Arial" w:hAnsi="Arial" w:cs="Arial"/>
        </w:rPr>
        <w:t xml:space="preserve"> includes total catch (including bycatch) or only commercial catches. If the mortality rate is not for all the fisheries on this stock, please indicate so. </w:t>
      </w:r>
      <w:r w:rsidR="00691622" w:rsidRPr="00F46C3D">
        <w:rPr>
          <w:rFonts w:ascii="Arial" w:hAnsi="Arial" w:cs="Arial"/>
        </w:rPr>
        <w:t>Include:</w:t>
      </w:r>
    </w:p>
    <w:p w14:paraId="3A161413" w14:textId="77777777" w:rsidR="00C268D1" w:rsidRPr="00F46C3D" w:rsidRDefault="00691622" w:rsidP="001E7A4A">
      <w:pPr>
        <w:pStyle w:val="ListParagraph"/>
        <w:numPr>
          <w:ilvl w:val="0"/>
          <w:numId w:val="23"/>
        </w:numPr>
        <w:ind w:left="360" w:hanging="180"/>
        <w:rPr>
          <w:rFonts w:ascii="Arial" w:hAnsi="Arial" w:cs="Arial"/>
          <w:bCs/>
        </w:rPr>
      </w:pPr>
      <w:r w:rsidRPr="00F46C3D">
        <w:rPr>
          <w:rFonts w:ascii="Arial" w:hAnsi="Arial" w:cs="Arial"/>
          <w:b/>
        </w:rPr>
        <w:t>Abundance</w:t>
      </w:r>
      <w:r w:rsidRPr="00F46C3D">
        <w:rPr>
          <w:rFonts w:ascii="Arial" w:hAnsi="Arial" w:cs="Arial"/>
          <w:bCs/>
        </w:rPr>
        <w:t xml:space="preserve"> - a value(s) has been calculated for the abundance for the target species in the stock of focus. </w:t>
      </w:r>
    </w:p>
    <w:p w14:paraId="63895EED" w14:textId="77777777" w:rsidR="00C268D1" w:rsidRPr="00F46C3D" w:rsidRDefault="00C268D1" w:rsidP="001E7A4A">
      <w:pPr>
        <w:pStyle w:val="ListParagraph"/>
        <w:numPr>
          <w:ilvl w:val="0"/>
          <w:numId w:val="23"/>
        </w:numPr>
        <w:ind w:left="360" w:hanging="180"/>
        <w:rPr>
          <w:rFonts w:ascii="Arial" w:hAnsi="Arial" w:cs="Arial"/>
          <w:bCs/>
        </w:rPr>
      </w:pPr>
      <w:r w:rsidRPr="00F46C3D">
        <w:rPr>
          <w:rFonts w:ascii="Arial" w:hAnsi="Arial" w:cs="Arial"/>
          <w:b/>
        </w:rPr>
        <w:t>B</w:t>
      </w:r>
      <w:r w:rsidR="00691622" w:rsidRPr="00F46C3D">
        <w:rPr>
          <w:rFonts w:ascii="Arial" w:hAnsi="Arial" w:cs="Arial"/>
          <w:b/>
        </w:rPr>
        <w:t>iomass</w:t>
      </w:r>
      <w:r w:rsidR="00691622" w:rsidRPr="00F46C3D">
        <w:rPr>
          <w:rFonts w:ascii="Arial" w:hAnsi="Arial" w:cs="Arial"/>
          <w:bCs/>
        </w:rPr>
        <w:t xml:space="preserve"> - a value(s) has been calculated for the biomass for the target species in the stock of focus.</w:t>
      </w:r>
    </w:p>
    <w:p w14:paraId="161114FF" w14:textId="77777777" w:rsidR="00C268D1" w:rsidRPr="00F46C3D" w:rsidRDefault="00691622" w:rsidP="001E7A4A">
      <w:pPr>
        <w:pStyle w:val="ListParagraph"/>
        <w:numPr>
          <w:ilvl w:val="0"/>
          <w:numId w:val="23"/>
        </w:numPr>
        <w:ind w:left="360" w:hanging="180"/>
        <w:rPr>
          <w:rFonts w:ascii="Arial" w:hAnsi="Arial" w:cs="Arial"/>
          <w:bCs/>
        </w:rPr>
      </w:pPr>
      <w:r w:rsidRPr="00F46C3D">
        <w:rPr>
          <w:rFonts w:ascii="Arial" w:hAnsi="Arial" w:cs="Arial"/>
          <w:b/>
        </w:rPr>
        <w:lastRenderedPageBreak/>
        <w:t>Density</w:t>
      </w:r>
      <w:r w:rsidRPr="00F46C3D">
        <w:rPr>
          <w:rFonts w:ascii="Arial" w:hAnsi="Arial" w:cs="Arial"/>
          <w:bCs/>
        </w:rPr>
        <w:t xml:space="preserve"> - a value(s) has been calculated for the density for the target species in the stock of focus.  </w:t>
      </w:r>
    </w:p>
    <w:p w14:paraId="41E3DED9" w14:textId="3846FAD2" w:rsidR="00691622" w:rsidRPr="00F46C3D" w:rsidRDefault="00691622" w:rsidP="001E7A4A">
      <w:pPr>
        <w:pStyle w:val="ListParagraph"/>
        <w:numPr>
          <w:ilvl w:val="0"/>
          <w:numId w:val="23"/>
        </w:numPr>
        <w:ind w:left="360" w:hanging="180"/>
        <w:rPr>
          <w:rFonts w:ascii="Arial" w:hAnsi="Arial" w:cs="Arial"/>
          <w:bCs/>
        </w:rPr>
      </w:pPr>
      <w:r w:rsidRPr="00F46C3D">
        <w:rPr>
          <w:rFonts w:ascii="Arial" w:hAnsi="Arial" w:cs="Arial"/>
          <w:b/>
        </w:rPr>
        <w:t>No</w:t>
      </w:r>
      <w:r w:rsidRPr="00F46C3D">
        <w:rPr>
          <w:rFonts w:ascii="Arial" w:hAnsi="Arial" w:cs="Arial"/>
        </w:rPr>
        <w:t xml:space="preserve"> –  Values have </w:t>
      </w:r>
      <w:r w:rsidRPr="00F46C3D">
        <w:rPr>
          <w:rFonts w:ascii="Arial" w:hAnsi="Arial" w:cs="Arial"/>
          <w:b/>
        </w:rPr>
        <w:t>NOT</w:t>
      </w:r>
      <w:r w:rsidRPr="00F46C3D">
        <w:rPr>
          <w:rFonts w:ascii="Arial" w:hAnsi="Arial" w:cs="Arial"/>
        </w:rPr>
        <w:t xml:space="preserve"> been calculated for the abundance, density or biomass for the target species in the stock of focus.</w:t>
      </w:r>
    </w:p>
    <w:p w14:paraId="6F1971E6" w14:textId="5EC7D738" w:rsidR="00691622" w:rsidRPr="00F46C3D" w:rsidRDefault="00691622" w:rsidP="001E7A4A">
      <w:pPr>
        <w:pStyle w:val="ListParagraph"/>
        <w:numPr>
          <w:ilvl w:val="0"/>
          <w:numId w:val="23"/>
        </w:numPr>
        <w:ind w:left="360" w:hanging="180"/>
        <w:rPr>
          <w:rFonts w:ascii="Arial" w:hAnsi="Arial" w:cs="Arial"/>
          <w:bCs/>
        </w:rPr>
      </w:pPr>
      <w:r w:rsidRPr="00F46C3D">
        <w:rPr>
          <w:rFonts w:ascii="Arial" w:eastAsia="Calibri" w:hAnsi="Arial" w:cs="Arial"/>
          <w:bCs/>
        </w:rPr>
        <w:t xml:space="preserve">Provide the </w:t>
      </w:r>
      <w:r w:rsidRPr="00F46C3D">
        <w:rPr>
          <w:rFonts w:ascii="Arial" w:eastAsia="Calibri" w:hAnsi="Arial" w:cs="Arial"/>
          <w:b/>
        </w:rPr>
        <w:t>exploitation rate(s)</w:t>
      </w:r>
      <w:r w:rsidRPr="00F46C3D">
        <w:rPr>
          <w:rFonts w:ascii="Arial" w:eastAsia="Calibri" w:hAnsi="Arial" w:cs="Arial"/>
          <w:bCs/>
        </w:rPr>
        <w:t>, exploitation rate index or relative F (i.e., survey biomass/landings) calculated for fisheries on this stock.</w:t>
      </w:r>
      <w:r w:rsidRPr="00F46C3D">
        <w:rPr>
          <w:rFonts w:ascii="Arial" w:hAnsi="Arial" w:cs="Arial"/>
        </w:rPr>
        <w:t xml:space="preserve"> </w:t>
      </w:r>
      <w:r w:rsidRPr="00F46C3D">
        <w:rPr>
          <w:rFonts w:ascii="Arial" w:eastAsia="Calibri" w:hAnsi="Arial" w:cs="Arial"/>
          <w:bCs/>
        </w:rPr>
        <w:t>If the exploitation rate is not for all the fisheries on this stock, please indicate so. Provide links to any online documents that reference these values.</w:t>
      </w:r>
    </w:p>
    <w:p w14:paraId="339874FB" w14:textId="1DE43E8B" w:rsidR="00180A27" w:rsidRPr="00F46C3D" w:rsidRDefault="00180A27" w:rsidP="001E7A4A">
      <w:pPr>
        <w:pStyle w:val="ListParagraph"/>
        <w:numPr>
          <w:ilvl w:val="0"/>
          <w:numId w:val="23"/>
        </w:numPr>
        <w:ind w:left="360" w:hanging="180"/>
        <w:rPr>
          <w:rFonts w:ascii="Arial" w:hAnsi="Arial" w:cs="Arial"/>
          <w:b/>
        </w:rPr>
      </w:pPr>
      <w:r w:rsidRPr="00F46C3D">
        <w:rPr>
          <w:rFonts w:ascii="Arial" w:eastAsia="Calibri" w:hAnsi="Arial" w:cs="Arial"/>
          <w:b/>
        </w:rPr>
        <w:t xml:space="preserve">Recruitment </w:t>
      </w:r>
      <w:r w:rsidR="00F6037B" w:rsidRPr="00F46C3D">
        <w:rPr>
          <w:rFonts w:ascii="Arial" w:eastAsia="Calibri" w:hAnsi="Arial" w:cs="Arial"/>
          <w:b/>
        </w:rPr>
        <w:t>–</w:t>
      </w:r>
      <w:r w:rsidRPr="00F46C3D">
        <w:rPr>
          <w:rFonts w:ascii="Arial" w:eastAsia="Calibri" w:hAnsi="Arial" w:cs="Arial"/>
          <w:b/>
        </w:rPr>
        <w:t xml:space="preserve"> </w:t>
      </w:r>
      <w:r w:rsidR="00AC1942" w:rsidRPr="00F46C3D">
        <w:rPr>
          <w:rFonts w:ascii="Arial" w:eastAsia="Calibri" w:hAnsi="Arial" w:cs="Arial"/>
          <w:bCs/>
        </w:rPr>
        <w:t>a values (s) has been calculated for recruitment for the target species in the stock of focus</w:t>
      </w:r>
    </w:p>
    <w:p w14:paraId="2BDBA919" w14:textId="5ABEB83C" w:rsidR="00F6037B" w:rsidRPr="00F46C3D" w:rsidRDefault="00F6037B" w:rsidP="001E7A4A">
      <w:pPr>
        <w:pStyle w:val="ListParagraph"/>
        <w:numPr>
          <w:ilvl w:val="0"/>
          <w:numId w:val="23"/>
        </w:numPr>
        <w:ind w:left="360" w:hanging="180"/>
        <w:rPr>
          <w:rFonts w:ascii="Arial" w:hAnsi="Arial" w:cs="Arial"/>
          <w:b/>
        </w:rPr>
      </w:pPr>
      <w:r w:rsidRPr="00F46C3D">
        <w:rPr>
          <w:rFonts w:ascii="Arial" w:eastAsia="Calibri" w:hAnsi="Arial" w:cs="Arial"/>
          <w:b/>
        </w:rPr>
        <w:t xml:space="preserve">Natural Mortality </w:t>
      </w:r>
      <w:r w:rsidR="00AC1942" w:rsidRPr="00F46C3D">
        <w:rPr>
          <w:rFonts w:ascii="Arial" w:eastAsia="Calibri" w:hAnsi="Arial" w:cs="Arial"/>
          <w:b/>
        </w:rPr>
        <w:t>–</w:t>
      </w:r>
      <w:r w:rsidRPr="00F46C3D">
        <w:rPr>
          <w:rFonts w:ascii="Arial" w:eastAsia="Calibri" w:hAnsi="Arial" w:cs="Arial"/>
          <w:b/>
        </w:rPr>
        <w:t xml:space="preserve"> </w:t>
      </w:r>
      <w:r w:rsidR="00AC1942" w:rsidRPr="00F46C3D">
        <w:rPr>
          <w:rFonts w:ascii="Arial" w:eastAsia="Calibri" w:hAnsi="Arial" w:cs="Arial"/>
          <w:bCs/>
        </w:rPr>
        <w:t>a value(s) has been calculated for natural mortality (M) for the target species in the stock of focus.</w:t>
      </w:r>
    </w:p>
    <w:bookmarkEnd w:id="17"/>
    <w:p w14:paraId="3E69E884" w14:textId="7B7C7D7E" w:rsidR="00542344" w:rsidRDefault="00E959BE" w:rsidP="00335A76">
      <w:pPr>
        <w:ind w:left="360"/>
        <w:contextualSpacing/>
        <w:rPr>
          <w:rFonts w:ascii="Arial" w:hAnsi="Arial" w:cs="Arial"/>
          <w:i/>
        </w:rPr>
      </w:pPr>
      <w:r w:rsidRPr="00F46C3D">
        <w:rPr>
          <w:rFonts w:ascii="Arial" w:hAnsi="Arial" w:cs="Arial"/>
          <w:i/>
        </w:rPr>
        <w:t xml:space="preserve">The stock’s index of abundance has increased from 2013 and was the highest in the time series in 2018. </w:t>
      </w:r>
    </w:p>
    <w:p w14:paraId="30EB1560" w14:textId="77777777" w:rsidR="00C06DA3" w:rsidRDefault="00C06DA3" w:rsidP="003D5D18">
      <w:pPr>
        <w:rPr>
          <w:rStyle w:val="Style1Char"/>
          <w:rFonts w:eastAsiaTheme="minorHAnsi" w:cs="Arial"/>
        </w:rPr>
      </w:pPr>
    </w:p>
    <w:p w14:paraId="516DA7FB" w14:textId="0CD05F77" w:rsidR="003D5D18" w:rsidRPr="00F46C3D" w:rsidRDefault="003D5D18" w:rsidP="003D5D18">
      <w:pPr>
        <w:rPr>
          <w:rFonts w:ascii="Arial" w:hAnsi="Arial" w:cs="Arial"/>
        </w:rPr>
      </w:pPr>
      <w:r w:rsidRPr="00F46C3D">
        <w:rPr>
          <w:rStyle w:val="Style1Char"/>
          <w:rFonts w:eastAsiaTheme="minorHAnsi" w:cs="Arial"/>
        </w:rPr>
        <w:t>Panel of images</w:t>
      </w:r>
      <w:r>
        <w:rPr>
          <w:rStyle w:val="Style1Char"/>
          <w:rFonts w:eastAsiaTheme="minorHAnsi" w:cs="Arial"/>
        </w:rPr>
        <w:t xml:space="preserve">. </w:t>
      </w:r>
      <w:r w:rsidRPr="00F46C3D">
        <w:rPr>
          <w:rFonts w:ascii="Arial" w:hAnsi="Arial" w:cs="Arial"/>
        </w:rPr>
        <w:t xml:space="preserve"> </w:t>
      </w:r>
      <w:bookmarkStart w:id="18" w:name="_Hlk124420043"/>
      <w:r w:rsidRPr="00F46C3D">
        <w:rPr>
          <w:rFonts w:ascii="Arial" w:hAnsi="Arial" w:cs="Arial"/>
        </w:rPr>
        <w:t xml:space="preserve">(confidence intervals should be presented graphically with </w:t>
      </w:r>
      <w:commentRangeStart w:id="19"/>
      <w:r w:rsidRPr="00F46C3D">
        <w:rPr>
          <w:rFonts w:ascii="Arial" w:hAnsi="Arial" w:cs="Arial"/>
        </w:rPr>
        <w:t>shading</w:t>
      </w:r>
      <w:commentRangeEnd w:id="19"/>
      <w:r w:rsidR="005E2E95">
        <w:rPr>
          <w:rStyle w:val="CommentReference"/>
        </w:rPr>
        <w:commentReference w:id="19"/>
      </w:r>
      <w:r w:rsidRPr="00F46C3D">
        <w:rPr>
          <w:rFonts w:ascii="Arial" w:hAnsi="Arial" w:cs="Arial"/>
        </w:rPr>
        <w:t xml:space="preserve"> that includes fading edges at more extreme probabilities in order to better characterize improbably but high consequence events). Figures in </w:t>
      </w:r>
      <w:r w:rsidR="005E2E95">
        <w:rPr>
          <w:rFonts w:ascii="Arial" w:hAnsi="Arial" w:cs="Arial"/>
        </w:rPr>
        <w:t>greyscale</w:t>
      </w:r>
      <w:r w:rsidRPr="00F46C3D">
        <w:rPr>
          <w:rFonts w:ascii="Arial" w:hAnsi="Arial" w:cs="Arial"/>
        </w:rPr>
        <w:t xml:space="preserve">. Font on </w:t>
      </w:r>
      <w:commentRangeStart w:id="20"/>
      <w:r w:rsidRPr="00F46C3D">
        <w:rPr>
          <w:rFonts w:ascii="Arial" w:hAnsi="Arial" w:cs="Arial"/>
        </w:rPr>
        <w:t>axes</w:t>
      </w:r>
      <w:commentRangeEnd w:id="20"/>
      <w:r w:rsidR="005E2E95">
        <w:rPr>
          <w:rStyle w:val="CommentReference"/>
        </w:rPr>
        <w:commentReference w:id="20"/>
      </w:r>
      <w:r w:rsidRPr="00F46C3D">
        <w:rPr>
          <w:rFonts w:ascii="Arial" w:hAnsi="Arial" w:cs="Arial"/>
        </w:rPr>
        <w:t xml:space="preserve"> (x). Use standardized </w:t>
      </w:r>
      <w:commentRangeStart w:id="21"/>
      <w:r w:rsidRPr="00F46C3D">
        <w:rPr>
          <w:rFonts w:ascii="Arial" w:hAnsi="Arial" w:cs="Arial"/>
        </w:rPr>
        <w:t>graphs</w:t>
      </w:r>
      <w:commentRangeEnd w:id="21"/>
      <w:r w:rsidR="005E2E95">
        <w:rPr>
          <w:rStyle w:val="CommentReference"/>
        </w:rPr>
        <w:commentReference w:id="21"/>
      </w:r>
      <w:r w:rsidRPr="00F46C3D">
        <w:rPr>
          <w:rFonts w:ascii="Arial" w:hAnsi="Arial" w:cs="Arial"/>
        </w:rPr>
        <w:t xml:space="preserve">. </w:t>
      </w:r>
    </w:p>
    <w:bookmarkEnd w:id="18"/>
    <w:p w14:paraId="76D222EB" w14:textId="77777777" w:rsidR="003D5D18" w:rsidRPr="00F46C3D" w:rsidRDefault="003D5D18" w:rsidP="003D5D18">
      <w:pPr>
        <w:pStyle w:val="ListParagraph"/>
        <w:numPr>
          <w:ilvl w:val="1"/>
          <w:numId w:val="18"/>
        </w:numPr>
        <w:ind w:left="630" w:hanging="270"/>
        <w:rPr>
          <w:rFonts w:ascii="Arial" w:hAnsi="Arial" w:cs="Arial"/>
        </w:rPr>
      </w:pPr>
      <w:r w:rsidRPr="00F46C3D">
        <w:rPr>
          <w:rFonts w:ascii="Arial" w:hAnsi="Arial" w:cs="Arial"/>
        </w:rPr>
        <w:t>Catch vs Total Allowable Catch (DFO must account for the total catch and/or associated uncertainty on the prescribed major fish stock, consistent with the PA Policy as well as the Policy on Managing Bycatch and the Fishery Monitoring Policy.)</w:t>
      </w:r>
    </w:p>
    <w:p w14:paraId="7692904C" w14:textId="27374247" w:rsidR="003D5D18" w:rsidRPr="00F46C3D" w:rsidRDefault="00C82287" w:rsidP="003D5D18">
      <w:pPr>
        <w:pStyle w:val="ListParagraph"/>
        <w:numPr>
          <w:ilvl w:val="1"/>
          <w:numId w:val="18"/>
        </w:numPr>
        <w:ind w:left="630" w:hanging="270"/>
        <w:rPr>
          <w:rFonts w:ascii="Arial" w:hAnsi="Arial" w:cs="Arial"/>
        </w:rPr>
      </w:pPr>
      <w:r>
        <w:rPr>
          <w:rFonts w:ascii="Arial" w:hAnsi="Arial" w:cs="Arial"/>
        </w:rPr>
        <w:t xml:space="preserve">Stock indicator, e.g. </w:t>
      </w:r>
      <w:r w:rsidR="003D5D18" w:rsidRPr="00F46C3D">
        <w:rPr>
          <w:rFonts w:ascii="Arial" w:hAnsi="Arial" w:cs="Arial"/>
        </w:rPr>
        <w:t xml:space="preserve">Spawning Stock Biomass (SSB) or proxy, in relation to the Limit Reference Point (LRP) – </w:t>
      </w:r>
      <w:r>
        <w:rPr>
          <w:rFonts w:ascii="Arial" w:hAnsi="Arial" w:cs="Arial"/>
        </w:rPr>
        <w:t xml:space="preserve">e.g. </w:t>
      </w:r>
      <w:r w:rsidR="003D5D18" w:rsidRPr="00F46C3D">
        <w:rPr>
          <w:rFonts w:ascii="Arial" w:hAnsi="Arial" w:cs="Arial"/>
        </w:rPr>
        <w:t>B/B</w:t>
      </w:r>
      <w:r w:rsidR="003D5D18" w:rsidRPr="00F46C3D">
        <w:rPr>
          <w:rFonts w:ascii="Arial" w:hAnsi="Arial" w:cs="Arial"/>
          <w:vertAlign w:val="subscript"/>
        </w:rPr>
        <w:t>LRP</w:t>
      </w:r>
      <w:r w:rsidR="005E2E95">
        <w:rPr>
          <w:rFonts w:ascii="Arial" w:hAnsi="Arial" w:cs="Arial"/>
        </w:rPr>
        <w:t xml:space="preserve"> or other reference points as needed.</w:t>
      </w:r>
    </w:p>
    <w:p w14:paraId="6FB6A86C" w14:textId="6A973D71" w:rsidR="003D5D18" w:rsidRPr="00F46C3D" w:rsidRDefault="003D5D18" w:rsidP="003D5D18">
      <w:pPr>
        <w:pStyle w:val="ListParagraph"/>
        <w:numPr>
          <w:ilvl w:val="1"/>
          <w:numId w:val="18"/>
        </w:numPr>
        <w:ind w:left="630" w:hanging="270"/>
        <w:rPr>
          <w:rFonts w:ascii="Arial" w:hAnsi="Arial" w:cs="Arial"/>
        </w:rPr>
      </w:pPr>
      <w:r w:rsidRPr="00F46C3D">
        <w:rPr>
          <w:rFonts w:ascii="Arial" w:hAnsi="Arial" w:cs="Arial"/>
        </w:rPr>
        <w:t>Fishing Mortality (F)</w:t>
      </w:r>
      <w:r w:rsidR="00C82287">
        <w:rPr>
          <w:rFonts w:ascii="Arial" w:hAnsi="Arial" w:cs="Arial"/>
        </w:rPr>
        <w:t xml:space="preserve"> or proxy </w:t>
      </w:r>
      <w:r w:rsidRPr="00F46C3D">
        <w:rPr>
          <w:rFonts w:ascii="Arial" w:hAnsi="Arial" w:cs="Arial"/>
        </w:rPr>
        <w:t xml:space="preserve"> in relation to the Removal Reference (RR) – F/</w:t>
      </w:r>
      <w:proofErr w:type="spellStart"/>
      <w:r w:rsidRPr="00F46C3D">
        <w:rPr>
          <w:rFonts w:ascii="Arial" w:hAnsi="Arial" w:cs="Arial"/>
        </w:rPr>
        <w:t>F</w:t>
      </w:r>
      <w:r w:rsidRPr="00F46C3D">
        <w:rPr>
          <w:rFonts w:ascii="Arial" w:hAnsi="Arial" w:cs="Arial"/>
          <w:vertAlign w:val="subscript"/>
        </w:rPr>
        <w:t>limit</w:t>
      </w:r>
      <w:proofErr w:type="spellEnd"/>
      <w:r w:rsidRPr="00F46C3D">
        <w:rPr>
          <w:rFonts w:ascii="Arial" w:hAnsi="Arial" w:cs="Arial"/>
          <w:vertAlign w:val="subscript"/>
        </w:rPr>
        <w:t xml:space="preserve"> </w:t>
      </w:r>
      <w:r w:rsidR="005E2E95">
        <w:rPr>
          <w:rFonts w:ascii="Arial" w:hAnsi="Arial" w:cs="Arial"/>
          <w:vertAlign w:val="subscript"/>
        </w:rPr>
        <w:t xml:space="preserve">. </w:t>
      </w:r>
      <w:r w:rsidR="005E2E95">
        <w:rPr>
          <w:rFonts w:ascii="Arial" w:hAnsi="Arial" w:cs="Arial"/>
        </w:rPr>
        <w:t>O</w:t>
      </w:r>
      <w:r w:rsidRPr="00F46C3D">
        <w:rPr>
          <w:rFonts w:ascii="Arial" w:hAnsi="Arial" w:cs="Arial"/>
        </w:rPr>
        <w:t xml:space="preserve">n </w:t>
      </w:r>
      <w:r w:rsidR="005E2E95">
        <w:rPr>
          <w:rFonts w:ascii="Arial" w:hAnsi="Arial" w:cs="Arial"/>
        </w:rPr>
        <w:t xml:space="preserve">the </w:t>
      </w:r>
      <w:r w:rsidRPr="00F46C3D">
        <w:rPr>
          <w:rFonts w:ascii="Arial" w:hAnsi="Arial" w:cs="Arial"/>
        </w:rPr>
        <w:t xml:space="preserve">opposite side </w:t>
      </w:r>
      <w:r w:rsidR="005E2E95">
        <w:rPr>
          <w:rFonts w:ascii="Arial" w:hAnsi="Arial" w:cs="Arial"/>
        </w:rPr>
        <w:t xml:space="preserve">include </w:t>
      </w:r>
      <w:r w:rsidRPr="00F46C3D">
        <w:rPr>
          <w:rFonts w:ascii="Arial" w:hAnsi="Arial" w:cs="Arial"/>
        </w:rPr>
        <w:t>Natural Mortality</w:t>
      </w:r>
      <w:r w:rsidR="005E2E95">
        <w:rPr>
          <w:rFonts w:ascii="Arial" w:hAnsi="Arial" w:cs="Arial"/>
        </w:rPr>
        <w:t xml:space="preserve"> (M)</w:t>
      </w:r>
      <w:r w:rsidRPr="00F46C3D">
        <w:rPr>
          <w:rFonts w:ascii="Arial" w:hAnsi="Arial" w:cs="Arial"/>
        </w:rPr>
        <w:t xml:space="preserve"> if available</w:t>
      </w:r>
    </w:p>
    <w:p w14:paraId="4D6817F7" w14:textId="77777777" w:rsidR="003D5D18" w:rsidRPr="00F46C3D" w:rsidRDefault="003D5D18" w:rsidP="003D5D18">
      <w:pPr>
        <w:pStyle w:val="ListParagraph"/>
        <w:numPr>
          <w:ilvl w:val="1"/>
          <w:numId w:val="18"/>
        </w:numPr>
        <w:ind w:left="630" w:hanging="270"/>
        <w:rPr>
          <w:rFonts w:ascii="Arial" w:hAnsi="Arial" w:cs="Arial"/>
        </w:rPr>
      </w:pPr>
      <w:r w:rsidRPr="00F46C3D">
        <w:rPr>
          <w:rFonts w:ascii="Arial" w:hAnsi="Arial" w:cs="Arial"/>
        </w:rPr>
        <w:t>Recruitment or other indicator – estimated recruitment deviations as a function of year…..or if not available, possibly size distribution, age composition for the 4</w:t>
      </w:r>
      <w:r w:rsidRPr="00F46C3D">
        <w:rPr>
          <w:rFonts w:ascii="Arial" w:hAnsi="Arial" w:cs="Arial"/>
          <w:vertAlign w:val="superscript"/>
        </w:rPr>
        <w:t>th</w:t>
      </w:r>
      <w:r w:rsidRPr="00F46C3D">
        <w:rPr>
          <w:rFonts w:ascii="Arial" w:hAnsi="Arial" w:cs="Arial"/>
        </w:rPr>
        <w:t xml:space="preserve"> image, or other indicator that contributes to evaluating fishery objectives and science advice. </w:t>
      </w:r>
    </w:p>
    <w:p w14:paraId="2D6C4BC1" w14:textId="77777777" w:rsidR="003D5D18" w:rsidRPr="00F46C3D" w:rsidRDefault="003D5D18" w:rsidP="003D5D18">
      <w:pPr>
        <w:keepNext/>
        <w:ind w:left="360"/>
        <w:jc w:val="center"/>
        <w:rPr>
          <w:rFonts w:ascii="Arial" w:hAnsi="Arial" w:cs="Arial"/>
        </w:rPr>
      </w:pPr>
      <w:commentRangeStart w:id="22"/>
      <w:r w:rsidRPr="00F46C3D">
        <w:rPr>
          <w:rFonts w:ascii="Arial" w:hAnsi="Arial" w:cs="Arial"/>
          <w:noProof/>
        </w:rPr>
        <w:lastRenderedPageBreak/>
        <w:drawing>
          <wp:inline distT="0" distB="0" distL="0" distR="0" wp14:anchorId="6C889A5B" wp14:editId="4F967438">
            <wp:extent cx="4394823" cy="3337560"/>
            <wp:effectExtent l="0" t="0" r="6350" b="0"/>
            <wp:docPr id="39947" name="Picture 6" descr="Graphical user interface, diagram&#10;&#10;Description automatically generated">
              <a:extLst xmlns:a="http://schemas.openxmlformats.org/drawingml/2006/main">
                <a:ext uri="{FF2B5EF4-FFF2-40B4-BE49-F238E27FC236}">
                  <a16:creationId xmlns:a16="http://schemas.microsoft.com/office/drawing/2014/main" id="{C2EF7356-3B74-4FDE-B0B0-7F0A48FD8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7" name="Picture 6" descr="Graphical user interface, diagram&#10;&#10;Description automatically generated">
                      <a:extLst>
                        <a:ext uri="{FF2B5EF4-FFF2-40B4-BE49-F238E27FC236}">
                          <a16:creationId xmlns:a16="http://schemas.microsoft.com/office/drawing/2014/main" id="{C2EF7356-3B74-4FDE-B0B0-7F0A48FD8BE5}"/>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676" r="2" b="-2117"/>
                    <a:stretch/>
                  </pic:blipFill>
                  <pic:spPr bwMode="auto">
                    <a:xfrm>
                      <a:off x="0" y="0"/>
                      <a:ext cx="4395788" cy="333829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2"/>
      <w:r>
        <w:rPr>
          <w:rStyle w:val="CommentReference"/>
        </w:rPr>
        <w:commentReference w:id="22"/>
      </w:r>
    </w:p>
    <w:p w14:paraId="2EA2E99B" w14:textId="77777777" w:rsidR="003D5D18" w:rsidRPr="00F46C3D" w:rsidRDefault="003D5D18" w:rsidP="003D5D18">
      <w:pPr>
        <w:pStyle w:val="Caption"/>
        <w:rPr>
          <w:rFonts w:ascii="Arial" w:hAnsi="Arial" w:cs="Arial"/>
          <w:color w:val="auto"/>
          <w:sz w:val="22"/>
          <w:szCs w:val="22"/>
        </w:rPr>
      </w:pPr>
      <w:r w:rsidRPr="00F46C3D">
        <w:rPr>
          <w:rFonts w:ascii="Arial" w:hAnsi="Arial" w:cs="Arial"/>
          <w:color w:val="auto"/>
          <w:sz w:val="22"/>
          <w:szCs w:val="22"/>
        </w:rPr>
        <w:t xml:space="preserve">Figure </w:t>
      </w:r>
      <w:commentRangeStart w:id="23"/>
      <w:r w:rsidRPr="00F46C3D">
        <w:rPr>
          <w:rFonts w:ascii="Arial" w:hAnsi="Arial" w:cs="Arial"/>
          <w:color w:val="auto"/>
          <w:sz w:val="22"/>
          <w:szCs w:val="22"/>
        </w:rPr>
        <w:fldChar w:fldCharType="begin"/>
      </w:r>
      <w:r w:rsidRPr="00F46C3D">
        <w:rPr>
          <w:rFonts w:ascii="Arial" w:hAnsi="Arial" w:cs="Arial"/>
          <w:color w:val="auto"/>
          <w:sz w:val="22"/>
          <w:szCs w:val="22"/>
        </w:rPr>
        <w:instrText xml:space="preserve"> SEQ Figure \* ARABIC </w:instrText>
      </w:r>
      <w:r w:rsidRPr="00F46C3D">
        <w:rPr>
          <w:rFonts w:ascii="Arial" w:hAnsi="Arial" w:cs="Arial"/>
          <w:color w:val="auto"/>
          <w:sz w:val="22"/>
          <w:szCs w:val="22"/>
        </w:rPr>
        <w:fldChar w:fldCharType="separate"/>
      </w:r>
      <w:r w:rsidRPr="00F46C3D">
        <w:rPr>
          <w:rFonts w:ascii="Arial" w:hAnsi="Arial" w:cs="Arial"/>
          <w:noProof/>
          <w:color w:val="auto"/>
          <w:sz w:val="22"/>
          <w:szCs w:val="22"/>
        </w:rPr>
        <w:t>1</w:t>
      </w:r>
      <w:r w:rsidRPr="00F46C3D">
        <w:rPr>
          <w:rFonts w:ascii="Arial" w:hAnsi="Arial" w:cs="Arial"/>
          <w:color w:val="auto"/>
          <w:sz w:val="22"/>
          <w:szCs w:val="22"/>
        </w:rPr>
        <w:fldChar w:fldCharType="end"/>
      </w:r>
      <w:commentRangeEnd w:id="23"/>
      <w:r w:rsidR="00792A6D">
        <w:rPr>
          <w:rStyle w:val="CommentReference"/>
          <w:i w:val="0"/>
          <w:iCs w:val="0"/>
          <w:color w:val="auto"/>
        </w:rPr>
        <w:commentReference w:id="23"/>
      </w:r>
      <w:r w:rsidRPr="00F46C3D">
        <w:rPr>
          <w:rFonts w:ascii="Arial" w:hAnsi="Arial" w:cs="Arial"/>
          <w:color w:val="auto"/>
          <w:sz w:val="22"/>
          <w:szCs w:val="22"/>
        </w:rPr>
        <w:t>.</w:t>
      </w:r>
    </w:p>
    <w:p w14:paraId="3AE8A584" w14:textId="77777777" w:rsidR="003D5D18" w:rsidRPr="005C77D6" w:rsidRDefault="003D5D18" w:rsidP="003D5D18">
      <w:pPr>
        <w:rPr>
          <w:rFonts w:ascii="Arial" w:hAnsi="Arial" w:cs="Arial"/>
          <w:b/>
          <w:bCs/>
        </w:rPr>
      </w:pPr>
      <w:bookmarkStart w:id="24" w:name="_Hlk124420090"/>
      <w:r w:rsidRPr="005C77D6">
        <w:rPr>
          <w:rFonts w:ascii="Arial" w:hAnsi="Arial" w:cs="Arial"/>
          <w:b/>
          <w:bCs/>
        </w:rPr>
        <w:t>(Optional)</w:t>
      </w:r>
    </w:p>
    <w:p w14:paraId="0A229A5D" w14:textId="78AE95DA" w:rsidR="003D5D18" w:rsidRPr="00F46C3D" w:rsidRDefault="003D5D18" w:rsidP="003D5D18">
      <w:pPr>
        <w:rPr>
          <w:rStyle w:val="Style1Char"/>
          <w:rFonts w:eastAsiaTheme="minorHAnsi" w:cs="Arial"/>
          <w:b w:val="0"/>
          <w:bCs/>
        </w:rPr>
      </w:pPr>
      <w:commentRangeStart w:id="25"/>
      <w:commentRangeEnd w:id="25"/>
      <w:r w:rsidRPr="00F46C3D">
        <w:rPr>
          <w:rStyle w:val="CommentReference"/>
          <w:rFonts w:ascii="Arial" w:hAnsi="Arial" w:cs="Arial"/>
          <w:sz w:val="22"/>
          <w:szCs w:val="22"/>
        </w:rPr>
        <w:commentReference w:id="25"/>
      </w:r>
      <w:r>
        <w:rPr>
          <w:rStyle w:val="Style1Char"/>
          <w:rFonts w:eastAsiaTheme="minorHAnsi" w:cs="Arial"/>
          <w:b w:val="0"/>
          <w:bCs/>
        </w:rPr>
        <w:t>Add an additional optional panel of 4 indicators, if relevant to developing advice.</w:t>
      </w:r>
      <w:r w:rsidRPr="00F46C3D">
        <w:rPr>
          <w:rStyle w:val="Style1Char"/>
          <w:rFonts w:eastAsiaTheme="minorHAnsi" w:cs="Arial"/>
          <w:b w:val="0"/>
          <w:bCs/>
        </w:rPr>
        <w:t xml:space="preserve"> </w:t>
      </w:r>
    </w:p>
    <w:p w14:paraId="40090895" w14:textId="5339FE01" w:rsidR="00A341EE" w:rsidRDefault="00DB590F" w:rsidP="00C268D1">
      <w:pPr>
        <w:rPr>
          <w:rStyle w:val="Style1Char"/>
          <w:rFonts w:eastAsiaTheme="minorHAnsi" w:cs="Arial"/>
          <w:b w:val="0"/>
          <w:bCs/>
          <w:lang w:val="en-US"/>
        </w:rPr>
      </w:pPr>
      <w:bookmarkStart w:id="27" w:name="_Hlk121220519"/>
      <w:bookmarkEnd w:id="24"/>
      <w:r w:rsidRPr="00F46C3D">
        <w:rPr>
          <w:rStyle w:val="Style1Char"/>
          <w:rFonts w:eastAsiaTheme="minorHAnsi" w:cs="Arial"/>
          <w:lang w:val="en-US"/>
        </w:rPr>
        <w:t xml:space="preserve">History of </w:t>
      </w:r>
      <w:r w:rsidR="00F6037B" w:rsidRPr="00F46C3D">
        <w:rPr>
          <w:rStyle w:val="Style1Char"/>
          <w:rFonts w:eastAsiaTheme="minorHAnsi" w:cs="Arial"/>
          <w:lang w:val="en-US"/>
        </w:rPr>
        <w:t>Landings/Harvest</w:t>
      </w:r>
      <w:r w:rsidR="003E3882">
        <w:rPr>
          <w:rStyle w:val="Style1Char"/>
          <w:rFonts w:eastAsiaTheme="minorHAnsi" w:cs="Arial"/>
          <w:lang w:val="en-US"/>
        </w:rPr>
        <w:t>/Effort</w:t>
      </w:r>
      <w:r w:rsidR="00A341EE" w:rsidRPr="00F46C3D">
        <w:rPr>
          <w:rStyle w:val="Style1Char"/>
          <w:rFonts w:eastAsiaTheme="minorHAnsi" w:cs="Arial"/>
          <w:lang w:val="en-US"/>
        </w:rPr>
        <w:t>,</w:t>
      </w:r>
      <w:r w:rsidR="00F6037B" w:rsidRPr="00F46C3D">
        <w:rPr>
          <w:rStyle w:val="Style1Char"/>
          <w:rFonts w:eastAsiaTheme="minorHAnsi" w:cs="Arial"/>
          <w:lang w:val="en-US"/>
        </w:rPr>
        <w:t xml:space="preserve"> TAC &amp;</w:t>
      </w:r>
      <w:r w:rsidR="00A341EE" w:rsidRPr="00F46C3D">
        <w:rPr>
          <w:rStyle w:val="Style1Char"/>
          <w:rFonts w:eastAsiaTheme="minorHAnsi" w:cs="Arial"/>
          <w:lang w:val="en-US"/>
        </w:rPr>
        <w:t xml:space="preserve"> Catch Advice</w:t>
      </w:r>
      <w:r w:rsidRPr="00F46C3D">
        <w:rPr>
          <w:rStyle w:val="Style1Char"/>
          <w:rFonts w:eastAsiaTheme="minorHAnsi" w:cs="Arial"/>
          <w:lang w:val="en-US"/>
        </w:rPr>
        <w:t xml:space="preserve">: </w:t>
      </w:r>
      <w:bookmarkStart w:id="28" w:name="_Hlk124420157"/>
      <w:r w:rsidR="00AC1942" w:rsidRPr="00F46C3D">
        <w:rPr>
          <w:rStyle w:val="Style1Char"/>
          <w:rFonts w:eastAsiaTheme="minorHAnsi" w:cs="Arial"/>
          <w:b w:val="0"/>
          <w:bCs/>
          <w:lang w:val="en-US"/>
        </w:rPr>
        <w:t>Table of landings/harvest</w:t>
      </w:r>
      <w:r w:rsidR="002A1931">
        <w:rPr>
          <w:rStyle w:val="Style1Char"/>
          <w:rFonts w:eastAsiaTheme="minorHAnsi" w:cs="Arial"/>
          <w:b w:val="0"/>
          <w:bCs/>
          <w:lang w:val="en-US"/>
        </w:rPr>
        <w:t xml:space="preserve"> or effort if applicable</w:t>
      </w:r>
      <w:r w:rsidR="00AC1942" w:rsidRPr="00F46C3D">
        <w:rPr>
          <w:rStyle w:val="Style1Char"/>
          <w:rFonts w:eastAsiaTheme="minorHAnsi" w:cs="Arial"/>
          <w:b w:val="0"/>
          <w:bCs/>
          <w:lang w:val="en-US"/>
        </w:rPr>
        <w:t xml:space="preserve">, total allowable catch (TAC) and (optional) catch advice, over the recent historical period. Identify whether landings are based on fishing year or calendar year and the units of landings, TAC and catch advice. </w:t>
      </w:r>
    </w:p>
    <w:bookmarkEnd w:id="28"/>
    <w:p w14:paraId="72D25C14" w14:textId="5B2AE81A" w:rsidR="002A1931" w:rsidRPr="002A1931" w:rsidRDefault="002A1931" w:rsidP="002A1931">
      <w:pPr>
        <w:tabs>
          <w:tab w:val="left" w:pos="270"/>
        </w:tabs>
        <w:ind w:left="720"/>
        <w:rPr>
          <w:rStyle w:val="Style1Char"/>
          <w:rFonts w:eastAsiaTheme="minorHAnsi" w:cs="Arial"/>
          <w:b w:val="0"/>
          <w:bCs/>
          <w:i/>
          <w:iCs/>
          <w:lang w:val="en-US"/>
        </w:rPr>
      </w:pPr>
      <w:r w:rsidRPr="002A1931">
        <w:rPr>
          <w:rStyle w:val="Style1Char"/>
          <w:rFonts w:eastAsiaTheme="minorHAnsi" w:cs="Arial"/>
          <w:b w:val="0"/>
          <w:bCs/>
          <w:i/>
          <w:iCs/>
          <w:lang w:val="en-US"/>
        </w:rPr>
        <w:t xml:space="preserve">Example: </w:t>
      </w:r>
    </w:p>
    <w:p w14:paraId="48CECDEA" w14:textId="3B62165C" w:rsidR="00AC1942" w:rsidRPr="00F46C3D" w:rsidRDefault="00AC1942" w:rsidP="002A1931">
      <w:pPr>
        <w:tabs>
          <w:tab w:val="left" w:pos="270"/>
        </w:tabs>
        <w:ind w:left="720"/>
        <w:rPr>
          <w:rStyle w:val="Style1Char"/>
          <w:rFonts w:eastAsiaTheme="minorHAnsi" w:cs="Arial"/>
          <w:lang w:val="en-US"/>
        </w:rPr>
      </w:pPr>
      <w:r w:rsidRPr="00F46C3D">
        <w:rPr>
          <w:rFonts w:ascii="Arial" w:hAnsi="Arial" w:cs="Arial"/>
          <w:noProof/>
        </w:rPr>
        <w:drawing>
          <wp:inline distT="0" distB="0" distL="0" distR="0" wp14:anchorId="3D009B7E" wp14:editId="5B5A02F8">
            <wp:extent cx="50577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1181100"/>
                    </a:xfrm>
                    <a:prstGeom prst="rect">
                      <a:avLst/>
                    </a:prstGeom>
                  </pic:spPr>
                </pic:pic>
              </a:graphicData>
            </a:graphic>
          </wp:inline>
        </w:drawing>
      </w:r>
    </w:p>
    <w:bookmarkEnd w:id="27"/>
    <w:p w14:paraId="082D69FB" w14:textId="20415662" w:rsidR="00A341EE" w:rsidRPr="00F46C3D" w:rsidRDefault="00A341EE" w:rsidP="00C268D1">
      <w:pPr>
        <w:rPr>
          <w:rStyle w:val="Style1Char"/>
          <w:rFonts w:eastAsiaTheme="minorHAnsi" w:cs="Arial"/>
          <w:lang w:val="en-US"/>
        </w:rPr>
      </w:pPr>
    </w:p>
    <w:p w14:paraId="33DBC524" w14:textId="55678C97" w:rsidR="00A96678" w:rsidRPr="00F46C3D" w:rsidRDefault="00455716" w:rsidP="00C268D1">
      <w:pPr>
        <w:rPr>
          <w:rFonts w:ascii="Arial" w:hAnsi="Arial" w:cs="Arial"/>
          <w:bCs/>
        </w:rPr>
      </w:pPr>
      <w:r w:rsidRPr="00F46C3D">
        <w:rPr>
          <w:rStyle w:val="Style1Char"/>
          <w:rFonts w:eastAsiaTheme="minorHAnsi" w:cs="Arial"/>
        </w:rPr>
        <w:t>Projections</w:t>
      </w:r>
      <w:r w:rsidR="005E2E95">
        <w:rPr>
          <w:rStyle w:val="Style1Char"/>
          <w:rFonts w:eastAsiaTheme="minorHAnsi" w:cs="Arial"/>
        </w:rPr>
        <w:t xml:space="preserve"> or Simulations</w:t>
      </w:r>
      <w:r w:rsidRPr="00F46C3D">
        <w:rPr>
          <w:rStyle w:val="Style1Char"/>
          <w:rFonts w:eastAsiaTheme="minorHAnsi" w:cs="Arial"/>
        </w:rPr>
        <w:t>:</w:t>
      </w:r>
      <w:r w:rsidRPr="00F46C3D">
        <w:rPr>
          <w:rFonts w:ascii="Arial" w:hAnsi="Arial" w:cs="Arial"/>
        </w:rPr>
        <w:t xml:space="preserve"> </w:t>
      </w:r>
      <w:bookmarkStart w:id="29" w:name="_Hlk124420193"/>
      <w:r w:rsidR="00563CA6" w:rsidRPr="00F46C3D">
        <w:rPr>
          <w:rFonts w:ascii="Arial" w:hAnsi="Arial" w:cs="Arial"/>
        </w:rPr>
        <w:t xml:space="preserve">This section is used to report the available information on likely future trends in biomass. </w:t>
      </w:r>
      <w:r w:rsidR="00065E47" w:rsidRPr="00F46C3D">
        <w:rPr>
          <w:rFonts w:ascii="Arial" w:hAnsi="Arial" w:cs="Arial"/>
          <w:bCs/>
        </w:rPr>
        <w:t xml:space="preserve">Indicate the </w:t>
      </w:r>
      <w:r w:rsidR="00563CA6" w:rsidRPr="00F46C3D">
        <w:rPr>
          <w:rFonts w:ascii="Arial" w:hAnsi="Arial" w:cs="Arial"/>
          <w:bCs/>
        </w:rPr>
        <w:t>projected</w:t>
      </w:r>
      <w:r w:rsidR="00065E47" w:rsidRPr="00F46C3D">
        <w:rPr>
          <w:rFonts w:ascii="Arial" w:hAnsi="Arial" w:cs="Arial"/>
          <w:bCs/>
        </w:rPr>
        <w:t xml:space="preserve"> outcome </w:t>
      </w:r>
      <w:r w:rsidR="00563CA6" w:rsidRPr="00F46C3D">
        <w:rPr>
          <w:rFonts w:ascii="Arial" w:hAnsi="Arial" w:cs="Arial"/>
          <w:bCs/>
        </w:rPr>
        <w:t xml:space="preserve">under the current, or range of, catch levels </w:t>
      </w:r>
      <w:r w:rsidR="00065E47" w:rsidRPr="00F46C3D">
        <w:rPr>
          <w:rFonts w:ascii="Arial" w:hAnsi="Arial" w:cs="Arial"/>
          <w:bCs/>
        </w:rPr>
        <w:t xml:space="preserve">(provide the short or long-term projections if available, or a qualitative statement based on past experience/expert judgement, etc.). </w:t>
      </w:r>
    </w:p>
    <w:p w14:paraId="7B54815F" w14:textId="1F8D0F6E" w:rsidR="00E959BE" w:rsidRPr="00F46C3D" w:rsidRDefault="00DF6FB4" w:rsidP="00C268D1">
      <w:pPr>
        <w:rPr>
          <w:rFonts w:ascii="Arial" w:hAnsi="Arial" w:cs="Arial"/>
        </w:rPr>
      </w:pPr>
      <w:r w:rsidRPr="00F46C3D">
        <w:rPr>
          <w:rFonts w:ascii="Arial" w:hAnsi="Arial" w:cs="Arial"/>
          <w:bCs/>
        </w:rPr>
        <w:t>Includ</w:t>
      </w:r>
      <w:r w:rsidR="00630BEC" w:rsidRPr="00F46C3D">
        <w:rPr>
          <w:rFonts w:ascii="Arial" w:hAnsi="Arial" w:cs="Arial"/>
          <w:bCs/>
        </w:rPr>
        <w:t>e</w:t>
      </w:r>
      <w:r w:rsidRPr="00F46C3D">
        <w:rPr>
          <w:rFonts w:ascii="Arial" w:hAnsi="Arial" w:cs="Arial"/>
          <w:bCs/>
        </w:rPr>
        <w:t xml:space="preserve">: </w:t>
      </w:r>
      <w:r w:rsidR="00455716" w:rsidRPr="00F46C3D">
        <w:rPr>
          <w:rFonts w:ascii="Arial" w:hAnsi="Arial" w:cs="Arial"/>
        </w:rPr>
        <w:t xml:space="preserve">years of projection, </w:t>
      </w:r>
      <w:r w:rsidR="00A96678" w:rsidRPr="00F46C3D">
        <w:rPr>
          <w:rFonts w:ascii="Arial" w:hAnsi="Arial" w:cs="Arial"/>
        </w:rPr>
        <w:t xml:space="preserve">the probability </w:t>
      </w:r>
      <w:r w:rsidR="00D25995" w:rsidRPr="00F46C3D">
        <w:rPr>
          <w:rFonts w:ascii="Arial" w:hAnsi="Arial" w:cs="Arial"/>
        </w:rPr>
        <w:t>of</w:t>
      </w:r>
      <w:r w:rsidR="00A96678" w:rsidRPr="00F46C3D">
        <w:rPr>
          <w:rFonts w:ascii="Arial" w:hAnsi="Arial" w:cs="Arial"/>
        </w:rPr>
        <w:t xml:space="preserve"> tested and current catch causing biomass to remain below, or to decline below the reference poin</w:t>
      </w:r>
      <w:r w:rsidR="00630BEC" w:rsidRPr="00F46C3D">
        <w:rPr>
          <w:rFonts w:ascii="Arial" w:hAnsi="Arial" w:cs="Arial"/>
        </w:rPr>
        <w:t>ts</w:t>
      </w:r>
      <w:r w:rsidR="00A96678" w:rsidRPr="00F46C3D">
        <w:rPr>
          <w:rFonts w:ascii="Arial" w:hAnsi="Arial" w:cs="Arial"/>
        </w:rPr>
        <w:t xml:space="preserve"> (probability of being below the LRP and </w:t>
      </w:r>
      <w:r w:rsidR="00A96678" w:rsidRPr="00F46C3D">
        <w:rPr>
          <w:rFonts w:ascii="Arial" w:hAnsi="Arial" w:cs="Arial"/>
        </w:rPr>
        <w:lastRenderedPageBreak/>
        <w:t xml:space="preserve">below the USR) and probability of </w:t>
      </w:r>
      <w:r w:rsidR="00AC1942" w:rsidRPr="00F46C3D">
        <w:rPr>
          <w:rFonts w:ascii="Arial" w:hAnsi="Arial" w:cs="Arial"/>
        </w:rPr>
        <w:t>increasing above the Removal Reference.</w:t>
      </w:r>
      <w:r w:rsidR="00630BEC" w:rsidRPr="00F46C3D">
        <w:rPr>
          <w:rFonts w:ascii="Arial" w:hAnsi="Arial" w:cs="Arial"/>
        </w:rPr>
        <w:t xml:space="preserve"> Include probability of stock growth next year if the stock is in the Critical Zone.</w:t>
      </w:r>
      <w:r w:rsidR="00A96678" w:rsidRPr="00F46C3D">
        <w:rPr>
          <w:rFonts w:ascii="Arial" w:hAnsi="Arial" w:cs="Arial"/>
        </w:rPr>
        <w:t xml:space="preserve"> Include ‘risk tables’ if possible. </w:t>
      </w:r>
    </w:p>
    <w:bookmarkEnd w:id="29"/>
    <w:p w14:paraId="287EAB03" w14:textId="6662EE5A" w:rsidR="00A96678" w:rsidRPr="00F46C3D" w:rsidRDefault="00A96678" w:rsidP="002A1931">
      <w:pPr>
        <w:ind w:left="720"/>
        <w:rPr>
          <w:rFonts w:ascii="Arial" w:hAnsi="Arial" w:cs="Arial"/>
          <w:i/>
          <w:iCs/>
        </w:rPr>
      </w:pPr>
      <w:r w:rsidRPr="00F46C3D">
        <w:rPr>
          <w:rFonts w:ascii="Arial" w:hAnsi="Arial" w:cs="Arial"/>
          <w:i/>
        </w:rPr>
        <w:t>Example 1: P</w:t>
      </w:r>
      <w:r w:rsidRPr="00F46C3D">
        <w:rPr>
          <w:rFonts w:ascii="Arial" w:hAnsi="Arial" w:cs="Arial"/>
          <w:i/>
          <w:iCs/>
        </w:rPr>
        <w:t>rojections for 2022 to 2026 indicate that the biomass is expected to increase up to a total annual catch of 1,000 t. The probability of the biomass being below the LRP in 2026 is 13% in a no catch scenario, 16% under a catch of 500 t and 22% under a catch of 1,000 t. The probability that the stock biomass will be in the healthy zone in 2026 is 60% under a no catch scenario, 52% under a catch of 500 t and 44% under a catch of 1,000 t.</w:t>
      </w:r>
    </w:p>
    <w:p w14:paraId="7C9B355F" w14:textId="1C480A52" w:rsidR="00A96678" w:rsidRPr="00F46C3D" w:rsidRDefault="00A96678" w:rsidP="00A96678">
      <w:pPr>
        <w:rPr>
          <w:rFonts w:ascii="Arial" w:hAnsi="Arial" w:cs="Arial"/>
          <w:bCs/>
        </w:rPr>
      </w:pPr>
      <w:r w:rsidRPr="00F46C3D">
        <w:rPr>
          <w:rFonts w:ascii="Arial" w:hAnsi="Arial" w:cs="Arial"/>
          <w:noProof/>
        </w:rPr>
        <mc:AlternateContent>
          <mc:Choice Requires="wps">
            <w:drawing>
              <wp:anchor distT="0" distB="0" distL="114300" distR="114300" simplePos="0" relativeHeight="251660288" behindDoc="0" locked="0" layoutInCell="1" allowOverlap="1" wp14:anchorId="12C0ACFB" wp14:editId="63D6816B">
                <wp:simplePos x="0" y="0"/>
                <wp:positionH relativeFrom="column">
                  <wp:posOffset>30480</wp:posOffset>
                </wp:positionH>
                <wp:positionV relativeFrom="paragraph">
                  <wp:posOffset>624205</wp:posOffset>
                </wp:positionV>
                <wp:extent cx="5890260" cy="441960"/>
                <wp:effectExtent l="0" t="0" r="0" b="0"/>
                <wp:wrapNone/>
                <wp:docPr id="4" name="Rectangle 4"/>
                <wp:cNvGraphicFramePr/>
                <a:graphic xmlns:a="http://schemas.openxmlformats.org/drawingml/2006/main">
                  <a:graphicData uri="http://schemas.microsoft.com/office/word/2010/wordprocessingShape">
                    <wps:wsp>
                      <wps:cNvSpPr/>
                      <wps:spPr>
                        <a:xfrm>
                          <a:off x="0" y="0"/>
                          <a:ext cx="5890260" cy="4419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4032F" id="Rectangle 4" o:spid="_x0000_s1026" style="position:absolute;margin-left:2.4pt;margin-top:49.15pt;width:463.8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" fillcolor="white [3212]" stroked="f" strokeweight="1pt"/>
            </w:pict>
          </mc:Fallback>
        </mc:AlternateContent>
      </w:r>
      <w:r w:rsidRPr="00F46C3D">
        <w:rPr>
          <w:rFonts w:ascii="Arial" w:hAnsi="Arial" w:cs="Arial"/>
          <w:noProof/>
        </w:rPr>
        <mc:AlternateContent>
          <mc:Choice Requires="wps">
            <w:drawing>
              <wp:anchor distT="0" distB="0" distL="114300" distR="114300" simplePos="0" relativeHeight="251659264" behindDoc="0" locked="0" layoutInCell="1" allowOverlap="1" wp14:anchorId="52B2744B" wp14:editId="0C253C86">
                <wp:simplePos x="0" y="0"/>
                <wp:positionH relativeFrom="column">
                  <wp:posOffset>3497580</wp:posOffset>
                </wp:positionH>
                <wp:positionV relativeFrom="paragraph">
                  <wp:posOffset>494665</wp:posOffset>
                </wp:positionV>
                <wp:extent cx="2308860" cy="137160"/>
                <wp:effectExtent l="0" t="0" r="0" b="0"/>
                <wp:wrapNone/>
                <wp:docPr id="3" name="Rectangle 3"/>
                <wp:cNvGraphicFramePr/>
                <a:graphic xmlns:a="http://schemas.openxmlformats.org/drawingml/2006/main">
                  <a:graphicData uri="http://schemas.microsoft.com/office/word/2010/wordprocessingShape">
                    <wps:wsp>
                      <wps:cNvSpPr/>
                      <wps:spPr>
                        <a:xfrm>
                          <a:off x="0" y="0"/>
                          <a:ext cx="2308860" cy="137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A6E1F" id="Rectangle 3" o:spid="_x0000_s1026" style="position:absolute;margin-left:275.4pt;margin-top:38.95pt;width:181.8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" fillcolor="white [3212]" stroked="f" strokeweight="1pt"/>
            </w:pict>
          </mc:Fallback>
        </mc:AlternateContent>
      </w:r>
      <w:r w:rsidRPr="00F46C3D">
        <w:rPr>
          <w:rFonts w:ascii="Arial" w:hAnsi="Arial" w:cs="Arial"/>
          <w:noProof/>
        </w:rPr>
        <w:drawing>
          <wp:inline distT="0" distB="0" distL="0" distR="0" wp14:anchorId="656177C1" wp14:editId="673C1B2D">
            <wp:extent cx="58197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2905125"/>
                    </a:xfrm>
                    <a:prstGeom prst="rect">
                      <a:avLst/>
                    </a:prstGeom>
                  </pic:spPr>
                </pic:pic>
              </a:graphicData>
            </a:graphic>
          </wp:inline>
        </w:drawing>
      </w:r>
    </w:p>
    <w:p w14:paraId="463B9E39" w14:textId="77777777" w:rsidR="00065E47" w:rsidRPr="00F46C3D" w:rsidRDefault="00065E47" w:rsidP="00065E47">
      <w:pPr>
        <w:pStyle w:val="ListParagraph"/>
        <w:rPr>
          <w:rFonts w:ascii="Arial" w:hAnsi="Arial" w:cs="Arial"/>
        </w:rPr>
      </w:pPr>
    </w:p>
    <w:p w14:paraId="671FB902" w14:textId="54E42BCE" w:rsidR="00B41B85" w:rsidRPr="00F46C3D" w:rsidRDefault="00630BEC" w:rsidP="002A1931">
      <w:pPr>
        <w:ind w:left="720"/>
        <w:rPr>
          <w:rFonts w:ascii="Arial" w:hAnsi="Arial" w:cs="Arial"/>
          <w:i/>
          <w:iCs/>
        </w:rPr>
      </w:pPr>
      <w:r w:rsidRPr="00F46C3D">
        <w:rPr>
          <w:rFonts w:ascii="Arial" w:hAnsi="Arial" w:cs="Arial"/>
          <w:i/>
          <w:iCs/>
        </w:rPr>
        <w:t xml:space="preserve">Example 2: </w:t>
      </w:r>
    </w:p>
    <w:p w14:paraId="5071544D" w14:textId="451D3C1D" w:rsidR="00630BEC" w:rsidRPr="00F46C3D" w:rsidRDefault="00630BEC" w:rsidP="002A1931">
      <w:pPr>
        <w:ind w:left="720"/>
        <w:rPr>
          <w:rFonts w:ascii="Arial" w:hAnsi="Arial" w:cs="Arial"/>
          <w:i/>
          <w:iCs/>
        </w:rPr>
      </w:pPr>
      <w:r w:rsidRPr="00F46C3D">
        <w:rPr>
          <w:rFonts w:ascii="Arial" w:hAnsi="Arial" w:cs="Arial"/>
          <w:i/>
          <w:iCs/>
        </w:rPr>
        <w:t>Projections were made over a three-year period to estimate the impact of different Harvest Control Rules (HCRs) on the SSB. Because the stock is currently considered to be within the Critical Zone, HCRs usually result in the application of a constant floor TAC over the next three years, with the exception of HCR 3, which allows the TAC to change up to 25% from one year to the next, depending on the relative change in the egg survey index. With increasing TACs from 0 to 10,000 t, the probability of exceeding the LRP by 2021 decreased from 68% to 48%, and the probability of stock growth from 2019 to 2021 decreased from 78% to 49%. Note that under the current quota (10,000 t), the stock is more likely to decline than grow (49%). The projections accounted for the uncertainty surrounding unaccounted-for catch from both Canada and the US (Table 4).</w:t>
      </w:r>
    </w:p>
    <w:p w14:paraId="470AD284" w14:textId="1DCD606A" w:rsidR="00630BEC" w:rsidRPr="00F46C3D" w:rsidRDefault="00630BEC" w:rsidP="00630BEC">
      <w:pPr>
        <w:rPr>
          <w:rFonts w:ascii="Arial" w:hAnsi="Arial" w:cs="Arial"/>
        </w:rPr>
      </w:pPr>
      <w:r w:rsidRPr="00F46C3D">
        <w:rPr>
          <w:rFonts w:ascii="Arial" w:hAnsi="Arial" w:cs="Arial"/>
          <w:noProof/>
        </w:rPr>
        <w:lastRenderedPageBreak/>
        <w:drawing>
          <wp:inline distT="0" distB="0" distL="0" distR="0" wp14:anchorId="6AF885CB" wp14:editId="129A85D1">
            <wp:extent cx="5943600" cy="271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13355"/>
                    </a:xfrm>
                    <a:prstGeom prst="rect">
                      <a:avLst/>
                    </a:prstGeom>
                  </pic:spPr>
                </pic:pic>
              </a:graphicData>
            </a:graphic>
          </wp:inline>
        </w:drawing>
      </w:r>
    </w:p>
    <w:p w14:paraId="5D1649D7" w14:textId="6CDBFB47" w:rsidR="00F6037B" w:rsidRDefault="00F77D33" w:rsidP="00D758C0">
      <w:pPr>
        <w:rPr>
          <w:rStyle w:val="Style1Char"/>
          <w:rFonts w:eastAsiaTheme="minorHAnsi" w:cs="Arial"/>
          <w:b w:val="0"/>
          <w:bCs/>
        </w:rPr>
      </w:pPr>
      <w:r>
        <w:rPr>
          <w:rStyle w:val="Style1Char"/>
          <w:rFonts w:eastAsiaTheme="minorHAnsi" w:cs="Arial"/>
        </w:rPr>
        <w:t>Harvest Decision Rule</w:t>
      </w:r>
      <w:r w:rsidR="00F6037B" w:rsidRPr="00F46C3D">
        <w:rPr>
          <w:rStyle w:val="Style1Char"/>
          <w:rFonts w:eastAsiaTheme="minorHAnsi" w:cs="Arial"/>
        </w:rPr>
        <w:t xml:space="preserve"> Update:</w:t>
      </w:r>
      <w:r w:rsidR="00630BEC" w:rsidRPr="00F46C3D">
        <w:rPr>
          <w:rStyle w:val="Style1Char"/>
          <w:rFonts w:eastAsiaTheme="minorHAnsi" w:cs="Arial"/>
        </w:rPr>
        <w:t xml:space="preserve"> </w:t>
      </w:r>
      <w:bookmarkStart w:id="30" w:name="_Hlk124420243"/>
      <w:r w:rsidR="00630BEC" w:rsidRPr="00F46C3D">
        <w:rPr>
          <w:rStyle w:val="Style1Char"/>
          <w:rFonts w:eastAsiaTheme="minorHAnsi" w:cs="Arial"/>
          <w:b w:val="0"/>
          <w:bCs/>
        </w:rPr>
        <w:t xml:space="preserve">Any figures </w:t>
      </w:r>
      <w:r w:rsidR="00B8793B">
        <w:rPr>
          <w:rStyle w:val="Style1Char"/>
          <w:rFonts w:eastAsiaTheme="minorHAnsi" w:cs="Arial"/>
          <w:b w:val="0"/>
          <w:bCs/>
        </w:rPr>
        <w:t xml:space="preserve">or text </w:t>
      </w:r>
      <w:r w:rsidR="00630BEC" w:rsidRPr="00F46C3D">
        <w:rPr>
          <w:rStyle w:val="Style1Char"/>
          <w:rFonts w:eastAsiaTheme="minorHAnsi" w:cs="Arial"/>
          <w:b w:val="0"/>
          <w:bCs/>
        </w:rPr>
        <w:t>necessary to incorporate related to updating a Management Procedure, that haven’t already been included</w:t>
      </w:r>
      <w:r w:rsidR="00B8793B">
        <w:rPr>
          <w:rStyle w:val="Style1Char"/>
          <w:rFonts w:eastAsiaTheme="minorHAnsi" w:cs="Arial"/>
          <w:b w:val="0"/>
          <w:bCs/>
        </w:rPr>
        <w:t>.</w:t>
      </w:r>
    </w:p>
    <w:p w14:paraId="4E43CF53" w14:textId="6AEDAAD5" w:rsidR="00B8793B" w:rsidRPr="00B8793B" w:rsidRDefault="00B8793B" w:rsidP="00D758C0">
      <w:pPr>
        <w:rPr>
          <w:rStyle w:val="Style1Char"/>
          <w:rFonts w:eastAsiaTheme="minorHAnsi" w:cs="Arial"/>
          <w:b w:val="0"/>
          <w:bCs/>
          <w:i/>
          <w:iCs/>
        </w:rPr>
      </w:pPr>
      <w:r w:rsidRPr="00B8793B">
        <w:rPr>
          <w:rFonts w:ascii="Arial" w:hAnsi="Arial" w:cs="Arial"/>
          <w:i/>
          <w:iCs/>
        </w:rPr>
        <w:t>Based on the agreed upon harvest decision rule, the value of the status indicator for the current year corresponds to an exploitation rate of XX% and a total allowable catch of XXX t (a total effort of XXX days/traps…) for the upcoming fishing year.”</w:t>
      </w:r>
    </w:p>
    <w:bookmarkEnd w:id="30"/>
    <w:p w14:paraId="0D1CBF5A" w14:textId="427C06F7" w:rsidR="00D758C0" w:rsidRDefault="00DB590F" w:rsidP="00D758C0">
      <w:pPr>
        <w:rPr>
          <w:rStyle w:val="Style1Char"/>
          <w:rFonts w:eastAsiaTheme="minorHAnsi" w:cs="Arial"/>
          <w:b w:val="0"/>
          <w:bCs/>
        </w:rPr>
      </w:pPr>
      <w:r w:rsidRPr="00F46C3D">
        <w:rPr>
          <w:rStyle w:val="Style1Char"/>
          <w:rFonts w:eastAsiaTheme="minorHAnsi" w:cs="Arial"/>
        </w:rPr>
        <w:t>Evaluation of Exceptional Circumstances</w:t>
      </w:r>
      <w:r w:rsidR="00D758C0" w:rsidRPr="00F46C3D">
        <w:rPr>
          <w:rStyle w:val="Style1Char"/>
          <w:rFonts w:eastAsiaTheme="minorHAnsi" w:cs="Arial"/>
        </w:rPr>
        <w:t>/Assessment Triggers</w:t>
      </w:r>
      <w:r w:rsidRPr="00F46C3D">
        <w:rPr>
          <w:rStyle w:val="Style1Char"/>
          <w:rFonts w:eastAsiaTheme="minorHAnsi" w:cs="Arial"/>
        </w:rPr>
        <w:t xml:space="preserve">: </w:t>
      </w:r>
      <w:bookmarkStart w:id="31" w:name="_Hlk124420287"/>
      <w:r w:rsidR="00D758C0" w:rsidRPr="00F46C3D">
        <w:rPr>
          <w:rStyle w:val="Style1Char"/>
          <w:rFonts w:eastAsiaTheme="minorHAnsi" w:cs="Arial"/>
          <w:b w:val="0"/>
          <w:bCs/>
        </w:rPr>
        <w:t xml:space="preserve">Evaluation of any exceptional circumstances to push </w:t>
      </w:r>
      <w:r w:rsidR="005E2E95">
        <w:rPr>
          <w:rStyle w:val="Style1Char"/>
          <w:rFonts w:eastAsiaTheme="minorHAnsi" w:cs="Arial"/>
          <w:b w:val="0"/>
          <w:bCs/>
        </w:rPr>
        <w:t xml:space="preserve">for a re-evaluation of a management procedures in an MSE context, </w:t>
      </w:r>
      <w:r w:rsidR="00D758C0" w:rsidRPr="00F46C3D">
        <w:rPr>
          <w:rStyle w:val="Style1Char"/>
          <w:rFonts w:eastAsiaTheme="minorHAnsi" w:cs="Arial"/>
          <w:b w:val="0"/>
          <w:bCs/>
        </w:rPr>
        <w:t>or triggers that would prompt an assessment earlier than the pre-agreed assessment cycle</w:t>
      </w:r>
      <w:r w:rsidR="005E2E95">
        <w:rPr>
          <w:rStyle w:val="Style1Char"/>
          <w:rFonts w:eastAsiaTheme="minorHAnsi" w:cs="Arial"/>
          <w:b w:val="0"/>
          <w:bCs/>
        </w:rPr>
        <w:t xml:space="preserve"> (as per SAR 2016/020)</w:t>
      </w:r>
      <w:r w:rsidR="00D758C0" w:rsidRPr="00F46C3D">
        <w:rPr>
          <w:rStyle w:val="Style1Char"/>
          <w:rFonts w:eastAsiaTheme="minorHAnsi" w:cs="Arial"/>
          <w:b w:val="0"/>
          <w:bCs/>
        </w:rPr>
        <w:t xml:space="preserve">. </w:t>
      </w:r>
    </w:p>
    <w:p w14:paraId="3F4F609A" w14:textId="3EFD1C0F" w:rsidR="006B4CBC" w:rsidRDefault="00B8793B" w:rsidP="00D758C0">
      <w:pPr>
        <w:rPr>
          <w:rFonts w:ascii="Arial" w:hAnsi="Arial" w:cs="Arial"/>
          <w:i/>
          <w:iCs/>
        </w:rPr>
      </w:pPr>
      <w:r w:rsidRPr="00B8793B">
        <w:rPr>
          <w:rFonts w:ascii="Arial" w:hAnsi="Arial" w:cs="Arial"/>
          <w:i/>
          <w:iCs/>
        </w:rPr>
        <w:t>“Analysis of the indicator(s) for the recent year shows the indicator(s)’s trigger values have not been reached. A stock re-assessment is not warranted and the previous advice for the fishery remains appropriate.”</w:t>
      </w:r>
    </w:p>
    <w:p w14:paraId="2ABC8FDC" w14:textId="77777777" w:rsidR="00B8793B" w:rsidRPr="00B8793B" w:rsidRDefault="00B8793B" w:rsidP="00B8793B">
      <w:pPr>
        <w:spacing w:after="0"/>
        <w:rPr>
          <w:rStyle w:val="Style1Char"/>
          <w:rFonts w:eastAsiaTheme="minorHAnsi" w:cs="Arial"/>
          <w:b w:val="0"/>
          <w:bCs/>
          <w:i/>
          <w:iCs/>
        </w:rPr>
      </w:pPr>
      <w:r w:rsidRPr="00B8793B">
        <w:rPr>
          <w:rStyle w:val="Style1Char"/>
          <w:rFonts w:eastAsiaTheme="minorHAnsi" w:cs="Arial"/>
          <w:b w:val="0"/>
          <w:bCs/>
          <w:i/>
          <w:iCs/>
        </w:rPr>
        <w:t xml:space="preserve">“Analysis of the indicator(s) for the recent year shows the indicator(s)’s trigger value(s) have </w:t>
      </w:r>
    </w:p>
    <w:p w14:paraId="1EE7BCE5" w14:textId="77777777" w:rsidR="00B8793B" w:rsidRPr="00B8793B" w:rsidRDefault="00B8793B" w:rsidP="00B8793B">
      <w:pPr>
        <w:spacing w:after="0"/>
        <w:rPr>
          <w:rStyle w:val="Style1Char"/>
          <w:rFonts w:eastAsiaTheme="minorHAnsi" w:cs="Arial"/>
          <w:b w:val="0"/>
          <w:bCs/>
          <w:i/>
          <w:iCs/>
        </w:rPr>
      </w:pPr>
      <w:r w:rsidRPr="00B8793B">
        <w:rPr>
          <w:rStyle w:val="Style1Char"/>
          <w:rFonts w:eastAsiaTheme="minorHAnsi" w:cs="Arial"/>
          <w:b w:val="0"/>
          <w:bCs/>
          <w:i/>
          <w:iCs/>
        </w:rPr>
        <w:t xml:space="preserve">been crossed and a stock re-assessment is warranted. This re-assessment may result in </w:t>
      </w:r>
    </w:p>
    <w:p w14:paraId="6B44FA19" w14:textId="3B466C17" w:rsidR="00B8793B" w:rsidRPr="00B8793B" w:rsidRDefault="00B8793B" w:rsidP="00B8793B">
      <w:pPr>
        <w:spacing w:after="0"/>
        <w:rPr>
          <w:rStyle w:val="Style1Char"/>
          <w:rFonts w:eastAsiaTheme="minorHAnsi" w:cs="Arial"/>
          <w:b w:val="0"/>
          <w:bCs/>
          <w:i/>
          <w:iCs/>
        </w:rPr>
      </w:pPr>
      <w:r w:rsidRPr="00B8793B">
        <w:rPr>
          <w:rStyle w:val="Style1Char"/>
          <w:rFonts w:eastAsiaTheme="minorHAnsi" w:cs="Arial"/>
          <w:b w:val="0"/>
          <w:bCs/>
          <w:i/>
          <w:iCs/>
        </w:rPr>
        <w:t>revised catch advice for the fishery.”</w:t>
      </w:r>
      <w:r w:rsidRPr="00B8793B">
        <w:rPr>
          <w:rStyle w:val="Style1Char"/>
          <w:rFonts w:eastAsiaTheme="minorHAnsi" w:cs="Arial"/>
          <w:b w:val="0"/>
          <w:bCs/>
          <w:i/>
          <w:iCs/>
        </w:rPr>
        <w:cr/>
      </w:r>
    </w:p>
    <w:p w14:paraId="5380E2CC" w14:textId="2BEBA941" w:rsidR="008A1273" w:rsidRPr="00F46C3D" w:rsidRDefault="00257295" w:rsidP="008A1273">
      <w:pPr>
        <w:rPr>
          <w:rFonts w:ascii="Arial" w:hAnsi="Arial" w:cs="Arial"/>
        </w:rPr>
      </w:pPr>
      <w:bookmarkStart w:id="32" w:name="_Hlk122436631"/>
      <w:bookmarkEnd w:id="31"/>
      <w:r w:rsidRPr="00F46C3D">
        <w:rPr>
          <w:rStyle w:val="Style1Char"/>
          <w:rFonts w:eastAsiaTheme="minorHAnsi" w:cs="Arial"/>
        </w:rPr>
        <w:t xml:space="preserve">Ecological </w:t>
      </w:r>
      <w:r w:rsidR="00356FFC" w:rsidRPr="00F46C3D">
        <w:rPr>
          <w:rStyle w:val="Style1Char"/>
          <w:rFonts w:eastAsiaTheme="minorHAnsi" w:cs="Arial"/>
        </w:rPr>
        <w:t xml:space="preserve">and Climate Change </w:t>
      </w:r>
      <w:r w:rsidRPr="00F46C3D">
        <w:rPr>
          <w:rStyle w:val="Style1Char"/>
          <w:rFonts w:eastAsiaTheme="minorHAnsi" w:cs="Arial"/>
        </w:rPr>
        <w:t>Considerations</w:t>
      </w:r>
      <w:r w:rsidR="00DF6FB4" w:rsidRPr="00F46C3D">
        <w:rPr>
          <w:rStyle w:val="Style1Char"/>
          <w:rFonts w:eastAsiaTheme="minorHAnsi" w:cs="Arial"/>
        </w:rPr>
        <w:t>:</w:t>
      </w:r>
      <w:r w:rsidRPr="00F46C3D">
        <w:rPr>
          <w:rFonts w:ascii="Arial" w:hAnsi="Arial" w:cs="Arial"/>
        </w:rPr>
        <w:t xml:space="preserve"> </w:t>
      </w:r>
      <w:bookmarkStart w:id="33" w:name="_Hlk124420370"/>
      <w:commentRangeStart w:id="34"/>
      <w:r w:rsidR="00356FFC" w:rsidRPr="00F46C3D">
        <w:rPr>
          <w:rFonts w:ascii="Arial" w:hAnsi="Arial" w:cs="Arial"/>
        </w:rPr>
        <w:t>Describe</w:t>
      </w:r>
      <w:commentRangeEnd w:id="34"/>
      <w:r w:rsidR="004C7566">
        <w:rPr>
          <w:rStyle w:val="CommentReference"/>
        </w:rPr>
        <w:commentReference w:id="34"/>
      </w:r>
      <w:r w:rsidR="00356FFC" w:rsidRPr="00F46C3D">
        <w:rPr>
          <w:rFonts w:ascii="Arial" w:hAnsi="Arial" w:cs="Arial"/>
        </w:rPr>
        <w:t xml:space="preserve"> the </w:t>
      </w:r>
      <w:r w:rsidR="00065E47" w:rsidRPr="00F46C3D">
        <w:rPr>
          <w:rFonts w:ascii="Arial" w:hAnsi="Arial" w:cs="Arial"/>
          <w:bCs/>
        </w:rPr>
        <w:t xml:space="preserve">environmental </w:t>
      </w:r>
      <w:r w:rsidR="00356FFC" w:rsidRPr="00F46C3D">
        <w:rPr>
          <w:rFonts w:ascii="Arial" w:hAnsi="Arial" w:cs="Arial"/>
          <w:bCs/>
        </w:rPr>
        <w:t xml:space="preserve">and climate change </w:t>
      </w:r>
      <w:r w:rsidR="005D1438">
        <w:rPr>
          <w:rFonts w:ascii="Arial" w:hAnsi="Arial" w:cs="Arial"/>
          <w:bCs/>
        </w:rPr>
        <w:t xml:space="preserve">considerations </w:t>
      </w:r>
      <w:r w:rsidR="00356FFC" w:rsidRPr="00F46C3D">
        <w:rPr>
          <w:rFonts w:ascii="Arial" w:hAnsi="Arial" w:cs="Arial"/>
          <w:bCs/>
        </w:rPr>
        <w:t xml:space="preserve">affecting </w:t>
      </w:r>
      <w:r w:rsidR="005D1438">
        <w:rPr>
          <w:rFonts w:ascii="Arial" w:hAnsi="Arial" w:cs="Arial"/>
          <w:bCs/>
        </w:rPr>
        <w:t xml:space="preserve">the </w:t>
      </w:r>
      <w:r w:rsidR="00065E47" w:rsidRPr="00F46C3D">
        <w:rPr>
          <w:rFonts w:ascii="Arial" w:hAnsi="Arial" w:cs="Arial"/>
          <w:bCs/>
        </w:rPr>
        <w:t>fish stock.</w:t>
      </w:r>
      <w:r w:rsidR="00B96252" w:rsidRPr="00F46C3D">
        <w:rPr>
          <w:rFonts w:ascii="Arial" w:hAnsi="Arial" w:cs="Arial"/>
        </w:rPr>
        <w:t xml:space="preserve"> </w:t>
      </w:r>
      <w:r w:rsidR="00356FFC" w:rsidRPr="00F46C3D">
        <w:rPr>
          <w:rFonts w:ascii="Arial" w:hAnsi="Arial" w:cs="Arial"/>
        </w:rPr>
        <w:t xml:space="preserve">Focus on tactical 1-3 year advice and any long-term </w:t>
      </w:r>
      <w:r w:rsidR="00406249">
        <w:rPr>
          <w:rFonts w:ascii="Arial" w:hAnsi="Arial" w:cs="Arial"/>
        </w:rPr>
        <w:t xml:space="preserve">strategic considerations </w:t>
      </w:r>
      <w:r w:rsidR="00356FFC" w:rsidRPr="00F46C3D">
        <w:rPr>
          <w:rFonts w:ascii="Arial" w:hAnsi="Arial" w:cs="Arial"/>
        </w:rPr>
        <w:t xml:space="preserve">for the stock if available. </w:t>
      </w:r>
      <w:r w:rsidR="00DF6FB4" w:rsidRPr="00F46C3D">
        <w:rPr>
          <w:rFonts w:ascii="Arial" w:hAnsi="Arial" w:cs="Arial"/>
        </w:rPr>
        <w:t xml:space="preserve">Focus on </w:t>
      </w:r>
      <w:r w:rsidR="00B96252" w:rsidRPr="00F46C3D">
        <w:rPr>
          <w:rFonts w:ascii="Arial" w:hAnsi="Arial" w:cs="Arial"/>
        </w:rPr>
        <w:t>more recent changes and how th</w:t>
      </w:r>
      <w:r w:rsidR="00356FFC" w:rsidRPr="00F46C3D">
        <w:rPr>
          <w:rFonts w:ascii="Arial" w:hAnsi="Arial" w:cs="Arial"/>
        </w:rPr>
        <w:t>ey</w:t>
      </w:r>
      <w:r w:rsidR="00B96252" w:rsidRPr="00F46C3D">
        <w:rPr>
          <w:rFonts w:ascii="Arial" w:hAnsi="Arial" w:cs="Arial"/>
        </w:rPr>
        <w:t xml:space="preserve"> represents a change from the overall ecosystem context. </w:t>
      </w:r>
      <w:r w:rsidR="00DF6FB4" w:rsidRPr="00F46C3D">
        <w:rPr>
          <w:rFonts w:ascii="Arial" w:hAnsi="Arial" w:cs="Arial"/>
        </w:rPr>
        <w:t>i.e. t</w:t>
      </w:r>
      <w:r w:rsidR="00B96252" w:rsidRPr="00F46C3D">
        <w:rPr>
          <w:rFonts w:ascii="Arial" w:hAnsi="Arial" w:cs="Arial"/>
        </w:rPr>
        <w:t>his is driving changes in mortality</w:t>
      </w:r>
      <w:r w:rsidR="00DF6FB4" w:rsidRPr="00F46C3D">
        <w:rPr>
          <w:rFonts w:ascii="Arial" w:hAnsi="Arial" w:cs="Arial"/>
        </w:rPr>
        <w:t xml:space="preserve">. </w:t>
      </w:r>
      <w:r w:rsidR="008A1273">
        <w:rPr>
          <w:rFonts w:ascii="Arial" w:hAnsi="Arial" w:cs="Arial"/>
        </w:rPr>
        <w:t>U</w:t>
      </w:r>
      <w:r w:rsidR="00406249">
        <w:rPr>
          <w:rFonts w:ascii="Arial" w:hAnsi="Arial" w:cs="Arial"/>
        </w:rPr>
        <w:t>se plain language,</w:t>
      </w:r>
      <w:r w:rsidR="00B96252" w:rsidRPr="00F46C3D">
        <w:rPr>
          <w:rFonts w:ascii="Arial" w:hAnsi="Arial" w:cs="Arial"/>
        </w:rPr>
        <w:t xml:space="preserve"> and talk about the consequences</w:t>
      </w:r>
      <w:r w:rsidR="00406249">
        <w:rPr>
          <w:rFonts w:ascii="Arial" w:hAnsi="Arial" w:cs="Arial"/>
        </w:rPr>
        <w:t>/</w:t>
      </w:r>
      <w:r w:rsidR="00356FFC" w:rsidRPr="00F46C3D">
        <w:rPr>
          <w:rFonts w:ascii="Arial" w:hAnsi="Arial" w:cs="Arial"/>
        </w:rPr>
        <w:t xml:space="preserve"> impacts on the stock. </w:t>
      </w:r>
      <w:r w:rsidR="008A1273" w:rsidRPr="00F46C3D">
        <w:rPr>
          <w:rFonts w:ascii="Arial" w:hAnsi="Arial" w:cs="Arial"/>
        </w:rPr>
        <w:t>Incorporate implications of trends in ecological and</w:t>
      </w:r>
      <w:r w:rsidR="008A1273">
        <w:rPr>
          <w:rFonts w:ascii="Arial" w:hAnsi="Arial" w:cs="Arial"/>
        </w:rPr>
        <w:t>/or</w:t>
      </w:r>
      <w:r w:rsidR="008A1273" w:rsidRPr="00F46C3D">
        <w:rPr>
          <w:rFonts w:ascii="Arial" w:hAnsi="Arial" w:cs="Arial"/>
        </w:rPr>
        <w:t xml:space="preserve"> climate change drivers on the future state of the stock to help with development of tactical and strategic goals.  </w:t>
      </w:r>
    </w:p>
    <w:p w14:paraId="7622881A" w14:textId="12897EE9" w:rsidR="00406249" w:rsidRDefault="00406249" w:rsidP="00DF6FB4">
      <w:pPr>
        <w:rPr>
          <w:rFonts w:ascii="Arial" w:hAnsi="Arial" w:cs="Arial"/>
        </w:rPr>
      </w:pPr>
      <w:r>
        <w:rPr>
          <w:rFonts w:ascii="Arial" w:hAnsi="Arial" w:cs="Arial"/>
        </w:rPr>
        <w:t xml:space="preserve">Include the method the environmental or climate change variable was </w:t>
      </w:r>
      <w:commentRangeStart w:id="35"/>
      <w:r>
        <w:rPr>
          <w:rFonts w:ascii="Arial" w:hAnsi="Arial" w:cs="Arial"/>
        </w:rPr>
        <w:t>included</w:t>
      </w:r>
      <w:commentRangeEnd w:id="35"/>
      <w:r w:rsidR="00F87926">
        <w:rPr>
          <w:rStyle w:val="CommentReference"/>
        </w:rPr>
        <w:commentReference w:id="35"/>
      </w:r>
      <w:r>
        <w:rPr>
          <w:rFonts w:ascii="Arial" w:hAnsi="Arial" w:cs="Arial"/>
        </w:rPr>
        <w:t>:</w:t>
      </w:r>
    </w:p>
    <w:p w14:paraId="77BE4843" w14:textId="5FE75811" w:rsidR="00406249" w:rsidRDefault="00406249" w:rsidP="00DF6FB4">
      <w:pPr>
        <w:rPr>
          <w:rFonts w:ascii="Arial" w:hAnsi="Arial" w:cs="Arial"/>
        </w:rPr>
      </w:pPr>
      <w:r w:rsidRPr="00D80F24">
        <w:rPr>
          <w:rFonts w:ascii="Arial" w:hAnsi="Arial" w:cs="Arial"/>
          <w:b/>
          <w:bCs/>
        </w:rPr>
        <w:t>Parameterization</w:t>
      </w:r>
      <w:r>
        <w:rPr>
          <w:rFonts w:ascii="Arial" w:hAnsi="Arial" w:cs="Arial"/>
        </w:rPr>
        <w:t xml:space="preserve"> – Environmental variables are included as parameters within the stock assessment model</w:t>
      </w:r>
    </w:p>
    <w:bookmarkEnd w:id="33"/>
    <w:p w14:paraId="79994ECB" w14:textId="5AA14753" w:rsidR="008A1273" w:rsidRPr="00F46C3D" w:rsidRDefault="008A1273" w:rsidP="008A1273">
      <w:pPr>
        <w:ind w:left="360"/>
        <w:contextualSpacing/>
        <w:rPr>
          <w:rFonts w:ascii="Arial" w:hAnsi="Arial" w:cs="Arial"/>
          <w:i/>
        </w:rPr>
      </w:pPr>
      <w:r>
        <w:rPr>
          <w:rFonts w:ascii="Arial" w:hAnsi="Arial" w:cs="Arial"/>
        </w:rPr>
        <w:lastRenderedPageBreak/>
        <w:t>Example 1</w:t>
      </w:r>
      <w:r w:rsidRPr="00F46C3D">
        <w:rPr>
          <w:rFonts w:ascii="Arial" w:hAnsi="Arial" w:cs="Arial"/>
        </w:rPr>
        <w:t xml:space="preserve"> - if environmental variables were considered: </w:t>
      </w:r>
      <w:r w:rsidRPr="00F46C3D">
        <w:rPr>
          <w:rFonts w:ascii="Arial" w:hAnsi="Arial" w:cs="Arial"/>
          <w:i/>
        </w:rPr>
        <w:t xml:space="preserve">The 2014 stock assessment model also incorporated the annual timing of sea ice retreat as an </w:t>
      </w:r>
      <w:r w:rsidR="004441D9" w:rsidRPr="003564EF">
        <w:rPr>
          <w:rFonts w:ascii="Arial" w:hAnsi="Arial" w:cs="Arial"/>
          <w:b/>
          <w:bCs/>
          <w:i/>
        </w:rPr>
        <w:t>parameter</w:t>
      </w:r>
      <w:r w:rsidRPr="00F46C3D">
        <w:rPr>
          <w:rFonts w:ascii="Arial" w:hAnsi="Arial" w:cs="Arial"/>
          <w:i/>
        </w:rPr>
        <w:t xml:space="preserve"> to project the current year’s biomass, and thus informed the TAC recommendation that is consistent with this stock’s Harvest Strategy.</w:t>
      </w:r>
    </w:p>
    <w:p w14:paraId="492A5F5D" w14:textId="77777777" w:rsidR="008A1273" w:rsidRDefault="008A1273" w:rsidP="00DF6FB4">
      <w:pPr>
        <w:rPr>
          <w:rFonts w:ascii="Arial" w:hAnsi="Arial" w:cs="Arial"/>
        </w:rPr>
      </w:pPr>
    </w:p>
    <w:p w14:paraId="65617364" w14:textId="0AC8EFA5" w:rsidR="00406249" w:rsidRDefault="00406249" w:rsidP="00DF6FB4">
      <w:pPr>
        <w:rPr>
          <w:rFonts w:ascii="Arial" w:hAnsi="Arial" w:cs="Arial"/>
        </w:rPr>
      </w:pPr>
      <w:bookmarkStart w:id="36" w:name="_Hlk124420384"/>
      <w:r w:rsidRPr="00D80F24">
        <w:rPr>
          <w:rFonts w:ascii="Arial" w:hAnsi="Arial" w:cs="Arial"/>
          <w:b/>
          <w:bCs/>
        </w:rPr>
        <w:t xml:space="preserve">Implied </w:t>
      </w:r>
      <w:r>
        <w:rPr>
          <w:rFonts w:ascii="Arial" w:hAnsi="Arial" w:cs="Arial"/>
        </w:rPr>
        <w:t xml:space="preserve">– For example, the model incorporates time varying M, without clear knowledge of the specific environmental factors affecting the observed changes in </w:t>
      </w:r>
      <w:commentRangeStart w:id="37"/>
      <w:r>
        <w:rPr>
          <w:rFonts w:ascii="Arial" w:hAnsi="Arial" w:cs="Arial"/>
        </w:rPr>
        <w:t>M</w:t>
      </w:r>
      <w:commentRangeEnd w:id="37"/>
      <w:r w:rsidR="00453D1F">
        <w:rPr>
          <w:rStyle w:val="CommentReference"/>
        </w:rPr>
        <w:commentReference w:id="37"/>
      </w:r>
      <w:r>
        <w:rPr>
          <w:rFonts w:ascii="Arial" w:hAnsi="Arial" w:cs="Arial"/>
        </w:rPr>
        <w:t xml:space="preserve">. </w:t>
      </w:r>
    </w:p>
    <w:p w14:paraId="599E35ED" w14:textId="26CF0CEB" w:rsidR="008A1273" w:rsidRDefault="008A1273" w:rsidP="00DF6FB4">
      <w:pPr>
        <w:rPr>
          <w:rFonts w:ascii="Arial" w:hAnsi="Arial" w:cs="Arial"/>
        </w:rPr>
      </w:pPr>
      <w:r w:rsidRPr="00D80F24">
        <w:rPr>
          <w:rFonts w:ascii="Arial" w:hAnsi="Arial" w:cs="Arial"/>
          <w:b/>
          <w:bCs/>
        </w:rPr>
        <w:t>Linked</w:t>
      </w:r>
      <w:r>
        <w:rPr>
          <w:rFonts w:ascii="Arial" w:hAnsi="Arial" w:cs="Arial"/>
        </w:rPr>
        <w:t xml:space="preserve"> – The effects of the environment on the stock were evaluated outside of the stock assessment model. This independent information was used to condition the assessment results and provide an assessment of the environmental drivers that are affecting the stock status. </w:t>
      </w:r>
    </w:p>
    <w:bookmarkEnd w:id="36"/>
    <w:p w14:paraId="61282B38" w14:textId="77777777" w:rsidR="008A1273" w:rsidRPr="00F46C3D" w:rsidRDefault="008A1273" w:rsidP="008A1273">
      <w:pPr>
        <w:ind w:left="360"/>
        <w:contextualSpacing/>
        <w:rPr>
          <w:rFonts w:ascii="Arial" w:hAnsi="Arial" w:cs="Arial"/>
        </w:rPr>
      </w:pPr>
      <w:r>
        <w:rPr>
          <w:rFonts w:ascii="Arial" w:hAnsi="Arial" w:cs="Arial"/>
          <w:i/>
        </w:rPr>
        <w:t>Example 2</w:t>
      </w:r>
      <w:r w:rsidRPr="00F46C3D">
        <w:rPr>
          <w:rFonts w:ascii="Arial" w:hAnsi="Arial" w:cs="Arial"/>
          <w:i/>
        </w:rPr>
        <w:t xml:space="preserve"> - </w:t>
      </w:r>
    </w:p>
    <w:p w14:paraId="5D0EEC77" w14:textId="77777777" w:rsidR="008A1273" w:rsidRPr="00F46C3D" w:rsidRDefault="008A1273" w:rsidP="008A1273">
      <w:pPr>
        <w:ind w:left="360"/>
        <w:contextualSpacing/>
        <w:rPr>
          <w:rFonts w:ascii="Arial" w:hAnsi="Arial" w:cs="Arial"/>
          <w:i/>
          <w:iCs/>
        </w:rPr>
      </w:pPr>
      <w:r w:rsidRPr="00F46C3D">
        <w:rPr>
          <w:rFonts w:ascii="Arial" w:hAnsi="Arial" w:cs="Arial"/>
          <w:i/>
          <w:iCs/>
        </w:rPr>
        <w:t xml:space="preserve">Recruitment in Pelagic fish such as Herring often exhibit sporadic recruitment peaks, making long term projections highly uncertain. However, recruitment is currently low in both spring and fall spawners. Spring spawning Herring recruitment can be predicted by a model using three zooplankton abundances/phenology variables, explicitly </w:t>
      </w:r>
      <w:r w:rsidRPr="003564EF">
        <w:rPr>
          <w:rFonts w:ascii="Arial" w:hAnsi="Arial" w:cs="Arial"/>
          <w:b/>
          <w:bCs/>
          <w:i/>
          <w:iCs/>
        </w:rPr>
        <w:t>linking</w:t>
      </w:r>
      <w:r w:rsidRPr="00F46C3D">
        <w:rPr>
          <w:rFonts w:ascii="Arial" w:hAnsi="Arial" w:cs="Arial"/>
          <w:i/>
          <w:iCs/>
        </w:rPr>
        <w:t xml:space="preserve"> ecosystem changes to Herring population dynamics. Given the ongoing trend towards warmer conditions and changes in the zooplankton community in the </w:t>
      </w:r>
      <w:proofErr w:type="spellStart"/>
      <w:r w:rsidRPr="00F46C3D">
        <w:rPr>
          <w:rFonts w:ascii="Arial" w:hAnsi="Arial" w:cs="Arial"/>
          <w:i/>
          <w:iCs/>
        </w:rPr>
        <w:t>sGSL</w:t>
      </w:r>
      <w:proofErr w:type="spellEnd"/>
      <w:r w:rsidRPr="00F46C3D">
        <w:rPr>
          <w:rFonts w:ascii="Arial" w:hAnsi="Arial" w:cs="Arial"/>
          <w:i/>
          <w:iCs/>
        </w:rPr>
        <w:t xml:space="preserve"> (</w:t>
      </w:r>
      <w:proofErr w:type="spellStart"/>
      <w:r w:rsidRPr="00F46C3D">
        <w:rPr>
          <w:rFonts w:ascii="Arial" w:hAnsi="Arial" w:cs="Arial"/>
          <w:i/>
          <w:iCs/>
        </w:rPr>
        <w:t>Blais</w:t>
      </w:r>
      <w:proofErr w:type="spellEnd"/>
      <w:r w:rsidRPr="00F46C3D">
        <w:rPr>
          <w:rFonts w:ascii="Arial" w:hAnsi="Arial" w:cs="Arial"/>
          <w:i/>
          <w:iCs/>
        </w:rPr>
        <w:t xml:space="preserve"> et al. 2021; Galbraith et al. 2021), spring spawning Herring recruitment is not expected to increase in future years. </w:t>
      </w:r>
    </w:p>
    <w:p w14:paraId="20928B5E" w14:textId="64FC8E6E" w:rsidR="008A1273" w:rsidRDefault="008A1273" w:rsidP="008A1273">
      <w:pPr>
        <w:ind w:left="360"/>
        <w:contextualSpacing/>
        <w:rPr>
          <w:rFonts w:ascii="Arial" w:hAnsi="Arial" w:cs="Arial"/>
          <w:i/>
          <w:iCs/>
        </w:rPr>
      </w:pPr>
      <w:r w:rsidRPr="00F46C3D">
        <w:rPr>
          <w:rFonts w:ascii="Arial" w:hAnsi="Arial" w:cs="Arial"/>
          <w:i/>
          <w:iCs/>
        </w:rPr>
        <w:t xml:space="preserve">Further analysis of predator abundance, spatial distribution, size distribution, diet and functional response of predators to prey will be necessary to quantify the effects of the different predators on spring and fall spawning Herring natural mortality. </w:t>
      </w:r>
    </w:p>
    <w:p w14:paraId="2C17CF63" w14:textId="77777777" w:rsidR="005A48C2" w:rsidRDefault="005A48C2" w:rsidP="008A1273">
      <w:pPr>
        <w:ind w:left="360"/>
        <w:contextualSpacing/>
        <w:rPr>
          <w:rFonts w:ascii="Arial" w:hAnsi="Arial" w:cs="Arial"/>
          <w:i/>
          <w:iCs/>
        </w:rPr>
      </w:pPr>
    </w:p>
    <w:p w14:paraId="0167B695" w14:textId="101C633D" w:rsidR="008A1273" w:rsidRPr="00F46C3D" w:rsidRDefault="008A1273" w:rsidP="008A1273">
      <w:pPr>
        <w:ind w:left="360"/>
        <w:contextualSpacing/>
        <w:rPr>
          <w:rFonts w:ascii="Arial" w:hAnsi="Arial" w:cs="Arial"/>
          <w:i/>
          <w:iCs/>
        </w:rPr>
      </w:pPr>
      <w:r>
        <w:rPr>
          <w:rFonts w:ascii="Arial" w:hAnsi="Arial" w:cs="Arial"/>
          <w:i/>
          <w:iCs/>
        </w:rPr>
        <w:t>Example 3</w:t>
      </w:r>
      <w:r w:rsidRPr="00F46C3D">
        <w:rPr>
          <w:rFonts w:ascii="Arial" w:hAnsi="Arial" w:cs="Arial"/>
          <w:i/>
          <w:iCs/>
        </w:rPr>
        <w:t xml:space="preserve">- </w:t>
      </w:r>
    </w:p>
    <w:p w14:paraId="55913649" w14:textId="77777777" w:rsidR="003477BD" w:rsidRDefault="003477BD" w:rsidP="003477BD">
      <w:pPr>
        <w:ind w:left="360"/>
        <w:contextualSpacing/>
        <w:rPr>
          <w:rFonts w:ascii="Arial" w:hAnsi="Arial" w:cs="Arial"/>
          <w:i/>
          <w:iCs/>
        </w:rPr>
      </w:pPr>
      <w:r w:rsidRPr="00F46C3D">
        <w:rPr>
          <w:rFonts w:ascii="Arial" w:hAnsi="Arial" w:cs="Arial"/>
          <w:i/>
          <w:iCs/>
        </w:rPr>
        <w:t>Sea Scallop condition has varied by up to 4.3 grams, or 29%, between two consecutive years. Condition in the current year on Georges Bank can be predicted using the additive effect of the monthly median sea surface temperature (SST) on the bank from January to March of the previous and current year (Liu et al. 2020). Using the SST model, condition was predicted to be 16.9 g/dm</w:t>
      </w:r>
      <w:r w:rsidRPr="00F92527">
        <w:rPr>
          <w:rFonts w:ascii="Arial" w:hAnsi="Arial" w:cs="Arial"/>
          <w:i/>
          <w:iCs/>
          <w:vertAlign w:val="superscript"/>
        </w:rPr>
        <w:t>3</w:t>
      </w:r>
      <w:r w:rsidRPr="00F46C3D">
        <w:rPr>
          <w:rFonts w:ascii="Arial" w:hAnsi="Arial" w:cs="Arial"/>
          <w:i/>
          <w:iCs/>
        </w:rPr>
        <w:t xml:space="preserve"> in May of 2022, which is above the long term median (1986-2019) and is a decline from 2021 (20.1 g/dm</w:t>
      </w:r>
      <w:r w:rsidRPr="00F92527">
        <w:rPr>
          <w:rFonts w:ascii="Arial" w:hAnsi="Arial" w:cs="Arial"/>
          <w:i/>
          <w:iCs/>
          <w:vertAlign w:val="superscript"/>
        </w:rPr>
        <w:t>3</w:t>
      </w:r>
      <w:r w:rsidRPr="003477BD">
        <w:rPr>
          <w:rFonts w:ascii="Arial" w:hAnsi="Arial" w:cs="Arial"/>
          <w:i/>
          <w:iCs/>
        </w:rPr>
        <w:t>). The biomass projection for 2022 uses the 2022 SST model prediction of condition. Since biomass is dependent on both abundance and condition, if condition in 2022 differs from the SST model prediction, the biomass projection (and consequent decision table probabilities) would be affected.</w:t>
      </w:r>
      <w:r w:rsidDel="00E70961">
        <w:rPr>
          <w:rFonts w:ascii="Arial" w:hAnsi="Arial" w:cs="Arial"/>
          <w:i/>
          <w:iCs/>
        </w:rPr>
        <w:t xml:space="preserve"> </w:t>
      </w:r>
    </w:p>
    <w:p w14:paraId="3EDC7519" w14:textId="77777777" w:rsidR="003477BD" w:rsidRPr="00F46C3D" w:rsidRDefault="003477BD" w:rsidP="003477BD">
      <w:pPr>
        <w:ind w:left="360"/>
        <w:contextualSpacing/>
        <w:rPr>
          <w:rFonts w:ascii="Arial" w:hAnsi="Arial" w:cs="Arial"/>
          <w:i/>
          <w:iCs/>
        </w:rPr>
      </w:pPr>
    </w:p>
    <w:p w14:paraId="2A850D1C" w14:textId="77777777" w:rsidR="003477BD" w:rsidRPr="00F46C3D" w:rsidRDefault="003477BD" w:rsidP="003477BD">
      <w:pPr>
        <w:ind w:left="360"/>
        <w:contextualSpacing/>
        <w:rPr>
          <w:rFonts w:ascii="Arial" w:hAnsi="Arial" w:cs="Arial"/>
          <w:i/>
          <w:iCs/>
        </w:rPr>
      </w:pPr>
      <w:r w:rsidRPr="00F46C3D">
        <w:rPr>
          <w:rFonts w:ascii="Arial" w:hAnsi="Arial" w:cs="Arial"/>
          <w:i/>
          <w:iCs/>
        </w:rPr>
        <w:t>Natural mortality can be estimated annually for Sea Scallop using clappers, which are empty paired scallop shells that are assumed to have recently died of natural causes. Every clapper observed on the survey is counted and assigned to a 5 mm shell height bin. Records are summarized by survey tow and are used to develop a clapper index. The index is used within the Bayesian state-space modified delay difference assessment model to estimate natural mortality (Hubley et al. 2014). In 2021, the natural mortality was estimated to be 0.14, which was an increase from 2020 (0.09) and is above the long term median (0.1</w:t>
      </w:r>
      <w:r w:rsidRPr="003477BD">
        <w:rPr>
          <w:rFonts w:ascii="Arial" w:hAnsi="Arial" w:cs="Arial"/>
          <w:i/>
          <w:iCs/>
        </w:rPr>
        <w:t>). The biomass projection for 2022 assumes the 2021 natural mortality estimate. If natural mortality changes in 2022, the biomass projection (and consequent decision table probabilities) would be affected.</w:t>
      </w:r>
    </w:p>
    <w:p w14:paraId="66424746" w14:textId="17B53CCC" w:rsidR="003564EF" w:rsidRDefault="003564EF" w:rsidP="008A1273">
      <w:pPr>
        <w:ind w:left="360"/>
        <w:contextualSpacing/>
        <w:rPr>
          <w:rFonts w:ascii="Arial" w:hAnsi="Arial" w:cs="Arial"/>
          <w:i/>
          <w:iCs/>
        </w:rPr>
      </w:pPr>
    </w:p>
    <w:p w14:paraId="1EEA14F6" w14:textId="06C58B2F" w:rsidR="003564EF" w:rsidRDefault="003564EF" w:rsidP="008A1273">
      <w:pPr>
        <w:ind w:left="360"/>
        <w:contextualSpacing/>
        <w:rPr>
          <w:rFonts w:ascii="Arial" w:hAnsi="Arial" w:cs="Arial"/>
          <w:i/>
          <w:iCs/>
        </w:rPr>
      </w:pPr>
      <w:r>
        <w:rPr>
          <w:rFonts w:ascii="Arial" w:hAnsi="Arial" w:cs="Arial"/>
          <w:i/>
          <w:iCs/>
        </w:rPr>
        <w:t>Example 4-</w:t>
      </w:r>
    </w:p>
    <w:p w14:paraId="63792E1D" w14:textId="267BD231" w:rsidR="003564EF" w:rsidRPr="003564EF" w:rsidRDefault="003564EF" w:rsidP="008A1273">
      <w:pPr>
        <w:ind w:left="360"/>
        <w:contextualSpacing/>
        <w:rPr>
          <w:rFonts w:ascii="Arial" w:hAnsi="Arial" w:cs="Arial"/>
          <w:i/>
          <w:iCs/>
        </w:rPr>
      </w:pPr>
      <w:r w:rsidRPr="003564EF">
        <w:rPr>
          <w:rFonts w:ascii="Arial" w:hAnsi="Arial" w:cs="Arial"/>
          <w:i/>
          <w:iCs/>
        </w:rPr>
        <w:lastRenderedPageBreak/>
        <w:t xml:space="preserve">Northern Shrimp biomass in SFA 6 is currently similar to the 1980-90 period (substantially down from its peak in the mid-2000s), but this is occurring in a context of a much reduced fish biomass relative to the 1980-90 period. The shrimp model and consumption analyses indicated that predation is a major driver of the stock. The shrimp predation mortality rate in NAFO </w:t>
      </w:r>
      <w:proofErr w:type="spellStart"/>
      <w:r w:rsidRPr="003564EF">
        <w:rPr>
          <w:rFonts w:ascii="Arial" w:hAnsi="Arial" w:cs="Arial"/>
          <w:i/>
          <w:iCs/>
        </w:rPr>
        <w:t>Divs</w:t>
      </w:r>
      <w:proofErr w:type="spellEnd"/>
      <w:r w:rsidRPr="003564EF">
        <w:rPr>
          <w:rFonts w:ascii="Arial" w:hAnsi="Arial" w:cs="Arial"/>
          <w:i/>
          <w:iCs/>
        </w:rPr>
        <w:t>. 2J3KL (SFA 7, 6, and southern part of SFA 5) has increased over the last two years, to its highest levels on record.</w:t>
      </w:r>
    </w:p>
    <w:p w14:paraId="773B67EE" w14:textId="30F377AB" w:rsidR="003564EF" w:rsidRPr="003564EF" w:rsidRDefault="003564EF" w:rsidP="008A1273">
      <w:pPr>
        <w:ind w:left="360"/>
        <w:contextualSpacing/>
        <w:rPr>
          <w:rFonts w:ascii="Arial" w:hAnsi="Arial" w:cs="Arial"/>
          <w:i/>
          <w:iCs/>
        </w:rPr>
      </w:pPr>
      <w:commentRangeStart w:id="38"/>
      <w:r w:rsidRPr="003564EF">
        <w:rPr>
          <w:rFonts w:ascii="Arial" w:hAnsi="Arial" w:cs="Arial"/>
          <w:i/>
          <w:iCs/>
        </w:rPr>
        <w:t>Chlorophyll concentration and zooplankton biomass were below normal in the mid-2010s, increasing to values above the long-term (1999-2015) average after 2017. Additionally there have been changes in zooplankton community structure (less large energy-rich, and more small copepods) as well as changes in seasonality (weaker spring and stronger fall zooplankton signals) which may change the quality and timing of food availability for shrimp.</w:t>
      </w:r>
      <w:commentRangeEnd w:id="38"/>
      <w:r w:rsidR="00F45330">
        <w:rPr>
          <w:rStyle w:val="CommentReference"/>
        </w:rPr>
        <w:commentReference w:id="38"/>
      </w:r>
    </w:p>
    <w:p w14:paraId="074298B7" w14:textId="2A7572BD" w:rsidR="003564EF" w:rsidRPr="003564EF" w:rsidRDefault="003564EF" w:rsidP="008A1273">
      <w:pPr>
        <w:ind w:left="360"/>
        <w:contextualSpacing/>
        <w:rPr>
          <w:rFonts w:ascii="Arial" w:hAnsi="Arial" w:cs="Arial"/>
          <w:i/>
          <w:iCs/>
        </w:rPr>
      </w:pPr>
      <w:r w:rsidRPr="003564EF">
        <w:rPr>
          <w:rFonts w:ascii="Arial" w:hAnsi="Arial" w:cs="Arial"/>
          <w:i/>
          <w:iCs/>
        </w:rPr>
        <w:t>Bottom and surface temperatures are important drivers for the development of shrimp eggs and larvae, respectively. These variables have shown similar trends over the last 40 years, with a cold phase in the mid-1980s and 1990s, and a warm period in the late-1990s and early-2010s, but their trends have diverged since 2015. While warmer bottom temperatures led to above average bottom thermal habitat (2-4°C) in 2018 and 2019, colder surface waters since 2015 could have a negative impact on shrimp larval growth and survival.</w:t>
      </w:r>
    </w:p>
    <w:p w14:paraId="76BF7A9F" w14:textId="62FB20F6" w:rsidR="003564EF" w:rsidRDefault="003564EF" w:rsidP="008A1273">
      <w:pPr>
        <w:ind w:left="360"/>
        <w:contextualSpacing/>
        <w:rPr>
          <w:rFonts w:ascii="Arial" w:hAnsi="Arial" w:cs="Arial"/>
          <w:i/>
          <w:iCs/>
        </w:rPr>
      </w:pPr>
      <w:r w:rsidRPr="003564EF">
        <w:rPr>
          <w:rFonts w:ascii="Arial" w:hAnsi="Arial" w:cs="Arial"/>
          <w:i/>
          <w:iCs/>
        </w:rPr>
        <w:t xml:space="preserve">Predation and fishing remain negatively correlated with subsequent shrimp per-capita net production in NAFO </w:t>
      </w:r>
      <w:proofErr w:type="spellStart"/>
      <w:r w:rsidRPr="003564EF">
        <w:rPr>
          <w:rFonts w:ascii="Arial" w:hAnsi="Arial" w:cs="Arial"/>
          <w:i/>
          <w:iCs/>
        </w:rPr>
        <w:t>Divs</w:t>
      </w:r>
      <w:proofErr w:type="spellEnd"/>
      <w:r w:rsidRPr="003564EF">
        <w:rPr>
          <w:rFonts w:ascii="Arial" w:hAnsi="Arial" w:cs="Arial"/>
          <w:i/>
          <w:iCs/>
        </w:rPr>
        <w:t>. 2J3KL (SFA 7, 6, and southern part of SFA 5). The build-up of shrimp until the mid-2000s occurred during a period of favorable environmental conditions and reduced predation. Shrimp per-capita net production has declined since the mid-2000s, and is expected to remain around current low values for the next 2-3 years</w:t>
      </w:r>
      <w:r>
        <w:rPr>
          <w:rFonts w:ascii="Arial" w:hAnsi="Arial" w:cs="Arial"/>
          <w:i/>
          <w:iCs/>
        </w:rPr>
        <w:t>.</w:t>
      </w:r>
    </w:p>
    <w:p w14:paraId="572C722E" w14:textId="770DD738" w:rsidR="003564EF" w:rsidRDefault="003564EF" w:rsidP="008A1273">
      <w:pPr>
        <w:ind w:left="360"/>
        <w:contextualSpacing/>
        <w:rPr>
          <w:rFonts w:ascii="Arial" w:hAnsi="Arial" w:cs="Arial"/>
          <w:i/>
          <w:iCs/>
        </w:rPr>
      </w:pPr>
      <w:r w:rsidRPr="003564EF">
        <w:rPr>
          <w:rFonts w:ascii="Arial" w:hAnsi="Arial" w:cs="Arial"/>
          <w:i/>
          <w:iCs/>
        </w:rPr>
        <w:t xml:space="preserve">Under current ecosystem conditions (i.e. low shrimp biomass, high predation pressure), fishing at the current exploitation rate is unlikely to be a dominant driver for shrimp in NAFO </w:t>
      </w:r>
      <w:proofErr w:type="spellStart"/>
      <w:r w:rsidRPr="003564EF">
        <w:rPr>
          <w:rFonts w:ascii="Arial" w:hAnsi="Arial" w:cs="Arial"/>
          <w:i/>
          <w:iCs/>
        </w:rPr>
        <w:t>Divs</w:t>
      </w:r>
      <w:proofErr w:type="spellEnd"/>
      <w:r w:rsidRPr="003564EF">
        <w:rPr>
          <w:rFonts w:ascii="Arial" w:hAnsi="Arial" w:cs="Arial"/>
          <w:i/>
          <w:iCs/>
        </w:rPr>
        <w:t>. 2J3KL (SFA 7, 6, and southern part of SFA 5), but it could now be more influential on stock declines than it may have been in the past</w:t>
      </w:r>
      <w:r>
        <w:rPr>
          <w:rFonts w:ascii="Arial" w:hAnsi="Arial" w:cs="Arial"/>
          <w:i/>
          <w:iCs/>
        </w:rPr>
        <w:t>.</w:t>
      </w:r>
    </w:p>
    <w:p w14:paraId="69067DBF" w14:textId="3912F2B6" w:rsidR="003564EF" w:rsidRDefault="003564EF" w:rsidP="008A1273">
      <w:pPr>
        <w:ind w:left="360"/>
        <w:contextualSpacing/>
        <w:rPr>
          <w:rFonts w:ascii="Arial" w:hAnsi="Arial" w:cs="Arial"/>
          <w:i/>
          <w:iCs/>
        </w:rPr>
      </w:pPr>
    </w:p>
    <w:p w14:paraId="26F6004B" w14:textId="7A77EA58" w:rsidR="003564EF" w:rsidRDefault="003564EF" w:rsidP="008A1273">
      <w:pPr>
        <w:ind w:left="360"/>
        <w:contextualSpacing/>
        <w:rPr>
          <w:rFonts w:ascii="Arial" w:hAnsi="Arial" w:cs="Arial"/>
          <w:i/>
          <w:iCs/>
        </w:rPr>
      </w:pPr>
      <w:r>
        <w:rPr>
          <w:rFonts w:ascii="Arial" w:hAnsi="Arial" w:cs="Arial"/>
          <w:i/>
          <w:iCs/>
        </w:rPr>
        <w:t>Example 5</w:t>
      </w:r>
      <w:r w:rsidR="00455456">
        <w:rPr>
          <w:rFonts w:ascii="Arial" w:hAnsi="Arial" w:cs="Arial"/>
          <w:i/>
          <w:iCs/>
        </w:rPr>
        <w:t>:</w:t>
      </w:r>
    </w:p>
    <w:p w14:paraId="656628CE" w14:textId="40CD3993" w:rsidR="00455456" w:rsidRDefault="00455456" w:rsidP="008A1273">
      <w:pPr>
        <w:ind w:left="360"/>
        <w:contextualSpacing/>
        <w:rPr>
          <w:rFonts w:ascii="Arial" w:hAnsi="Arial" w:cs="Arial"/>
          <w:i/>
          <w:iCs/>
        </w:rPr>
      </w:pPr>
      <w:r w:rsidRPr="00455456">
        <w:rPr>
          <w:rFonts w:ascii="Arial" w:hAnsi="Arial" w:cs="Arial"/>
          <w:i/>
          <w:iCs/>
        </w:rPr>
        <w:t xml:space="preserve">The Newfoundland and Labrador climate experiences important fluctuations at </w:t>
      </w:r>
      <w:commentRangeStart w:id="39"/>
      <w:r w:rsidRPr="00455456">
        <w:rPr>
          <w:rFonts w:ascii="Arial" w:hAnsi="Arial" w:cs="Arial"/>
          <w:i/>
          <w:iCs/>
        </w:rPr>
        <w:t>decadal</w:t>
      </w:r>
      <w:commentRangeEnd w:id="39"/>
      <w:r>
        <w:rPr>
          <w:rStyle w:val="CommentReference"/>
        </w:rPr>
        <w:commentReference w:id="39"/>
      </w:r>
      <w:r w:rsidRPr="00455456">
        <w:rPr>
          <w:rFonts w:ascii="Arial" w:hAnsi="Arial" w:cs="Arial"/>
          <w:i/>
          <w:iCs/>
        </w:rPr>
        <w:t xml:space="preserve"> time scales, with potential impacts on ecosystem productivity. The Capelin collapse in 1990-91 and the recent declines (2015-17) were associated with cold periods, while the modest increases between the mid-2000s to mid-2010s were observed in generally warm periods. A modest increase in Capelin was observed (2013-15) in the warmer-than-average 2000s. This increase, however, was short-lived and followed by a colder period and return to low levels of Capelin. Since 2018, a warming trend has been observed……..(so….)</w:t>
      </w:r>
    </w:p>
    <w:p w14:paraId="1C268A8E" w14:textId="5280AED3" w:rsidR="00455456" w:rsidRDefault="00455456" w:rsidP="008A1273">
      <w:pPr>
        <w:ind w:left="360"/>
        <w:contextualSpacing/>
        <w:rPr>
          <w:rFonts w:ascii="Arial" w:hAnsi="Arial" w:cs="Arial"/>
          <w:i/>
          <w:iCs/>
        </w:rPr>
      </w:pPr>
      <w:r w:rsidRPr="00455456">
        <w:rPr>
          <w:rFonts w:ascii="Arial" w:hAnsi="Arial" w:cs="Arial"/>
          <w:i/>
          <w:iCs/>
        </w:rPr>
        <w:t>Higher nitrate inventories since approximately 2015 have resulted in improved primary (chlorophyll) and secondary (zooplankton biomass) production indices over the past four to five years. Ongoing changes in zooplankton seasonality and community structure (fewer large, energy-rich calanoids and more small copepods) may impact Capelin recovery. Increased summer and fall zooplankton biomass since 2016 may have contributed to the recent improvement of the fall adult Capelin condition index. However, Capelin larval productivity has remained low since 2014 despite an increase in abundance of a preferred prey (</w:t>
      </w:r>
      <w:proofErr w:type="spellStart"/>
      <w:r w:rsidRPr="00455456">
        <w:rPr>
          <w:rFonts w:ascii="Arial" w:hAnsi="Arial" w:cs="Arial"/>
          <w:i/>
          <w:iCs/>
        </w:rPr>
        <w:t>Pseudocalanus</w:t>
      </w:r>
      <w:proofErr w:type="spellEnd"/>
      <w:r w:rsidRPr="00455456">
        <w:rPr>
          <w:rFonts w:ascii="Arial" w:hAnsi="Arial" w:cs="Arial"/>
          <w:i/>
          <w:iCs/>
        </w:rPr>
        <w:t>) over the same period.</w:t>
      </w:r>
    </w:p>
    <w:p w14:paraId="2DBFB444" w14:textId="2E73567E" w:rsidR="00F45330" w:rsidRDefault="00F45330" w:rsidP="008A1273">
      <w:pPr>
        <w:ind w:left="360"/>
        <w:contextualSpacing/>
        <w:rPr>
          <w:rFonts w:ascii="Arial" w:hAnsi="Arial" w:cs="Arial"/>
          <w:i/>
          <w:iCs/>
        </w:rPr>
      </w:pPr>
    </w:p>
    <w:p w14:paraId="71F78525" w14:textId="05D65A3D" w:rsidR="008A1273" w:rsidRDefault="008A1273" w:rsidP="00DF6FB4">
      <w:pPr>
        <w:rPr>
          <w:rFonts w:ascii="Arial" w:hAnsi="Arial" w:cs="Arial"/>
        </w:rPr>
      </w:pPr>
      <w:bookmarkStart w:id="40" w:name="_Hlk124420395"/>
      <w:r w:rsidRPr="00D80F24">
        <w:rPr>
          <w:rFonts w:ascii="Arial" w:hAnsi="Arial" w:cs="Arial"/>
          <w:b/>
          <w:bCs/>
        </w:rPr>
        <w:t>Not Used</w:t>
      </w:r>
      <w:r>
        <w:rPr>
          <w:rFonts w:ascii="Arial" w:hAnsi="Arial" w:cs="Arial"/>
        </w:rPr>
        <w:t>- There was no consideration of the environmental considerations affecting stock status.</w:t>
      </w:r>
    </w:p>
    <w:bookmarkEnd w:id="40"/>
    <w:p w14:paraId="74DF064F" w14:textId="2C75C7CA" w:rsidR="00045C37" w:rsidRPr="00964142" w:rsidRDefault="00EE0828" w:rsidP="00964142">
      <w:pPr>
        <w:ind w:left="360"/>
        <w:contextualSpacing/>
        <w:rPr>
          <w:rFonts w:ascii="Arial" w:hAnsi="Arial" w:cs="Arial"/>
        </w:rPr>
      </w:pPr>
      <w:r>
        <w:rPr>
          <w:rFonts w:ascii="Arial" w:hAnsi="Arial" w:cs="Arial"/>
        </w:rPr>
        <w:lastRenderedPageBreak/>
        <w:t>Example 4</w:t>
      </w:r>
      <w:r w:rsidR="00A63FBF" w:rsidRPr="00F46C3D">
        <w:rPr>
          <w:rFonts w:ascii="Arial" w:hAnsi="Arial" w:cs="Arial"/>
        </w:rPr>
        <w:t xml:space="preserve"> - If environmental variables were unknown: </w:t>
      </w:r>
      <w:r w:rsidR="001D3CB6" w:rsidRPr="00F46C3D">
        <w:rPr>
          <w:rFonts w:ascii="Arial" w:hAnsi="Arial" w:cs="Arial"/>
          <w:i/>
          <w:iCs/>
        </w:rPr>
        <w:t>T</w:t>
      </w:r>
      <w:r w:rsidR="00A63FBF" w:rsidRPr="00F46C3D">
        <w:rPr>
          <w:rFonts w:ascii="Arial" w:hAnsi="Arial" w:cs="Arial"/>
          <w:i/>
          <w:iCs/>
        </w:rPr>
        <w:t xml:space="preserve">he environmental conditions affecting the stock are currently </w:t>
      </w:r>
      <w:r w:rsidR="00A63FBF" w:rsidRPr="003564EF">
        <w:rPr>
          <w:rFonts w:ascii="Arial" w:hAnsi="Arial" w:cs="Arial"/>
          <w:b/>
          <w:bCs/>
          <w:i/>
          <w:iCs/>
        </w:rPr>
        <w:t>unknown</w:t>
      </w:r>
      <w:r w:rsidR="00A63FBF" w:rsidRPr="00F46C3D">
        <w:rPr>
          <w:rFonts w:ascii="Arial" w:hAnsi="Arial" w:cs="Arial"/>
          <w:i/>
          <w:iCs/>
        </w:rPr>
        <w:t>. Recent work has identified new information on the relationships between the biology of the fish (growth rates and age at maturation) and the environmental conditions (habitat and temperature). It is DFO’s intent to use this new information in the 2020 Framework Assessment to better inform DFO Science advice and the development of harvest strategies.</w:t>
      </w:r>
    </w:p>
    <w:bookmarkEnd w:id="32"/>
    <w:p w14:paraId="08C4D52F" w14:textId="77777777" w:rsidR="00045C37" w:rsidRPr="00F46C3D" w:rsidRDefault="00045C37" w:rsidP="00045C37">
      <w:pPr>
        <w:contextualSpacing/>
        <w:rPr>
          <w:rFonts w:ascii="Arial" w:hAnsi="Arial" w:cs="Arial"/>
          <w:i/>
        </w:rPr>
      </w:pPr>
    </w:p>
    <w:p w14:paraId="134848B0" w14:textId="228E78E3" w:rsidR="00516A74" w:rsidRPr="00F46C3D" w:rsidRDefault="00E95E11" w:rsidP="00045C37">
      <w:pPr>
        <w:contextualSpacing/>
        <w:rPr>
          <w:rFonts w:ascii="Arial" w:hAnsi="Arial" w:cs="Arial"/>
        </w:rPr>
      </w:pPr>
      <w:r>
        <w:rPr>
          <w:rStyle w:val="Style1Char"/>
          <w:rFonts w:eastAsiaTheme="minorHAnsi" w:cs="Arial"/>
        </w:rPr>
        <w:t>Sources of Uncertainty</w:t>
      </w:r>
      <w:r w:rsidR="00DF6FB4" w:rsidRPr="00F46C3D">
        <w:rPr>
          <w:rStyle w:val="Style1Char"/>
          <w:rFonts w:eastAsiaTheme="minorHAnsi" w:cs="Arial"/>
        </w:rPr>
        <w:t>:</w:t>
      </w:r>
      <w:r w:rsidR="00516A74" w:rsidRPr="00F46C3D">
        <w:rPr>
          <w:rFonts w:ascii="Arial" w:hAnsi="Arial" w:cs="Arial"/>
        </w:rPr>
        <w:t xml:space="preserve"> </w:t>
      </w:r>
      <w:bookmarkStart w:id="41" w:name="_Hlk124420423"/>
      <w:r w:rsidR="00516A74" w:rsidRPr="00F46C3D">
        <w:rPr>
          <w:rFonts w:ascii="Arial" w:hAnsi="Arial" w:cs="Arial"/>
        </w:rPr>
        <w:t xml:space="preserve">necessary explanations to avoid misinterpretation of information presented in the sections above. </w:t>
      </w:r>
      <w:r w:rsidR="005E2E95">
        <w:rPr>
          <w:rFonts w:ascii="Arial" w:hAnsi="Arial" w:cs="Arial"/>
        </w:rPr>
        <w:t xml:space="preserve">Key uncertainties and assumptions in stock status indicators, LRPs and stock status should be documented and communicated. </w:t>
      </w:r>
    </w:p>
    <w:bookmarkEnd w:id="41"/>
    <w:p w14:paraId="325107EA" w14:textId="77777777" w:rsidR="009A7A3E" w:rsidRDefault="009A7A3E">
      <w:pPr>
        <w:rPr>
          <w:rFonts w:ascii="Arial" w:hAnsi="Arial" w:cs="Arial"/>
        </w:rPr>
      </w:pPr>
    </w:p>
    <w:p w14:paraId="69A96CEE" w14:textId="77777777" w:rsidR="009A7A3E" w:rsidRPr="00792A6D" w:rsidRDefault="009A7A3E" w:rsidP="009A7A3E">
      <w:pPr>
        <w:contextualSpacing/>
        <w:rPr>
          <w:rFonts w:ascii="Arial" w:hAnsi="Arial" w:cs="Arial"/>
          <w:b/>
          <w:bCs/>
        </w:rPr>
      </w:pPr>
      <w:r w:rsidRPr="00792A6D">
        <w:rPr>
          <w:rFonts w:ascii="Arial" w:hAnsi="Arial" w:cs="Arial"/>
          <w:b/>
          <w:bCs/>
        </w:rPr>
        <w:t xml:space="preserve">Indigenous </w:t>
      </w:r>
      <w:commentRangeStart w:id="42"/>
      <w:r w:rsidRPr="00792A6D">
        <w:rPr>
          <w:rFonts w:ascii="Arial" w:hAnsi="Arial" w:cs="Arial"/>
          <w:b/>
          <w:bCs/>
          <w:highlight w:val="yellow"/>
        </w:rPr>
        <w:t>Perspectives</w:t>
      </w:r>
      <w:commentRangeEnd w:id="42"/>
      <w:r w:rsidR="00C06DA3">
        <w:rPr>
          <w:rStyle w:val="CommentReference"/>
        </w:rPr>
        <w:commentReference w:id="42"/>
      </w:r>
    </w:p>
    <w:p w14:paraId="6EE3234E" w14:textId="2891B009" w:rsidR="009E46B1" w:rsidRPr="00F46C3D" w:rsidRDefault="009E46B1" w:rsidP="00045C37">
      <w:pPr>
        <w:contextualSpacing/>
        <w:rPr>
          <w:rFonts w:ascii="Arial" w:hAnsi="Arial" w:cs="Arial"/>
          <w:b/>
          <w:bCs/>
        </w:rPr>
      </w:pPr>
      <w:r w:rsidRPr="00F46C3D">
        <w:rPr>
          <w:rFonts w:ascii="Arial" w:hAnsi="Arial" w:cs="Arial"/>
          <w:b/>
          <w:bCs/>
        </w:rPr>
        <w:t xml:space="preserve">(Optional Sections) – </w:t>
      </w:r>
      <w:r w:rsidRPr="00F46C3D">
        <w:rPr>
          <w:rFonts w:ascii="Arial" w:hAnsi="Arial" w:cs="Arial"/>
        </w:rPr>
        <w:t>to turn on or off if you have this information</w:t>
      </w:r>
      <w:r w:rsidRPr="00F46C3D">
        <w:rPr>
          <w:rFonts w:ascii="Arial" w:hAnsi="Arial" w:cs="Arial"/>
          <w:b/>
          <w:bCs/>
        </w:rPr>
        <w:t xml:space="preserve"> </w:t>
      </w:r>
    </w:p>
    <w:p w14:paraId="2F741237" w14:textId="12EB99E1" w:rsidR="009E46B1" w:rsidRPr="00F46C3D" w:rsidRDefault="009E46B1" w:rsidP="00045C37">
      <w:pPr>
        <w:contextualSpacing/>
        <w:rPr>
          <w:rFonts w:ascii="Arial" w:hAnsi="Arial" w:cs="Arial"/>
        </w:rPr>
      </w:pPr>
    </w:p>
    <w:p w14:paraId="63A6792D" w14:textId="365D8A8C" w:rsidR="009E46B1" w:rsidRPr="00467A50" w:rsidRDefault="009E46B1" w:rsidP="00045C37">
      <w:pPr>
        <w:contextualSpacing/>
        <w:rPr>
          <w:rFonts w:ascii="Arial" w:hAnsi="Arial" w:cs="Arial"/>
          <w:b/>
          <w:bCs/>
        </w:rPr>
      </w:pPr>
      <w:r w:rsidRPr="00467A50">
        <w:rPr>
          <w:rFonts w:ascii="Arial" w:hAnsi="Arial" w:cs="Arial"/>
          <w:b/>
          <w:bCs/>
        </w:rPr>
        <w:t>Bycatch</w:t>
      </w:r>
    </w:p>
    <w:p w14:paraId="3D98EF95" w14:textId="76D9EAC9" w:rsidR="00467A50" w:rsidRPr="00467A50" w:rsidRDefault="00467A50" w:rsidP="00045C37">
      <w:pPr>
        <w:contextualSpacing/>
        <w:rPr>
          <w:rFonts w:ascii="Arial" w:hAnsi="Arial" w:cs="Arial"/>
          <w:b/>
          <w:bCs/>
        </w:rPr>
      </w:pPr>
      <w:r w:rsidRPr="00467A50">
        <w:rPr>
          <w:rFonts w:ascii="Arial" w:hAnsi="Arial" w:cs="Arial"/>
          <w:b/>
          <w:bCs/>
        </w:rPr>
        <w:t>Procedure for Interim Year Updates</w:t>
      </w:r>
      <w:r>
        <w:rPr>
          <w:rFonts w:ascii="Arial" w:hAnsi="Arial" w:cs="Arial"/>
          <w:b/>
          <w:bCs/>
        </w:rPr>
        <w:t xml:space="preserve"> – if process if being set for the first time otherwise it will go in the Stock Overview Document</w:t>
      </w:r>
    </w:p>
    <w:p w14:paraId="0ADAA17F" w14:textId="007229DB" w:rsidR="006B4CBC" w:rsidRPr="00467A50" w:rsidRDefault="006B4CBC" w:rsidP="00045C37">
      <w:pPr>
        <w:contextualSpacing/>
        <w:rPr>
          <w:rFonts w:ascii="Arial" w:hAnsi="Arial" w:cs="Arial"/>
          <w:b/>
          <w:bCs/>
        </w:rPr>
      </w:pPr>
    </w:p>
    <w:p w14:paraId="5C7B37E0" w14:textId="5A6B0354" w:rsidR="006B4CBC" w:rsidRDefault="006B4CBC" w:rsidP="00045C37">
      <w:pPr>
        <w:contextualSpacing/>
        <w:rPr>
          <w:rFonts w:ascii="Arial" w:hAnsi="Arial" w:cs="Arial"/>
        </w:rPr>
      </w:pPr>
      <w:r>
        <w:rPr>
          <w:rFonts w:ascii="Arial" w:hAnsi="Arial" w:cs="Arial"/>
        </w:rPr>
        <w:t>PA Reference</w:t>
      </w:r>
    </w:p>
    <w:p w14:paraId="36BC6A2F" w14:textId="7670B275" w:rsidR="006B4CBC" w:rsidRPr="006B4CBC" w:rsidRDefault="006B4CBC" w:rsidP="00045C37">
      <w:pPr>
        <w:contextualSpacing/>
        <w:rPr>
          <w:rFonts w:ascii="Arial" w:hAnsi="Arial" w:cs="Arial"/>
          <w:b/>
          <w:bCs/>
          <w:lang w:val="fr-CA"/>
        </w:rPr>
      </w:pPr>
      <w:r w:rsidRPr="006B4CBC">
        <w:rPr>
          <w:rFonts w:ascii="Arial" w:hAnsi="Arial" w:cs="Arial"/>
        </w:rPr>
        <w:t xml:space="preserve">DFO. 2016. Guidelines for providing interim-year updates and science advice for multi-year assessments. DFO Can. Sci. </w:t>
      </w:r>
      <w:proofErr w:type="spellStart"/>
      <w:r w:rsidRPr="006B4CBC">
        <w:rPr>
          <w:rFonts w:ascii="Arial" w:hAnsi="Arial" w:cs="Arial"/>
        </w:rPr>
        <w:t>Advis</w:t>
      </w:r>
      <w:proofErr w:type="spellEnd"/>
      <w:r w:rsidRPr="006B4CBC">
        <w:rPr>
          <w:rFonts w:ascii="Arial" w:hAnsi="Arial" w:cs="Arial"/>
        </w:rPr>
        <w:t xml:space="preserve">. Sec. Sci. </w:t>
      </w:r>
      <w:proofErr w:type="spellStart"/>
      <w:r w:rsidRPr="006B4CBC">
        <w:rPr>
          <w:rFonts w:ascii="Arial" w:hAnsi="Arial" w:cs="Arial"/>
        </w:rPr>
        <w:t>Advis</w:t>
      </w:r>
      <w:proofErr w:type="spellEnd"/>
      <w:r w:rsidRPr="006B4CBC">
        <w:rPr>
          <w:rFonts w:ascii="Arial" w:hAnsi="Arial" w:cs="Arial"/>
        </w:rPr>
        <w:t>. Rep. 2016/020</w:t>
      </w:r>
    </w:p>
    <w:sectPr w:rsidR="006B4CBC" w:rsidRPr="006B4CB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reenlaw, Michelle" w:date="2023-01-17T09:51:00Z" w:initials="GM">
    <w:p w14:paraId="4E321E98" w14:textId="4C4A2A67" w:rsidR="00653FDF" w:rsidRDefault="00653FDF">
      <w:pPr>
        <w:pStyle w:val="CommentText"/>
      </w:pPr>
      <w:r>
        <w:rPr>
          <w:rStyle w:val="CommentReference"/>
        </w:rPr>
        <w:annotationRef/>
      </w:r>
      <w:r>
        <w:t>Other requested advice; e.g., pertaining to fishery monitoring or other management measures…this won’t go here……will have to be in a separate document</w:t>
      </w:r>
    </w:p>
  </w:comment>
  <w:comment w:id="3" w:author="Marentette, Julie" w:date="2023-01-16T15:44:00Z" w:initials="MJ">
    <w:p w14:paraId="2EA3127D" w14:textId="77777777" w:rsidR="00BC58BE" w:rsidRDefault="00BC58BE" w:rsidP="00BC58BE">
      <w:pPr>
        <w:pStyle w:val="CommentText"/>
      </w:pPr>
      <w:r>
        <w:rPr>
          <w:rStyle w:val="CommentReference"/>
        </w:rPr>
        <w:annotationRef/>
      </w:r>
      <w:r>
        <w:t xml:space="preserve">Adapted from </w:t>
      </w:r>
      <w:hyperlink r:id="rId1" w:history="1">
        <w:r w:rsidRPr="00436A11">
          <w:rPr>
            <w:rStyle w:val="Hyperlink"/>
          </w:rPr>
          <w:t>https://www.dfo-mpo.gc.ca/csas-sccs/Publications/SAR-AS/2020/2020_024-eng.html</w:t>
        </w:r>
      </w:hyperlink>
      <w:r>
        <w:t xml:space="preserve"> </w:t>
      </w:r>
    </w:p>
  </w:comment>
  <w:comment w:id="6" w:author="Greenlaw, Michelle" w:date="2023-01-17T13:24:00Z" w:initials="GM">
    <w:p w14:paraId="62E64A7C" w14:textId="33A1426E" w:rsidR="00FC4351" w:rsidRDefault="00FC4351">
      <w:pPr>
        <w:pStyle w:val="CommentText"/>
      </w:pPr>
      <w:r>
        <w:rPr>
          <w:rStyle w:val="CommentReference"/>
        </w:rPr>
        <w:annotationRef/>
      </w:r>
      <w:r>
        <w:t xml:space="preserve">Technical Report from Dan </w:t>
      </w:r>
      <w:proofErr w:type="spellStart"/>
      <w:r>
        <w:t>Duplissea</w:t>
      </w:r>
      <w:proofErr w:type="spellEnd"/>
    </w:p>
  </w:comment>
  <w:comment w:id="16" w:author="Greenlaw, Michelle" w:date="2023-01-17T13:44:00Z" w:initials="GM">
    <w:p w14:paraId="4FD9E01B" w14:textId="2EC8A1F9" w:rsidR="00C82287" w:rsidRPr="00D25DE4" w:rsidRDefault="00C82287" w:rsidP="00C82287">
      <w:pPr>
        <w:pStyle w:val="Default"/>
        <w:rPr>
          <w:rFonts w:ascii="Calibri" w:hAnsi="Calibri" w:cs="Calibri"/>
          <w:sz w:val="20"/>
          <w:szCs w:val="20"/>
        </w:rPr>
      </w:pPr>
      <w:r>
        <w:rPr>
          <w:rStyle w:val="CommentReference"/>
        </w:rPr>
        <w:annotationRef/>
      </w:r>
      <w:r>
        <w:rPr>
          <w:rFonts w:ascii="Calibri" w:hAnsi="Calibri" w:cs="Calibri"/>
          <w:sz w:val="20"/>
          <w:szCs w:val="20"/>
        </w:rPr>
        <w:t xml:space="preserve">Could add this here too: </w:t>
      </w:r>
      <w:r>
        <w:rPr>
          <w:rFonts w:ascii="Calibri" w:hAnsi="Calibri" w:cs="Calibri"/>
          <w:sz w:val="20"/>
          <w:szCs w:val="20"/>
        </w:rPr>
        <w:br/>
        <w:t xml:space="preserve">Data Changes: </w:t>
      </w:r>
      <w:r w:rsidRPr="00D25DE4">
        <w:rPr>
          <w:rFonts w:ascii="Calibri" w:hAnsi="Calibri" w:cs="Calibri"/>
          <w:sz w:val="20"/>
          <w:szCs w:val="20"/>
        </w:rPr>
        <w:t xml:space="preserve">Please keep this section short, concise and only include relevant text e.g.: </w:t>
      </w:r>
    </w:p>
    <w:p w14:paraId="74774E43" w14:textId="77777777" w:rsidR="00C82287" w:rsidRPr="00D25DE4" w:rsidRDefault="00C82287" w:rsidP="00C82287">
      <w:pPr>
        <w:autoSpaceDE w:val="0"/>
        <w:autoSpaceDN w:val="0"/>
        <w:adjustRightInd w:val="0"/>
        <w:spacing w:after="25" w:line="240" w:lineRule="auto"/>
        <w:rPr>
          <w:rFonts w:ascii="Calibri" w:hAnsi="Calibri" w:cs="Calibri"/>
          <w:color w:val="000000"/>
          <w:sz w:val="20"/>
          <w:szCs w:val="20"/>
        </w:rPr>
      </w:pPr>
    </w:p>
    <w:p w14:paraId="14615BB7" w14:textId="6D84EED5" w:rsidR="00C82287" w:rsidRPr="00C82287" w:rsidRDefault="00C82287" w:rsidP="006711E5">
      <w:pPr>
        <w:numPr>
          <w:ilvl w:val="0"/>
          <w:numId w:val="33"/>
        </w:numPr>
        <w:autoSpaceDE w:val="0"/>
        <w:autoSpaceDN w:val="0"/>
        <w:adjustRightInd w:val="0"/>
        <w:spacing w:after="0" w:line="240" w:lineRule="auto"/>
      </w:pPr>
      <w:r w:rsidRPr="00C82287">
        <w:rPr>
          <w:rFonts w:ascii="Calibri" w:hAnsi="Calibri" w:cs="Calibri"/>
          <w:color w:val="000000"/>
          <w:sz w:val="20"/>
          <w:szCs w:val="20"/>
        </w:rPr>
        <w:t xml:space="preserve">• Descriptions of any other change in the data or assessment set up relative to last year not done through a benchmark </w:t>
      </w:r>
    </w:p>
    <w:p w14:paraId="1FCB5020" w14:textId="09727B12" w:rsidR="00C82287" w:rsidRDefault="00C82287" w:rsidP="006711E5">
      <w:pPr>
        <w:numPr>
          <w:ilvl w:val="0"/>
          <w:numId w:val="33"/>
        </w:numPr>
        <w:autoSpaceDE w:val="0"/>
        <w:autoSpaceDN w:val="0"/>
        <w:adjustRightInd w:val="0"/>
        <w:spacing w:after="0" w:line="240" w:lineRule="auto"/>
      </w:pPr>
      <w:r>
        <w:rPr>
          <w:rFonts w:ascii="Calibri" w:hAnsi="Calibri" w:cs="Calibri"/>
          <w:color w:val="000000"/>
          <w:sz w:val="20"/>
          <w:szCs w:val="20"/>
        </w:rPr>
        <w:t>Longer descriptions of processing changes should go in a research document, if figures are involved or analysis was completed</w:t>
      </w:r>
    </w:p>
    <w:p w14:paraId="7C11FCA7" w14:textId="76082F07" w:rsidR="00C82287" w:rsidRDefault="00C82287">
      <w:pPr>
        <w:pStyle w:val="CommentText"/>
      </w:pPr>
    </w:p>
  </w:comment>
  <w:comment w:id="19" w:author="Greenlaw, Michelle" w:date="2023-01-17T13:48:00Z" w:initials="GM">
    <w:p w14:paraId="24220FFD" w14:textId="2035C152" w:rsidR="005E2E95" w:rsidRDefault="005E2E95">
      <w:pPr>
        <w:pStyle w:val="CommentText"/>
      </w:pPr>
      <w:r>
        <w:rPr>
          <w:rStyle w:val="CommentReference"/>
        </w:rPr>
        <w:annotationRef/>
      </w:r>
      <w:r>
        <w:t>Julie: Where did this recommendation come from, are we recommending against error bars</w:t>
      </w:r>
    </w:p>
  </w:comment>
  <w:comment w:id="20" w:author="Greenlaw, Michelle" w:date="2023-01-17T13:48:00Z" w:initials="GM">
    <w:p w14:paraId="1F7BE9B7" w14:textId="3FCE414A" w:rsidR="005E2E95" w:rsidRDefault="005E2E95">
      <w:pPr>
        <w:pStyle w:val="CommentText"/>
      </w:pPr>
      <w:r>
        <w:rPr>
          <w:rStyle w:val="CommentReference"/>
        </w:rPr>
        <w:annotationRef/>
      </w:r>
      <w:proofErr w:type="spellStart"/>
      <w:r>
        <w:t>Updae</w:t>
      </w:r>
      <w:proofErr w:type="spellEnd"/>
      <w:r>
        <w:t xml:space="preserve"> with font size recommendations from CSAS SAR Template</w:t>
      </w:r>
    </w:p>
  </w:comment>
  <w:comment w:id="21" w:author="Greenlaw, Michelle" w:date="2023-01-17T13:48:00Z" w:initials="GM">
    <w:p w14:paraId="05B91E38" w14:textId="1CB68A21" w:rsidR="005E2E95" w:rsidRDefault="005E2E95">
      <w:pPr>
        <w:pStyle w:val="CommentText"/>
      </w:pPr>
      <w:r>
        <w:rPr>
          <w:rStyle w:val="CommentReference"/>
        </w:rPr>
        <w:annotationRef/>
      </w:r>
      <w:r>
        <w:t>Standardized Graph Templates being developed in collaboration with Dan Richard in Gulf Region</w:t>
      </w:r>
    </w:p>
  </w:comment>
  <w:comment w:id="22" w:author="Greenlaw, Michelle" w:date="2023-01-11T15:43:00Z" w:initials="GM">
    <w:p w14:paraId="59F55631" w14:textId="77777777" w:rsidR="003D5D18" w:rsidRDefault="003D5D18" w:rsidP="003D5D18">
      <w:pPr>
        <w:pStyle w:val="CommentText"/>
      </w:pPr>
      <w:r>
        <w:rPr>
          <w:rStyle w:val="CommentReference"/>
        </w:rPr>
        <w:annotationRef/>
      </w:r>
      <w:r>
        <w:t>Figure template being developed in collaboration with Gulf Region/ Dan Ricard</w:t>
      </w:r>
    </w:p>
  </w:comment>
  <w:comment w:id="23" w:author="Greenlaw, Michelle" w:date="2023-01-13T14:57:00Z" w:initials="GM">
    <w:p w14:paraId="7C768752" w14:textId="4EAAD291" w:rsidR="00792A6D" w:rsidRDefault="00792A6D">
      <w:pPr>
        <w:pStyle w:val="CommentText"/>
      </w:pPr>
      <w:r>
        <w:rPr>
          <w:rStyle w:val="CommentReference"/>
        </w:rPr>
        <w:annotationRef/>
      </w:r>
      <w:r>
        <w:t>Include the caption</w:t>
      </w:r>
    </w:p>
  </w:comment>
  <w:comment w:id="25" w:author="Greenlaw, Michelle" w:date="2022-11-14T17:23:00Z" w:initials="GM">
    <w:p w14:paraId="33F88B70" w14:textId="77777777" w:rsidR="003D5D18" w:rsidRDefault="003D5D18" w:rsidP="003D5D18">
      <w:pPr>
        <w:pStyle w:val="CommentText"/>
      </w:pPr>
      <w:r>
        <w:rPr>
          <w:rStyle w:val="CommentReference"/>
        </w:rPr>
        <w:annotationRef/>
      </w:r>
      <w:bookmarkStart w:id="26" w:name="_Hlk119395010"/>
      <w:r>
        <w:t>Add another 4 panel of indicators here, for comparison between model outputs and indicator outputs, and specific for indicator only assessments</w:t>
      </w:r>
      <w:bookmarkEnd w:id="26"/>
    </w:p>
  </w:comment>
  <w:comment w:id="34" w:author="Greenlaw, Michelle" w:date="2023-01-12T08:49:00Z" w:initials="GM">
    <w:p w14:paraId="06D18BC2" w14:textId="5194809B" w:rsidR="004C7566" w:rsidRDefault="004C7566">
      <w:pPr>
        <w:pStyle w:val="CommentText"/>
      </w:pPr>
      <w:r>
        <w:rPr>
          <w:rStyle w:val="CommentReference"/>
        </w:rPr>
        <w:annotationRef/>
      </w:r>
      <w:r>
        <w:t xml:space="preserve">Should we be incorporating qualitative </w:t>
      </w:r>
      <w:r w:rsidR="00453D1F">
        <w:t>approaches.</w:t>
      </w:r>
      <w:r w:rsidR="00453D1F">
        <w:br/>
        <w:t xml:space="preserve">Pierre to come up with example of biomass survey. And gulf shrimp from Dan </w:t>
      </w:r>
      <w:proofErr w:type="spellStart"/>
      <w:r w:rsidR="00453D1F">
        <w:t>Duplissea</w:t>
      </w:r>
      <w:proofErr w:type="spellEnd"/>
      <w:r w:rsidR="00453D1F">
        <w:t xml:space="preserve">. </w:t>
      </w:r>
    </w:p>
  </w:comment>
  <w:comment w:id="35" w:author="Greenlaw, Michelle" w:date="2023-01-16T14:12:00Z" w:initials="GM">
    <w:p w14:paraId="2D7366D1" w14:textId="77777777" w:rsidR="00120570" w:rsidRDefault="00F87926" w:rsidP="00120570">
      <w:pPr>
        <w:rPr>
          <w:sz w:val="20"/>
          <w:szCs w:val="20"/>
        </w:rPr>
      </w:pPr>
      <w:r>
        <w:rPr>
          <w:rStyle w:val="CommentReference"/>
        </w:rPr>
        <w:annotationRef/>
      </w:r>
      <w:r>
        <w:t xml:space="preserve">Should we include qualitative: </w:t>
      </w:r>
      <w:r w:rsidR="00120570">
        <w:br/>
      </w:r>
      <w:r w:rsidR="00120570">
        <w:rPr>
          <w:sz w:val="20"/>
          <w:szCs w:val="20"/>
        </w:rPr>
        <w:t xml:space="preserve">Capelin and </w:t>
      </w:r>
      <w:proofErr w:type="spellStart"/>
      <w:r w:rsidR="00120570">
        <w:rPr>
          <w:sz w:val="20"/>
          <w:szCs w:val="20"/>
        </w:rPr>
        <w:t>sandlance</w:t>
      </w:r>
      <w:proofErr w:type="spellEnd"/>
      <w:r w:rsidR="00120570">
        <w:rPr>
          <w:sz w:val="20"/>
          <w:szCs w:val="20"/>
        </w:rPr>
        <w:t xml:space="preserve"> as well as other fish and invertebrates are important prey items for American plaice. There has been a decrease in age at 50% maturity over time, possibly brought about by some interaction between fishing pressure and environmental/ecosystem changes. The Grand Bank (3LNO) Ecosystem Production Unit is currently experiencing low productivity conditions and biomass has declined across multiple trophic levels and stocks since 2014.</w:t>
      </w:r>
    </w:p>
    <w:p w14:paraId="3E433EC2" w14:textId="13C67788" w:rsidR="00F87926" w:rsidRDefault="00F87926">
      <w:pPr>
        <w:pStyle w:val="CommentText"/>
      </w:pPr>
    </w:p>
    <w:p w14:paraId="3FE44DA2" w14:textId="77777777" w:rsidR="00120570" w:rsidRDefault="00120570">
      <w:pPr>
        <w:pStyle w:val="CommentText"/>
      </w:pPr>
    </w:p>
    <w:p w14:paraId="039F397F" w14:textId="0EB48447" w:rsidR="00F87926" w:rsidRDefault="00F87926">
      <w:pPr>
        <w:pStyle w:val="CommentText"/>
      </w:pPr>
    </w:p>
  </w:comment>
  <w:comment w:id="37" w:author="Greenlaw, Michelle" w:date="2023-01-16T10:57:00Z" w:initials="GM">
    <w:p w14:paraId="4916A1C9" w14:textId="785BBD12" w:rsidR="00453D1F" w:rsidRDefault="00453D1F">
      <w:pPr>
        <w:pStyle w:val="CommentText"/>
      </w:pPr>
      <w:r>
        <w:rPr>
          <w:rStyle w:val="CommentReference"/>
        </w:rPr>
        <w:annotationRef/>
      </w:r>
      <w:r>
        <w:t xml:space="preserve">Need and example here. </w:t>
      </w:r>
    </w:p>
  </w:comment>
  <w:comment w:id="38" w:author="Greenlaw, Michelle" w:date="2023-01-12T10:04:00Z" w:initials="GM">
    <w:p w14:paraId="29D1D055" w14:textId="1A5EBEE2" w:rsidR="00F45330" w:rsidRDefault="00F45330">
      <w:pPr>
        <w:pStyle w:val="CommentText"/>
      </w:pPr>
      <w:r>
        <w:rPr>
          <w:rStyle w:val="CommentReference"/>
        </w:rPr>
        <w:annotationRef/>
      </w:r>
      <w:r w:rsidR="004048B9">
        <w:t>Not sure this will directly relate to a management decision….</w:t>
      </w:r>
    </w:p>
  </w:comment>
  <w:comment w:id="39" w:author="Greenlaw, Michelle" w:date="2023-01-12T09:11:00Z" w:initials="GM">
    <w:p w14:paraId="604899B8" w14:textId="77777777" w:rsidR="00455456" w:rsidRDefault="00455456">
      <w:pPr>
        <w:pStyle w:val="CommentText"/>
      </w:pPr>
      <w:r>
        <w:rPr>
          <w:rStyle w:val="CommentReference"/>
        </w:rPr>
        <w:annotationRef/>
      </w:r>
      <w:r>
        <w:t>What to do about this info., for other stocks….</w:t>
      </w:r>
    </w:p>
    <w:p w14:paraId="28E0CE27" w14:textId="4BC68F06" w:rsidR="00455456" w:rsidRDefault="00455456">
      <w:pPr>
        <w:pStyle w:val="CommentText"/>
      </w:pPr>
      <w:r>
        <w:t>Estimates of consumption by fishes and the occurrence of Capelin in cod and Greenland Halibut stomachs indicate low Capelin availability in 2020, with levels comparable to the 2017-19 period.</w:t>
      </w:r>
    </w:p>
  </w:comment>
  <w:comment w:id="42" w:author="Greenlaw, Michelle" w:date="2023-01-17T14:04:00Z" w:initials="GM">
    <w:p w14:paraId="459FBFBE" w14:textId="668BAF32" w:rsidR="00C06DA3" w:rsidRDefault="00C06DA3">
      <w:pPr>
        <w:pStyle w:val="CommentText"/>
      </w:pPr>
      <w:r>
        <w:rPr>
          <w:rStyle w:val="CommentReference"/>
        </w:rPr>
        <w:annotationRef/>
      </w:r>
      <w:r>
        <w:t>To Be Reviewed by SEC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21E98" w15:done="0"/>
  <w15:commentEx w15:paraId="2EA3127D" w15:done="0"/>
  <w15:commentEx w15:paraId="62E64A7C" w15:done="0"/>
  <w15:commentEx w15:paraId="7C11FCA7" w15:done="0"/>
  <w15:commentEx w15:paraId="24220FFD" w15:done="0"/>
  <w15:commentEx w15:paraId="1F7BE9B7" w15:done="0"/>
  <w15:commentEx w15:paraId="05B91E38" w15:done="0"/>
  <w15:commentEx w15:paraId="59F55631" w15:done="0"/>
  <w15:commentEx w15:paraId="7C768752" w15:done="0"/>
  <w15:commentEx w15:paraId="33F88B70" w15:done="0"/>
  <w15:commentEx w15:paraId="06D18BC2" w15:done="0"/>
  <w15:commentEx w15:paraId="039F397F" w15:done="0"/>
  <w15:commentEx w15:paraId="4916A1C9" w15:done="0"/>
  <w15:commentEx w15:paraId="29D1D055" w15:done="0"/>
  <w15:commentEx w15:paraId="28E0CE27" w15:done="0"/>
  <w15:commentEx w15:paraId="459FB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EE0B" w16cex:dateUtc="2023-01-17T13:51:00Z"/>
  <w16cex:commentExtensible w16cex:durableId="276FEF4D" w16cex:dateUtc="2023-01-16T20:44:00Z"/>
  <w16cex:commentExtensible w16cex:durableId="2771202B" w16cex:dateUtc="2023-01-17T17:24:00Z"/>
  <w16cex:commentExtensible w16cex:durableId="277124A6" w16cex:dateUtc="2023-01-17T17:44:00Z"/>
  <w16cex:commentExtensible w16cex:durableId="27712590" w16cex:dateUtc="2023-01-17T17:48:00Z"/>
  <w16cex:commentExtensible w16cex:durableId="277125B1" w16cex:dateUtc="2023-01-17T17:48:00Z"/>
  <w16cex:commentExtensible w16cex:durableId="277125CB" w16cex:dateUtc="2023-01-17T17:48:00Z"/>
  <w16cex:commentExtensible w16cex:durableId="276957A8" w16cex:dateUtc="2023-01-11T19:43:00Z"/>
  <w16cex:commentExtensible w16cex:durableId="276BEFF4" w16cex:dateUtc="2023-01-13T18:57:00Z"/>
  <w16cex:commentExtensible w16cex:durableId="271CF82F" w16cex:dateUtc="2022-11-14T21:23:00Z"/>
  <w16cex:commentExtensible w16cex:durableId="276A4813" w16cex:dateUtc="2023-01-12T12:49:00Z"/>
  <w16cex:commentExtensible w16cex:durableId="276FD9BC" w16cex:dateUtc="2023-01-16T18:12:00Z"/>
  <w16cex:commentExtensible w16cex:durableId="276FAC1A" w16cex:dateUtc="2023-01-16T14:57:00Z"/>
  <w16cex:commentExtensible w16cex:durableId="276A5990" w16cex:dateUtc="2023-01-12T14:04:00Z"/>
  <w16cex:commentExtensible w16cex:durableId="276A4D36" w16cex:dateUtc="2023-01-12T13:11:00Z"/>
  <w16cex:commentExtensible w16cex:durableId="27712965" w16cex:dateUtc="2023-01-17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21E98" w16cid:durableId="2770EE0B"/>
  <w16cid:commentId w16cid:paraId="2EA3127D" w16cid:durableId="276FEF4D"/>
  <w16cid:commentId w16cid:paraId="62E64A7C" w16cid:durableId="2771202B"/>
  <w16cid:commentId w16cid:paraId="7C11FCA7" w16cid:durableId="277124A6"/>
  <w16cid:commentId w16cid:paraId="24220FFD" w16cid:durableId="27712590"/>
  <w16cid:commentId w16cid:paraId="1F7BE9B7" w16cid:durableId="277125B1"/>
  <w16cid:commentId w16cid:paraId="05B91E38" w16cid:durableId="277125CB"/>
  <w16cid:commentId w16cid:paraId="59F55631" w16cid:durableId="276957A8"/>
  <w16cid:commentId w16cid:paraId="7C768752" w16cid:durableId="276BEFF4"/>
  <w16cid:commentId w16cid:paraId="33F88B70" w16cid:durableId="271CF82F"/>
  <w16cid:commentId w16cid:paraId="06D18BC2" w16cid:durableId="276A4813"/>
  <w16cid:commentId w16cid:paraId="039F397F" w16cid:durableId="276FD9BC"/>
  <w16cid:commentId w16cid:paraId="4916A1C9" w16cid:durableId="276FAC1A"/>
  <w16cid:commentId w16cid:paraId="29D1D055" w16cid:durableId="276A5990"/>
  <w16cid:commentId w16cid:paraId="28E0CE27" w16cid:durableId="276A4D36"/>
  <w16cid:commentId w16cid:paraId="459FBFBE" w16cid:durableId="277129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A9EE" w14:textId="77777777" w:rsidR="004E71DA" w:rsidRDefault="004E71DA" w:rsidP="004B0B79">
      <w:pPr>
        <w:spacing w:after="0" w:line="240" w:lineRule="auto"/>
      </w:pPr>
      <w:r>
        <w:separator/>
      </w:r>
    </w:p>
  </w:endnote>
  <w:endnote w:type="continuationSeparator" w:id="0">
    <w:p w14:paraId="052C9A1C" w14:textId="77777777" w:rsidR="004E71DA" w:rsidRDefault="004E71DA" w:rsidP="004B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0685" w14:textId="77777777" w:rsidR="004B0B79" w:rsidRDefault="004B0B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E59C" w14:textId="77777777" w:rsidR="004B0B79" w:rsidRDefault="004B0B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E9F9" w14:textId="77777777" w:rsidR="004B0B79" w:rsidRDefault="004B0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4FCA" w14:textId="77777777" w:rsidR="004E71DA" w:rsidRDefault="004E71DA" w:rsidP="004B0B79">
      <w:pPr>
        <w:spacing w:after="0" w:line="240" w:lineRule="auto"/>
      </w:pPr>
      <w:r>
        <w:separator/>
      </w:r>
    </w:p>
  </w:footnote>
  <w:footnote w:type="continuationSeparator" w:id="0">
    <w:p w14:paraId="41EE6861" w14:textId="77777777" w:rsidR="004E71DA" w:rsidRDefault="004E71DA" w:rsidP="004B0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3B6E4" w14:textId="42BA0C96" w:rsidR="004B0B79" w:rsidRDefault="004E71DA">
    <w:pPr>
      <w:pStyle w:val="Header"/>
    </w:pPr>
    <w:r>
      <w:rPr>
        <w:noProof/>
      </w:rPr>
      <w:pict w14:anchorId="16B1E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219" o:spid="_x0000_s2050" type="#_x0000_t136" style="position:absolute;margin-left:0;margin-top:0;width:595.85pt;height:63.8pt;rotation:315;z-index:-251655168;mso-position-horizontal:center;mso-position-horizontal-relative:margin;mso-position-vertical:center;mso-position-vertical-relative:margin" o:allowincell="f" fillcolor="silver" stroked="f">
          <v:fill opacity=".5"/>
          <v:textpath style="font-family:&quot;Calibri&quot;;font-size:1pt" string="DRAFT - DO NOT SHARE OR DISTRIBU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3CFB" w14:textId="51CF11AB" w:rsidR="004B0B79" w:rsidRDefault="004E71DA">
    <w:pPr>
      <w:pStyle w:val="Header"/>
    </w:pPr>
    <w:r>
      <w:rPr>
        <w:noProof/>
      </w:rPr>
      <w:pict w14:anchorId="14D1DB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220" o:spid="_x0000_s2051" type="#_x0000_t136" style="position:absolute;margin-left:0;margin-top:0;width:595.85pt;height:63.8pt;rotation:315;z-index:-251653120;mso-position-horizontal:center;mso-position-horizontal-relative:margin;mso-position-vertical:center;mso-position-vertical-relative:margin" o:allowincell="f" fillcolor="silver" stroked="f">
          <v:fill opacity=".5"/>
          <v:textpath style="font-family:&quot;Calibri&quot;;font-size:1pt" string="DRAFT - DO NOT SHARE OR DISTRIBU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95AF" w14:textId="3F668606" w:rsidR="004B0B79" w:rsidRDefault="004E71DA">
    <w:pPr>
      <w:pStyle w:val="Header"/>
    </w:pPr>
    <w:r>
      <w:rPr>
        <w:noProof/>
      </w:rPr>
      <w:pict w14:anchorId="1FB6B5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218" o:spid="_x0000_s2049" type="#_x0000_t136" style="position:absolute;margin-left:0;margin-top:0;width:595.85pt;height:63.8pt;rotation:315;z-index:-251657216;mso-position-horizontal:center;mso-position-horizontal-relative:margin;mso-position-vertical:center;mso-position-vertical-relative:margin" o:allowincell="f" fillcolor="silver" stroked="f">
          <v:fill opacity=".5"/>
          <v:textpath style="font-family:&quot;Calibri&quot;;font-size:1pt" string="DRAFT - DO NOT SHARE OR DISTRIBU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0DE51"/>
    <w:multiLevelType w:val="hybridMultilevel"/>
    <w:tmpl w:val="2853BF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C3BA5B1E"/>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2" w15:restartNumberingAfterBreak="0">
    <w:nsid w:val="046F4B55"/>
    <w:multiLevelType w:val="hybridMultilevel"/>
    <w:tmpl w:val="77CE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22B5C"/>
    <w:multiLevelType w:val="hybridMultilevel"/>
    <w:tmpl w:val="0B1A34B0"/>
    <w:lvl w:ilvl="0" w:tplc="093C9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36271"/>
    <w:multiLevelType w:val="hybridMultilevel"/>
    <w:tmpl w:val="45E8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B0A12"/>
    <w:multiLevelType w:val="hybridMultilevel"/>
    <w:tmpl w:val="DD24493C"/>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A4C70"/>
    <w:multiLevelType w:val="hybridMultilevel"/>
    <w:tmpl w:val="2A04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B600F"/>
    <w:multiLevelType w:val="hybridMultilevel"/>
    <w:tmpl w:val="BED20E4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A557D9"/>
    <w:multiLevelType w:val="hybridMultilevel"/>
    <w:tmpl w:val="9DD0D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A1022"/>
    <w:multiLevelType w:val="hybridMultilevel"/>
    <w:tmpl w:val="59BA94BC"/>
    <w:lvl w:ilvl="0" w:tplc="9F6685D2">
      <w:start w:val="1"/>
      <w:numFmt w:val="bullet"/>
      <w:lvlText w:val="•"/>
      <w:lvlJc w:val="left"/>
      <w:pPr>
        <w:tabs>
          <w:tab w:val="num" w:pos="720"/>
        </w:tabs>
        <w:ind w:left="720" w:hanging="360"/>
      </w:pPr>
      <w:rPr>
        <w:rFonts w:ascii="Arial" w:hAnsi="Arial" w:hint="default"/>
      </w:rPr>
    </w:lvl>
    <w:lvl w:ilvl="1" w:tplc="5F4C71DC">
      <w:start w:val="1"/>
      <w:numFmt w:val="bullet"/>
      <w:lvlText w:val="•"/>
      <w:lvlJc w:val="left"/>
      <w:pPr>
        <w:tabs>
          <w:tab w:val="num" w:pos="1440"/>
        </w:tabs>
        <w:ind w:left="1440" w:hanging="360"/>
      </w:pPr>
      <w:rPr>
        <w:rFonts w:ascii="Arial" w:hAnsi="Arial" w:hint="default"/>
      </w:rPr>
    </w:lvl>
    <w:lvl w:ilvl="2" w:tplc="61ACA2B6" w:tentative="1">
      <w:start w:val="1"/>
      <w:numFmt w:val="bullet"/>
      <w:lvlText w:val="•"/>
      <w:lvlJc w:val="left"/>
      <w:pPr>
        <w:tabs>
          <w:tab w:val="num" w:pos="2160"/>
        </w:tabs>
        <w:ind w:left="2160" w:hanging="360"/>
      </w:pPr>
      <w:rPr>
        <w:rFonts w:ascii="Arial" w:hAnsi="Arial" w:hint="default"/>
      </w:rPr>
    </w:lvl>
    <w:lvl w:ilvl="3" w:tplc="D2CEEA56" w:tentative="1">
      <w:start w:val="1"/>
      <w:numFmt w:val="bullet"/>
      <w:lvlText w:val="•"/>
      <w:lvlJc w:val="left"/>
      <w:pPr>
        <w:tabs>
          <w:tab w:val="num" w:pos="2880"/>
        </w:tabs>
        <w:ind w:left="2880" w:hanging="360"/>
      </w:pPr>
      <w:rPr>
        <w:rFonts w:ascii="Arial" w:hAnsi="Arial" w:hint="default"/>
      </w:rPr>
    </w:lvl>
    <w:lvl w:ilvl="4" w:tplc="9A461E34" w:tentative="1">
      <w:start w:val="1"/>
      <w:numFmt w:val="bullet"/>
      <w:lvlText w:val="•"/>
      <w:lvlJc w:val="left"/>
      <w:pPr>
        <w:tabs>
          <w:tab w:val="num" w:pos="3600"/>
        </w:tabs>
        <w:ind w:left="3600" w:hanging="360"/>
      </w:pPr>
      <w:rPr>
        <w:rFonts w:ascii="Arial" w:hAnsi="Arial" w:hint="default"/>
      </w:rPr>
    </w:lvl>
    <w:lvl w:ilvl="5" w:tplc="35CE8536" w:tentative="1">
      <w:start w:val="1"/>
      <w:numFmt w:val="bullet"/>
      <w:lvlText w:val="•"/>
      <w:lvlJc w:val="left"/>
      <w:pPr>
        <w:tabs>
          <w:tab w:val="num" w:pos="4320"/>
        </w:tabs>
        <w:ind w:left="4320" w:hanging="360"/>
      </w:pPr>
      <w:rPr>
        <w:rFonts w:ascii="Arial" w:hAnsi="Arial" w:hint="default"/>
      </w:rPr>
    </w:lvl>
    <w:lvl w:ilvl="6" w:tplc="DEAAC34C" w:tentative="1">
      <w:start w:val="1"/>
      <w:numFmt w:val="bullet"/>
      <w:lvlText w:val="•"/>
      <w:lvlJc w:val="left"/>
      <w:pPr>
        <w:tabs>
          <w:tab w:val="num" w:pos="5040"/>
        </w:tabs>
        <w:ind w:left="5040" w:hanging="360"/>
      </w:pPr>
      <w:rPr>
        <w:rFonts w:ascii="Arial" w:hAnsi="Arial" w:hint="default"/>
      </w:rPr>
    </w:lvl>
    <w:lvl w:ilvl="7" w:tplc="F74848AE" w:tentative="1">
      <w:start w:val="1"/>
      <w:numFmt w:val="bullet"/>
      <w:lvlText w:val="•"/>
      <w:lvlJc w:val="left"/>
      <w:pPr>
        <w:tabs>
          <w:tab w:val="num" w:pos="5760"/>
        </w:tabs>
        <w:ind w:left="5760" w:hanging="360"/>
      </w:pPr>
      <w:rPr>
        <w:rFonts w:ascii="Arial" w:hAnsi="Arial" w:hint="default"/>
      </w:rPr>
    </w:lvl>
    <w:lvl w:ilvl="8" w:tplc="A41A2C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65D2287"/>
    <w:multiLevelType w:val="hybridMultilevel"/>
    <w:tmpl w:val="9E5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050B1"/>
    <w:multiLevelType w:val="hybridMultilevel"/>
    <w:tmpl w:val="A2AAC3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28456F3"/>
    <w:multiLevelType w:val="hybridMultilevel"/>
    <w:tmpl w:val="D6D2D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1935EF"/>
    <w:multiLevelType w:val="hybridMultilevel"/>
    <w:tmpl w:val="459A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57614"/>
    <w:multiLevelType w:val="hybridMultilevel"/>
    <w:tmpl w:val="37843318"/>
    <w:lvl w:ilvl="0" w:tplc="8D9071DA">
      <w:start w:val="1"/>
      <w:numFmt w:val="bullet"/>
      <w:lvlText w:val="•"/>
      <w:lvlJc w:val="left"/>
      <w:pPr>
        <w:tabs>
          <w:tab w:val="num" w:pos="720"/>
        </w:tabs>
        <w:ind w:left="720" w:hanging="360"/>
      </w:pPr>
      <w:rPr>
        <w:rFonts w:ascii="Arial" w:hAnsi="Arial" w:hint="default"/>
      </w:rPr>
    </w:lvl>
    <w:lvl w:ilvl="1" w:tplc="50402944">
      <w:start w:val="1"/>
      <w:numFmt w:val="bullet"/>
      <w:lvlText w:val="•"/>
      <w:lvlJc w:val="left"/>
      <w:pPr>
        <w:tabs>
          <w:tab w:val="num" w:pos="1440"/>
        </w:tabs>
        <w:ind w:left="1440" w:hanging="360"/>
      </w:pPr>
      <w:rPr>
        <w:rFonts w:ascii="Arial" w:hAnsi="Arial" w:hint="default"/>
      </w:rPr>
    </w:lvl>
    <w:lvl w:ilvl="2" w:tplc="5F0CB9E4" w:tentative="1">
      <w:start w:val="1"/>
      <w:numFmt w:val="bullet"/>
      <w:lvlText w:val="•"/>
      <w:lvlJc w:val="left"/>
      <w:pPr>
        <w:tabs>
          <w:tab w:val="num" w:pos="2160"/>
        </w:tabs>
        <w:ind w:left="2160" w:hanging="360"/>
      </w:pPr>
      <w:rPr>
        <w:rFonts w:ascii="Arial" w:hAnsi="Arial" w:hint="default"/>
      </w:rPr>
    </w:lvl>
    <w:lvl w:ilvl="3" w:tplc="DD6ADC5C" w:tentative="1">
      <w:start w:val="1"/>
      <w:numFmt w:val="bullet"/>
      <w:lvlText w:val="•"/>
      <w:lvlJc w:val="left"/>
      <w:pPr>
        <w:tabs>
          <w:tab w:val="num" w:pos="2880"/>
        </w:tabs>
        <w:ind w:left="2880" w:hanging="360"/>
      </w:pPr>
      <w:rPr>
        <w:rFonts w:ascii="Arial" w:hAnsi="Arial" w:hint="default"/>
      </w:rPr>
    </w:lvl>
    <w:lvl w:ilvl="4" w:tplc="5492E112" w:tentative="1">
      <w:start w:val="1"/>
      <w:numFmt w:val="bullet"/>
      <w:lvlText w:val="•"/>
      <w:lvlJc w:val="left"/>
      <w:pPr>
        <w:tabs>
          <w:tab w:val="num" w:pos="3600"/>
        </w:tabs>
        <w:ind w:left="3600" w:hanging="360"/>
      </w:pPr>
      <w:rPr>
        <w:rFonts w:ascii="Arial" w:hAnsi="Arial" w:hint="default"/>
      </w:rPr>
    </w:lvl>
    <w:lvl w:ilvl="5" w:tplc="09E863B0" w:tentative="1">
      <w:start w:val="1"/>
      <w:numFmt w:val="bullet"/>
      <w:lvlText w:val="•"/>
      <w:lvlJc w:val="left"/>
      <w:pPr>
        <w:tabs>
          <w:tab w:val="num" w:pos="4320"/>
        </w:tabs>
        <w:ind w:left="4320" w:hanging="360"/>
      </w:pPr>
      <w:rPr>
        <w:rFonts w:ascii="Arial" w:hAnsi="Arial" w:hint="default"/>
      </w:rPr>
    </w:lvl>
    <w:lvl w:ilvl="6" w:tplc="B33A3EFE" w:tentative="1">
      <w:start w:val="1"/>
      <w:numFmt w:val="bullet"/>
      <w:lvlText w:val="•"/>
      <w:lvlJc w:val="left"/>
      <w:pPr>
        <w:tabs>
          <w:tab w:val="num" w:pos="5040"/>
        </w:tabs>
        <w:ind w:left="5040" w:hanging="360"/>
      </w:pPr>
      <w:rPr>
        <w:rFonts w:ascii="Arial" w:hAnsi="Arial" w:hint="default"/>
      </w:rPr>
    </w:lvl>
    <w:lvl w:ilvl="7" w:tplc="0644C5D2" w:tentative="1">
      <w:start w:val="1"/>
      <w:numFmt w:val="bullet"/>
      <w:lvlText w:val="•"/>
      <w:lvlJc w:val="left"/>
      <w:pPr>
        <w:tabs>
          <w:tab w:val="num" w:pos="5760"/>
        </w:tabs>
        <w:ind w:left="5760" w:hanging="360"/>
      </w:pPr>
      <w:rPr>
        <w:rFonts w:ascii="Arial" w:hAnsi="Arial" w:hint="default"/>
      </w:rPr>
    </w:lvl>
    <w:lvl w:ilvl="8" w:tplc="A00A25D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33336A"/>
    <w:multiLevelType w:val="multilevel"/>
    <w:tmpl w:val="72604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C1853"/>
    <w:multiLevelType w:val="hybridMultilevel"/>
    <w:tmpl w:val="9FECCDD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D461F2E"/>
    <w:multiLevelType w:val="hybridMultilevel"/>
    <w:tmpl w:val="8CF2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0B1F3C"/>
    <w:multiLevelType w:val="hybridMultilevel"/>
    <w:tmpl w:val="FA52C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6B431A"/>
    <w:multiLevelType w:val="hybridMultilevel"/>
    <w:tmpl w:val="E5B2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710DEC"/>
    <w:multiLevelType w:val="hybridMultilevel"/>
    <w:tmpl w:val="88D86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AB4C79"/>
    <w:multiLevelType w:val="hybridMultilevel"/>
    <w:tmpl w:val="1B9EBB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36773A3A"/>
    <w:multiLevelType w:val="hybridMultilevel"/>
    <w:tmpl w:val="5D1EAD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8555AB2"/>
    <w:multiLevelType w:val="hybridMultilevel"/>
    <w:tmpl w:val="2DC4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C34311"/>
    <w:multiLevelType w:val="hybridMultilevel"/>
    <w:tmpl w:val="1A385D6E"/>
    <w:lvl w:ilvl="0" w:tplc="9A4AA8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AD54BCC"/>
    <w:multiLevelType w:val="hybridMultilevel"/>
    <w:tmpl w:val="4B46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3C4973"/>
    <w:multiLevelType w:val="hybridMultilevel"/>
    <w:tmpl w:val="5628D3B4"/>
    <w:lvl w:ilvl="0" w:tplc="10AE4D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BD3362"/>
    <w:multiLevelType w:val="hybridMultilevel"/>
    <w:tmpl w:val="F4EA7D22"/>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B64C66"/>
    <w:multiLevelType w:val="hybridMultilevel"/>
    <w:tmpl w:val="64428EAC"/>
    <w:lvl w:ilvl="0" w:tplc="C51A2920">
      <w:start w:val="1"/>
      <w:numFmt w:val="bullet"/>
      <w:lvlText w:val="•"/>
      <w:lvlJc w:val="left"/>
      <w:pPr>
        <w:tabs>
          <w:tab w:val="num" w:pos="720"/>
        </w:tabs>
        <w:ind w:left="720" w:hanging="360"/>
      </w:pPr>
      <w:rPr>
        <w:rFonts w:ascii="Arial" w:hAnsi="Arial" w:hint="default"/>
      </w:rPr>
    </w:lvl>
    <w:lvl w:ilvl="1" w:tplc="3EEC4C46" w:tentative="1">
      <w:start w:val="1"/>
      <w:numFmt w:val="bullet"/>
      <w:lvlText w:val="•"/>
      <w:lvlJc w:val="left"/>
      <w:pPr>
        <w:tabs>
          <w:tab w:val="num" w:pos="1440"/>
        </w:tabs>
        <w:ind w:left="1440" w:hanging="360"/>
      </w:pPr>
      <w:rPr>
        <w:rFonts w:ascii="Arial" w:hAnsi="Arial" w:hint="default"/>
      </w:rPr>
    </w:lvl>
    <w:lvl w:ilvl="2" w:tplc="A34E79B0" w:tentative="1">
      <w:start w:val="1"/>
      <w:numFmt w:val="bullet"/>
      <w:lvlText w:val="•"/>
      <w:lvlJc w:val="left"/>
      <w:pPr>
        <w:tabs>
          <w:tab w:val="num" w:pos="2160"/>
        </w:tabs>
        <w:ind w:left="2160" w:hanging="360"/>
      </w:pPr>
      <w:rPr>
        <w:rFonts w:ascii="Arial" w:hAnsi="Arial" w:hint="default"/>
      </w:rPr>
    </w:lvl>
    <w:lvl w:ilvl="3" w:tplc="C98C7B4E" w:tentative="1">
      <w:start w:val="1"/>
      <w:numFmt w:val="bullet"/>
      <w:lvlText w:val="•"/>
      <w:lvlJc w:val="left"/>
      <w:pPr>
        <w:tabs>
          <w:tab w:val="num" w:pos="2880"/>
        </w:tabs>
        <w:ind w:left="2880" w:hanging="360"/>
      </w:pPr>
      <w:rPr>
        <w:rFonts w:ascii="Arial" w:hAnsi="Arial" w:hint="default"/>
      </w:rPr>
    </w:lvl>
    <w:lvl w:ilvl="4" w:tplc="F482CB72" w:tentative="1">
      <w:start w:val="1"/>
      <w:numFmt w:val="bullet"/>
      <w:lvlText w:val="•"/>
      <w:lvlJc w:val="left"/>
      <w:pPr>
        <w:tabs>
          <w:tab w:val="num" w:pos="3600"/>
        </w:tabs>
        <w:ind w:left="3600" w:hanging="360"/>
      </w:pPr>
      <w:rPr>
        <w:rFonts w:ascii="Arial" w:hAnsi="Arial" w:hint="default"/>
      </w:rPr>
    </w:lvl>
    <w:lvl w:ilvl="5" w:tplc="52EA30AA" w:tentative="1">
      <w:start w:val="1"/>
      <w:numFmt w:val="bullet"/>
      <w:lvlText w:val="•"/>
      <w:lvlJc w:val="left"/>
      <w:pPr>
        <w:tabs>
          <w:tab w:val="num" w:pos="4320"/>
        </w:tabs>
        <w:ind w:left="4320" w:hanging="360"/>
      </w:pPr>
      <w:rPr>
        <w:rFonts w:ascii="Arial" w:hAnsi="Arial" w:hint="default"/>
      </w:rPr>
    </w:lvl>
    <w:lvl w:ilvl="6" w:tplc="3B0C9E0A" w:tentative="1">
      <w:start w:val="1"/>
      <w:numFmt w:val="bullet"/>
      <w:lvlText w:val="•"/>
      <w:lvlJc w:val="left"/>
      <w:pPr>
        <w:tabs>
          <w:tab w:val="num" w:pos="5040"/>
        </w:tabs>
        <w:ind w:left="5040" w:hanging="360"/>
      </w:pPr>
      <w:rPr>
        <w:rFonts w:ascii="Arial" w:hAnsi="Arial" w:hint="default"/>
      </w:rPr>
    </w:lvl>
    <w:lvl w:ilvl="7" w:tplc="73ACFB9C" w:tentative="1">
      <w:start w:val="1"/>
      <w:numFmt w:val="bullet"/>
      <w:lvlText w:val="•"/>
      <w:lvlJc w:val="left"/>
      <w:pPr>
        <w:tabs>
          <w:tab w:val="num" w:pos="5760"/>
        </w:tabs>
        <w:ind w:left="5760" w:hanging="360"/>
      </w:pPr>
      <w:rPr>
        <w:rFonts w:ascii="Arial" w:hAnsi="Arial" w:hint="default"/>
      </w:rPr>
    </w:lvl>
    <w:lvl w:ilvl="8" w:tplc="2972611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83732C0"/>
    <w:multiLevelType w:val="hybridMultilevel"/>
    <w:tmpl w:val="9DD0D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A7E28"/>
    <w:multiLevelType w:val="hybridMultilevel"/>
    <w:tmpl w:val="37982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D04D64"/>
    <w:multiLevelType w:val="hybridMultilevel"/>
    <w:tmpl w:val="DDACB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2C598A"/>
    <w:multiLevelType w:val="hybridMultilevel"/>
    <w:tmpl w:val="74042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E203D67"/>
    <w:multiLevelType w:val="hybridMultilevel"/>
    <w:tmpl w:val="D026E2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A1015B"/>
    <w:multiLevelType w:val="hybridMultilevel"/>
    <w:tmpl w:val="62E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0379C7"/>
    <w:multiLevelType w:val="hybridMultilevel"/>
    <w:tmpl w:val="19C4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B5F50"/>
    <w:multiLevelType w:val="hybridMultilevel"/>
    <w:tmpl w:val="C080A75C"/>
    <w:lvl w:ilvl="0" w:tplc="D54C666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630034"/>
    <w:multiLevelType w:val="hybridMultilevel"/>
    <w:tmpl w:val="E4D8DFE8"/>
    <w:lvl w:ilvl="0" w:tplc="79E848B4">
      <w:start w:val="1"/>
      <w:numFmt w:val="bullet"/>
      <w:lvlText w:val="•"/>
      <w:lvlJc w:val="left"/>
      <w:pPr>
        <w:tabs>
          <w:tab w:val="num" w:pos="720"/>
        </w:tabs>
        <w:ind w:left="720" w:hanging="360"/>
      </w:pPr>
      <w:rPr>
        <w:rFonts w:ascii="Arial" w:hAnsi="Arial" w:hint="default"/>
      </w:rPr>
    </w:lvl>
    <w:lvl w:ilvl="1" w:tplc="A17A5330">
      <w:numFmt w:val="bullet"/>
      <w:lvlText w:val="•"/>
      <w:lvlJc w:val="left"/>
      <w:pPr>
        <w:tabs>
          <w:tab w:val="num" w:pos="1440"/>
        </w:tabs>
        <w:ind w:left="1440" w:hanging="360"/>
      </w:pPr>
      <w:rPr>
        <w:rFonts w:ascii="Arial" w:hAnsi="Arial" w:hint="default"/>
      </w:rPr>
    </w:lvl>
    <w:lvl w:ilvl="2" w:tplc="BBA2B9F8" w:tentative="1">
      <w:start w:val="1"/>
      <w:numFmt w:val="bullet"/>
      <w:lvlText w:val="•"/>
      <w:lvlJc w:val="left"/>
      <w:pPr>
        <w:tabs>
          <w:tab w:val="num" w:pos="2160"/>
        </w:tabs>
        <w:ind w:left="2160" w:hanging="360"/>
      </w:pPr>
      <w:rPr>
        <w:rFonts w:ascii="Arial" w:hAnsi="Arial" w:hint="default"/>
      </w:rPr>
    </w:lvl>
    <w:lvl w:ilvl="3" w:tplc="F7FC2F7E" w:tentative="1">
      <w:start w:val="1"/>
      <w:numFmt w:val="bullet"/>
      <w:lvlText w:val="•"/>
      <w:lvlJc w:val="left"/>
      <w:pPr>
        <w:tabs>
          <w:tab w:val="num" w:pos="2880"/>
        </w:tabs>
        <w:ind w:left="2880" w:hanging="360"/>
      </w:pPr>
      <w:rPr>
        <w:rFonts w:ascii="Arial" w:hAnsi="Arial" w:hint="default"/>
      </w:rPr>
    </w:lvl>
    <w:lvl w:ilvl="4" w:tplc="3F1A19FE" w:tentative="1">
      <w:start w:val="1"/>
      <w:numFmt w:val="bullet"/>
      <w:lvlText w:val="•"/>
      <w:lvlJc w:val="left"/>
      <w:pPr>
        <w:tabs>
          <w:tab w:val="num" w:pos="3600"/>
        </w:tabs>
        <w:ind w:left="3600" w:hanging="360"/>
      </w:pPr>
      <w:rPr>
        <w:rFonts w:ascii="Arial" w:hAnsi="Arial" w:hint="default"/>
      </w:rPr>
    </w:lvl>
    <w:lvl w:ilvl="5" w:tplc="8CBED470" w:tentative="1">
      <w:start w:val="1"/>
      <w:numFmt w:val="bullet"/>
      <w:lvlText w:val="•"/>
      <w:lvlJc w:val="left"/>
      <w:pPr>
        <w:tabs>
          <w:tab w:val="num" w:pos="4320"/>
        </w:tabs>
        <w:ind w:left="4320" w:hanging="360"/>
      </w:pPr>
      <w:rPr>
        <w:rFonts w:ascii="Arial" w:hAnsi="Arial" w:hint="default"/>
      </w:rPr>
    </w:lvl>
    <w:lvl w:ilvl="6" w:tplc="6E204AD2" w:tentative="1">
      <w:start w:val="1"/>
      <w:numFmt w:val="bullet"/>
      <w:lvlText w:val="•"/>
      <w:lvlJc w:val="left"/>
      <w:pPr>
        <w:tabs>
          <w:tab w:val="num" w:pos="5040"/>
        </w:tabs>
        <w:ind w:left="5040" w:hanging="360"/>
      </w:pPr>
      <w:rPr>
        <w:rFonts w:ascii="Arial" w:hAnsi="Arial" w:hint="default"/>
      </w:rPr>
    </w:lvl>
    <w:lvl w:ilvl="7" w:tplc="E07804CA" w:tentative="1">
      <w:start w:val="1"/>
      <w:numFmt w:val="bullet"/>
      <w:lvlText w:val="•"/>
      <w:lvlJc w:val="left"/>
      <w:pPr>
        <w:tabs>
          <w:tab w:val="num" w:pos="5760"/>
        </w:tabs>
        <w:ind w:left="5760" w:hanging="360"/>
      </w:pPr>
      <w:rPr>
        <w:rFonts w:ascii="Arial" w:hAnsi="Arial" w:hint="default"/>
      </w:rPr>
    </w:lvl>
    <w:lvl w:ilvl="8" w:tplc="F4FCFDA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3C50EDA"/>
    <w:multiLevelType w:val="hybridMultilevel"/>
    <w:tmpl w:val="C96854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7"/>
  </w:num>
  <w:num w:numId="2">
    <w:abstractNumId w:val="14"/>
  </w:num>
  <w:num w:numId="3">
    <w:abstractNumId w:val="9"/>
  </w:num>
  <w:num w:numId="4">
    <w:abstractNumId w:val="28"/>
  </w:num>
  <w:num w:numId="5">
    <w:abstractNumId w:val="8"/>
  </w:num>
  <w:num w:numId="6">
    <w:abstractNumId w:val="31"/>
  </w:num>
  <w:num w:numId="7">
    <w:abstractNumId w:val="2"/>
  </w:num>
  <w:num w:numId="8">
    <w:abstractNumId w:val="27"/>
  </w:num>
  <w:num w:numId="9">
    <w:abstractNumId w:val="3"/>
  </w:num>
  <w:num w:numId="10">
    <w:abstractNumId w:val="34"/>
  </w:num>
  <w:num w:numId="11">
    <w:abstractNumId w:val="22"/>
  </w:num>
  <w:num w:numId="12">
    <w:abstractNumId w:val="11"/>
  </w:num>
  <w:num w:numId="13">
    <w:abstractNumId w:val="32"/>
  </w:num>
  <w:num w:numId="14">
    <w:abstractNumId w:val="12"/>
  </w:num>
  <w:num w:numId="15">
    <w:abstractNumId w:val="38"/>
  </w:num>
  <w:num w:numId="16">
    <w:abstractNumId w:val="29"/>
  </w:num>
  <w:num w:numId="17">
    <w:abstractNumId w:val="24"/>
  </w:num>
  <w:num w:numId="18">
    <w:abstractNumId w:val="5"/>
  </w:num>
  <w:num w:numId="19">
    <w:abstractNumId w:val="7"/>
  </w:num>
  <w:num w:numId="20">
    <w:abstractNumId w:val="16"/>
  </w:num>
  <w:num w:numId="21">
    <w:abstractNumId w:val="13"/>
  </w:num>
  <w:num w:numId="22">
    <w:abstractNumId w:val="25"/>
  </w:num>
  <w:num w:numId="23">
    <w:abstractNumId w:val="17"/>
  </w:num>
  <w:num w:numId="24">
    <w:abstractNumId w:val="6"/>
  </w:num>
  <w:num w:numId="25">
    <w:abstractNumId w:val="18"/>
  </w:num>
  <w:num w:numId="26">
    <w:abstractNumId w:val="23"/>
  </w:num>
  <w:num w:numId="27">
    <w:abstractNumId w:val="19"/>
  </w:num>
  <w:num w:numId="28">
    <w:abstractNumId w:val="26"/>
  </w:num>
  <w:num w:numId="29">
    <w:abstractNumId w:val="36"/>
  </w:num>
  <w:num w:numId="30">
    <w:abstractNumId w:val="4"/>
  </w:num>
  <w:num w:numId="31">
    <w:abstractNumId w:val="33"/>
  </w:num>
  <w:num w:numId="32">
    <w:abstractNumId w:val="30"/>
  </w:num>
  <w:num w:numId="33">
    <w:abstractNumId w:val="0"/>
  </w:num>
  <w:num w:numId="34">
    <w:abstractNumId w:val="10"/>
  </w:num>
  <w:num w:numId="35">
    <w:abstractNumId w:val="15"/>
  </w:num>
  <w:num w:numId="36">
    <w:abstractNumId w:val="1"/>
  </w:num>
  <w:num w:numId="37">
    <w:abstractNumId w:val="35"/>
  </w:num>
  <w:num w:numId="38">
    <w:abstractNumId w:val="20"/>
  </w:num>
  <w:num w:numId="3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enlaw, Michelle">
    <w15:presenceInfo w15:providerId="AD" w15:userId="S::Michelle.Greenlaw@dfo-mpo.gc.ca::29a7d8a8-5cd3-463e-88c7-5eb8b1b4ac0e"/>
  </w15:person>
  <w15:person w15:author="Marentette, Julie">
    <w15:presenceInfo w15:providerId="AD" w15:userId="S::Julie.Marentette@dfo-mpo.gc.ca::4e91a2ed-82d2-4e10-acc5-c9e7cefd1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E4"/>
    <w:rsid w:val="00000E67"/>
    <w:rsid w:val="0002314C"/>
    <w:rsid w:val="00045C37"/>
    <w:rsid w:val="00045EDE"/>
    <w:rsid w:val="000529E9"/>
    <w:rsid w:val="00056687"/>
    <w:rsid w:val="00065E47"/>
    <w:rsid w:val="0007251D"/>
    <w:rsid w:val="00094664"/>
    <w:rsid w:val="000D2844"/>
    <w:rsid w:val="000E736B"/>
    <w:rsid w:val="00104D52"/>
    <w:rsid w:val="00112630"/>
    <w:rsid w:val="00115D2E"/>
    <w:rsid w:val="00120570"/>
    <w:rsid w:val="00150C60"/>
    <w:rsid w:val="00151E8C"/>
    <w:rsid w:val="00163E0F"/>
    <w:rsid w:val="00172A23"/>
    <w:rsid w:val="001805D6"/>
    <w:rsid w:val="00180A27"/>
    <w:rsid w:val="00180DC8"/>
    <w:rsid w:val="001A29E4"/>
    <w:rsid w:val="001C0FF4"/>
    <w:rsid w:val="001C13F3"/>
    <w:rsid w:val="001C4D2B"/>
    <w:rsid w:val="001C7944"/>
    <w:rsid w:val="001D3646"/>
    <w:rsid w:val="001D3CB6"/>
    <w:rsid w:val="001E7A4A"/>
    <w:rsid w:val="001F6621"/>
    <w:rsid w:val="00200A10"/>
    <w:rsid w:val="00201718"/>
    <w:rsid w:val="00257295"/>
    <w:rsid w:val="00282AD9"/>
    <w:rsid w:val="00292342"/>
    <w:rsid w:val="002A1931"/>
    <w:rsid w:val="002A27B8"/>
    <w:rsid w:val="002B02D5"/>
    <w:rsid w:val="002B54D9"/>
    <w:rsid w:val="002C53E9"/>
    <w:rsid w:val="002D117F"/>
    <w:rsid w:val="002D79D9"/>
    <w:rsid w:val="002F0105"/>
    <w:rsid w:val="002F151C"/>
    <w:rsid w:val="00301FA1"/>
    <w:rsid w:val="003071AF"/>
    <w:rsid w:val="003149D7"/>
    <w:rsid w:val="00335013"/>
    <w:rsid w:val="00335A76"/>
    <w:rsid w:val="003477BD"/>
    <w:rsid w:val="00350DE3"/>
    <w:rsid w:val="00352B41"/>
    <w:rsid w:val="003564EF"/>
    <w:rsid w:val="00356FFC"/>
    <w:rsid w:val="003718F6"/>
    <w:rsid w:val="0037333C"/>
    <w:rsid w:val="003830B5"/>
    <w:rsid w:val="00383F36"/>
    <w:rsid w:val="00390B82"/>
    <w:rsid w:val="003C2048"/>
    <w:rsid w:val="003C451F"/>
    <w:rsid w:val="003D5D18"/>
    <w:rsid w:val="003E3882"/>
    <w:rsid w:val="003E6240"/>
    <w:rsid w:val="003F09DF"/>
    <w:rsid w:val="004048B9"/>
    <w:rsid w:val="00406249"/>
    <w:rsid w:val="004157B3"/>
    <w:rsid w:val="004441D9"/>
    <w:rsid w:val="00453D1F"/>
    <w:rsid w:val="00455456"/>
    <w:rsid w:val="00455716"/>
    <w:rsid w:val="00467A50"/>
    <w:rsid w:val="004B0B79"/>
    <w:rsid w:val="004B1343"/>
    <w:rsid w:val="004C7566"/>
    <w:rsid w:val="004D65C9"/>
    <w:rsid w:val="004D7C1E"/>
    <w:rsid w:val="004E71DA"/>
    <w:rsid w:val="004F23FC"/>
    <w:rsid w:val="004F672B"/>
    <w:rsid w:val="005076EA"/>
    <w:rsid w:val="00507CCB"/>
    <w:rsid w:val="00516A74"/>
    <w:rsid w:val="0052626C"/>
    <w:rsid w:val="00530A6A"/>
    <w:rsid w:val="005310DC"/>
    <w:rsid w:val="00542344"/>
    <w:rsid w:val="00563CA6"/>
    <w:rsid w:val="00575146"/>
    <w:rsid w:val="00596127"/>
    <w:rsid w:val="005A48C2"/>
    <w:rsid w:val="005B1A84"/>
    <w:rsid w:val="005B5DFA"/>
    <w:rsid w:val="005B7311"/>
    <w:rsid w:val="005C0188"/>
    <w:rsid w:val="005C77D6"/>
    <w:rsid w:val="005D1438"/>
    <w:rsid w:val="005D55EB"/>
    <w:rsid w:val="005E2E95"/>
    <w:rsid w:val="005F3CAB"/>
    <w:rsid w:val="00614868"/>
    <w:rsid w:val="00615EF2"/>
    <w:rsid w:val="00622AF9"/>
    <w:rsid w:val="00630BEC"/>
    <w:rsid w:val="00631CCE"/>
    <w:rsid w:val="00647B09"/>
    <w:rsid w:val="00653FDF"/>
    <w:rsid w:val="006734C8"/>
    <w:rsid w:val="0067764F"/>
    <w:rsid w:val="00682FC8"/>
    <w:rsid w:val="0068649B"/>
    <w:rsid w:val="00691622"/>
    <w:rsid w:val="006956D6"/>
    <w:rsid w:val="006B3656"/>
    <w:rsid w:val="006B4010"/>
    <w:rsid w:val="006B4CBC"/>
    <w:rsid w:val="006C2C97"/>
    <w:rsid w:val="006E27C4"/>
    <w:rsid w:val="006F37DC"/>
    <w:rsid w:val="0070215E"/>
    <w:rsid w:val="00710B4A"/>
    <w:rsid w:val="007333EB"/>
    <w:rsid w:val="00742DEC"/>
    <w:rsid w:val="00746745"/>
    <w:rsid w:val="00752B3B"/>
    <w:rsid w:val="00757EA7"/>
    <w:rsid w:val="0076473F"/>
    <w:rsid w:val="007862B9"/>
    <w:rsid w:val="00792A6D"/>
    <w:rsid w:val="007A1861"/>
    <w:rsid w:val="007B1494"/>
    <w:rsid w:val="007B35CF"/>
    <w:rsid w:val="007D1BAF"/>
    <w:rsid w:val="007D56B6"/>
    <w:rsid w:val="008006D5"/>
    <w:rsid w:val="0081173E"/>
    <w:rsid w:val="00850F31"/>
    <w:rsid w:val="00857D71"/>
    <w:rsid w:val="00864610"/>
    <w:rsid w:val="00871C44"/>
    <w:rsid w:val="00871E16"/>
    <w:rsid w:val="00894631"/>
    <w:rsid w:val="008A1273"/>
    <w:rsid w:val="008B1405"/>
    <w:rsid w:val="008D6C21"/>
    <w:rsid w:val="008E14A1"/>
    <w:rsid w:val="008E6410"/>
    <w:rsid w:val="008E6DA1"/>
    <w:rsid w:val="00903313"/>
    <w:rsid w:val="009256AD"/>
    <w:rsid w:val="0095131D"/>
    <w:rsid w:val="00956D16"/>
    <w:rsid w:val="00964142"/>
    <w:rsid w:val="009A7A3E"/>
    <w:rsid w:val="009B2D71"/>
    <w:rsid w:val="009D0541"/>
    <w:rsid w:val="009E46B1"/>
    <w:rsid w:val="00A036D0"/>
    <w:rsid w:val="00A341EE"/>
    <w:rsid w:val="00A63FBF"/>
    <w:rsid w:val="00A65E0F"/>
    <w:rsid w:val="00A75A11"/>
    <w:rsid w:val="00A77AC7"/>
    <w:rsid w:val="00A96678"/>
    <w:rsid w:val="00AA4BDA"/>
    <w:rsid w:val="00AB5F05"/>
    <w:rsid w:val="00AC08A3"/>
    <w:rsid w:val="00AC1942"/>
    <w:rsid w:val="00AC754C"/>
    <w:rsid w:val="00AD4663"/>
    <w:rsid w:val="00AD6A1A"/>
    <w:rsid w:val="00AE4B3F"/>
    <w:rsid w:val="00AE69B1"/>
    <w:rsid w:val="00B015C2"/>
    <w:rsid w:val="00B13866"/>
    <w:rsid w:val="00B17C81"/>
    <w:rsid w:val="00B41B85"/>
    <w:rsid w:val="00B4514C"/>
    <w:rsid w:val="00B4727C"/>
    <w:rsid w:val="00B6228C"/>
    <w:rsid w:val="00B64BBE"/>
    <w:rsid w:val="00B8793B"/>
    <w:rsid w:val="00B92869"/>
    <w:rsid w:val="00B96252"/>
    <w:rsid w:val="00BB3AB8"/>
    <w:rsid w:val="00BC58BE"/>
    <w:rsid w:val="00BC591C"/>
    <w:rsid w:val="00BC7FED"/>
    <w:rsid w:val="00BF20AF"/>
    <w:rsid w:val="00BF48B2"/>
    <w:rsid w:val="00C06DA3"/>
    <w:rsid w:val="00C26815"/>
    <w:rsid w:val="00C268D1"/>
    <w:rsid w:val="00C33145"/>
    <w:rsid w:val="00C368AC"/>
    <w:rsid w:val="00C47A3E"/>
    <w:rsid w:val="00C63C2F"/>
    <w:rsid w:val="00C65553"/>
    <w:rsid w:val="00C77817"/>
    <w:rsid w:val="00C82287"/>
    <w:rsid w:val="00C8321F"/>
    <w:rsid w:val="00C8549B"/>
    <w:rsid w:val="00C908C5"/>
    <w:rsid w:val="00CB020F"/>
    <w:rsid w:val="00CB1185"/>
    <w:rsid w:val="00CB1DFD"/>
    <w:rsid w:val="00CB1F85"/>
    <w:rsid w:val="00CB2F17"/>
    <w:rsid w:val="00CC3FC0"/>
    <w:rsid w:val="00CD4A11"/>
    <w:rsid w:val="00CD5B12"/>
    <w:rsid w:val="00CF091A"/>
    <w:rsid w:val="00CF169A"/>
    <w:rsid w:val="00D05A09"/>
    <w:rsid w:val="00D11D2D"/>
    <w:rsid w:val="00D123B1"/>
    <w:rsid w:val="00D25995"/>
    <w:rsid w:val="00D25DE4"/>
    <w:rsid w:val="00D268DA"/>
    <w:rsid w:val="00D328B6"/>
    <w:rsid w:val="00D37A18"/>
    <w:rsid w:val="00D411ED"/>
    <w:rsid w:val="00D576DD"/>
    <w:rsid w:val="00D758C0"/>
    <w:rsid w:val="00D80F24"/>
    <w:rsid w:val="00DB590F"/>
    <w:rsid w:val="00DC0AA4"/>
    <w:rsid w:val="00DD5CCD"/>
    <w:rsid w:val="00DE3D0C"/>
    <w:rsid w:val="00DF6FB4"/>
    <w:rsid w:val="00E043AA"/>
    <w:rsid w:val="00E14205"/>
    <w:rsid w:val="00E31779"/>
    <w:rsid w:val="00E337E5"/>
    <w:rsid w:val="00E344FB"/>
    <w:rsid w:val="00E91573"/>
    <w:rsid w:val="00E959BE"/>
    <w:rsid w:val="00E95E11"/>
    <w:rsid w:val="00ED3AC8"/>
    <w:rsid w:val="00ED5F88"/>
    <w:rsid w:val="00EE0828"/>
    <w:rsid w:val="00EF2F47"/>
    <w:rsid w:val="00F07F60"/>
    <w:rsid w:val="00F125D4"/>
    <w:rsid w:val="00F22F11"/>
    <w:rsid w:val="00F24646"/>
    <w:rsid w:val="00F26920"/>
    <w:rsid w:val="00F3142A"/>
    <w:rsid w:val="00F44B70"/>
    <w:rsid w:val="00F45330"/>
    <w:rsid w:val="00F46C3D"/>
    <w:rsid w:val="00F50F83"/>
    <w:rsid w:val="00F6037B"/>
    <w:rsid w:val="00F75DC4"/>
    <w:rsid w:val="00F77D33"/>
    <w:rsid w:val="00F87926"/>
    <w:rsid w:val="00F93007"/>
    <w:rsid w:val="00F93EDF"/>
    <w:rsid w:val="00FA05DA"/>
    <w:rsid w:val="00FB2748"/>
    <w:rsid w:val="00FB683C"/>
    <w:rsid w:val="00FC1556"/>
    <w:rsid w:val="00FC4351"/>
    <w:rsid w:val="00FD30C3"/>
    <w:rsid w:val="00FD6323"/>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AA6A84"/>
  <w15:chartTrackingRefBased/>
  <w15:docId w15:val="{BDED6CAF-BA3E-48DF-8AC1-F0060F45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F83"/>
    <w:rPr>
      <w:color w:val="0563C1" w:themeColor="hyperlink"/>
      <w:u w:val="single"/>
    </w:rPr>
  </w:style>
  <w:style w:type="character" w:styleId="UnresolvedMention">
    <w:name w:val="Unresolved Mention"/>
    <w:basedOn w:val="DefaultParagraphFont"/>
    <w:uiPriority w:val="99"/>
    <w:semiHidden/>
    <w:unhideWhenUsed/>
    <w:rsid w:val="00F50F83"/>
    <w:rPr>
      <w:color w:val="605E5C"/>
      <w:shd w:val="clear" w:color="auto" w:fill="E1DFDD"/>
    </w:rPr>
  </w:style>
  <w:style w:type="paragraph" w:customStyle="1" w:styleId="Default">
    <w:name w:val="Default"/>
    <w:rsid w:val="00F50F8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aliases w:val="List - Suggested Message"/>
    <w:basedOn w:val="Normal"/>
    <w:uiPriority w:val="34"/>
    <w:qFormat/>
    <w:rsid w:val="00DE3D0C"/>
    <w:pPr>
      <w:ind w:left="720"/>
      <w:contextualSpacing/>
    </w:pPr>
  </w:style>
  <w:style w:type="table" w:styleId="TableGrid">
    <w:name w:val="Table Grid"/>
    <w:basedOn w:val="TableNormal"/>
    <w:uiPriority w:val="59"/>
    <w:rsid w:val="0033501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1A84"/>
    <w:pPr>
      <w:spacing w:after="0" w:line="240" w:lineRule="auto"/>
    </w:pPr>
  </w:style>
  <w:style w:type="paragraph" w:styleId="NormalWeb">
    <w:name w:val="Normal (Web)"/>
    <w:basedOn w:val="Normal"/>
    <w:uiPriority w:val="99"/>
    <w:semiHidden/>
    <w:unhideWhenUsed/>
    <w:rsid w:val="00C2681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6745"/>
    <w:pPr>
      <w:tabs>
        <w:tab w:val="center" w:pos="4680"/>
        <w:tab w:val="right" w:pos="9360"/>
      </w:tabs>
      <w:spacing w:after="0" w:line="240" w:lineRule="auto"/>
    </w:pPr>
    <w:rPr>
      <w:lang w:val="en-CA"/>
    </w:rPr>
  </w:style>
  <w:style w:type="character" w:customStyle="1" w:styleId="HeaderChar">
    <w:name w:val="Header Char"/>
    <w:basedOn w:val="DefaultParagraphFont"/>
    <w:link w:val="Header"/>
    <w:uiPriority w:val="99"/>
    <w:rsid w:val="00746745"/>
    <w:rPr>
      <w:lang w:val="en-CA"/>
    </w:rPr>
  </w:style>
  <w:style w:type="paragraph" w:customStyle="1" w:styleId="Style1">
    <w:name w:val="Style1"/>
    <w:basedOn w:val="Normal"/>
    <w:link w:val="Style1Char"/>
    <w:qFormat/>
    <w:rsid w:val="00045C37"/>
    <w:pPr>
      <w:keepNext/>
      <w:spacing w:before="240" w:after="360" w:line="240" w:lineRule="auto"/>
      <w:contextualSpacing/>
      <w:outlineLvl w:val="2"/>
    </w:pPr>
    <w:rPr>
      <w:rFonts w:ascii="Arial" w:eastAsia="Times New Roman" w:hAnsi="Arial" w:cs="Times New Roman"/>
      <w:b/>
      <w:lang w:val="en-CA"/>
    </w:rPr>
  </w:style>
  <w:style w:type="character" w:customStyle="1" w:styleId="Style1Char">
    <w:name w:val="Style1 Char"/>
    <w:basedOn w:val="DefaultParagraphFont"/>
    <w:link w:val="Style1"/>
    <w:rsid w:val="00045C37"/>
    <w:rPr>
      <w:rFonts w:ascii="Arial" w:eastAsia="Times New Roman" w:hAnsi="Arial" w:cs="Times New Roman"/>
      <w:b/>
      <w:lang w:val="en-CA"/>
    </w:rPr>
  </w:style>
  <w:style w:type="paragraph" w:styleId="Footer">
    <w:name w:val="footer"/>
    <w:basedOn w:val="Normal"/>
    <w:link w:val="FooterChar"/>
    <w:uiPriority w:val="99"/>
    <w:unhideWhenUsed/>
    <w:rsid w:val="004B0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B79"/>
  </w:style>
  <w:style w:type="paragraph" w:styleId="Caption">
    <w:name w:val="caption"/>
    <w:basedOn w:val="Normal"/>
    <w:next w:val="Normal"/>
    <w:uiPriority w:val="35"/>
    <w:unhideWhenUsed/>
    <w:qFormat/>
    <w:rsid w:val="001E7A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368AC"/>
    <w:rPr>
      <w:sz w:val="16"/>
      <w:szCs w:val="16"/>
    </w:rPr>
  </w:style>
  <w:style w:type="paragraph" w:styleId="CommentText">
    <w:name w:val="annotation text"/>
    <w:basedOn w:val="Normal"/>
    <w:link w:val="CommentTextChar"/>
    <w:uiPriority w:val="99"/>
    <w:semiHidden/>
    <w:unhideWhenUsed/>
    <w:rsid w:val="00C368AC"/>
    <w:pPr>
      <w:spacing w:line="240" w:lineRule="auto"/>
    </w:pPr>
    <w:rPr>
      <w:sz w:val="20"/>
      <w:szCs w:val="20"/>
    </w:rPr>
  </w:style>
  <w:style w:type="character" w:customStyle="1" w:styleId="CommentTextChar">
    <w:name w:val="Comment Text Char"/>
    <w:basedOn w:val="DefaultParagraphFont"/>
    <w:link w:val="CommentText"/>
    <w:uiPriority w:val="99"/>
    <w:semiHidden/>
    <w:rsid w:val="00C368AC"/>
    <w:rPr>
      <w:sz w:val="20"/>
      <w:szCs w:val="20"/>
    </w:rPr>
  </w:style>
  <w:style w:type="paragraph" w:styleId="CommentSubject">
    <w:name w:val="annotation subject"/>
    <w:basedOn w:val="CommentText"/>
    <w:next w:val="CommentText"/>
    <w:link w:val="CommentSubjectChar"/>
    <w:uiPriority w:val="99"/>
    <w:semiHidden/>
    <w:unhideWhenUsed/>
    <w:rsid w:val="00C368AC"/>
    <w:rPr>
      <w:b/>
      <w:bCs/>
    </w:rPr>
  </w:style>
  <w:style w:type="character" w:customStyle="1" w:styleId="CommentSubjectChar">
    <w:name w:val="Comment Subject Char"/>
    <w:basedOn w:val="CommentTextChar"/>
    <w:link w:val="CommentSubject"/>
    <w:uiPriority w:val="99"/>
    <w:semiHidden/>
    <w:rsid w:val="00C368AC"/>
    <w:rPr>
      <w:b/>
      <w:bCs/>
      <w:sz w:val="20"/>
      <w:szCs w:val="20"/>
    </w:rPr>
  </w:style>
  <w:style w:type="paragraph" w:customStyle="1" w:styleId="Context-text">
    <w:name w:val="Context-text"/>
    <w:basedOn w:val="Normal"/>
    <w:qFormat/>
    <w:rsid w:val="007B1494"/>
    <w:pPr>
      <w:spacing w:before="60" w:after="60" w:line="240" w:lineRule="auto"/>
    </w:pPr>
    <w:rPr>
      <w:rFonts w:ascii="Arial" w:eastAsia="Times New Roman" w:hAnsi="Arial" w:cs="Times New Roman"/>
      <w:i/>
      <w:iCs/>
      <w:sz w:val="20"/>
      <w:szCs w:val="20"/>
    </w:rPr>
  </w:style>
  <w:style w:type="paragraph" w:customStyle="1" w:styleId="Context-Hyperlink">
    <w:name w:val="Context-Hyperlink"/>
    <w:basedOn w:val="Normal"/>
    <w:link w:val="Context-HyperlinkChar"/>
    <w:rsid w:val="007B1494"/>
    <w:pPr>
      <w:spacing w:after="0" w:line="240" w:lineRule="auto"/>
    </w:pPr>
    <w:rPr>
      <w:rFonts w:ascii="Arial" w:eastAsia="Times New Roman" w:hAnsi="Arial" w:cs="Times New Roman"/>
      <w:i/>
      <w:color w:val="0000FF"/>
      <w:sz w:val="20"/>
      <w:szCs w:val="20"/>
      <w:u w:val="single"/>
      <w:lang w:val="en-CA"/>
    </w:rPr>
  </w:style>
  <w:style w:type="character" w:customStyle="1" w:styleId="Context-HyperlinkChar">
    <w:name w:val="Context-Hyperlink Char"/>
    <w:basedOn w:val="DefaultParagraphFont"/>
    <w:link w:val="Context-Hyperlink"/>
    <w:rsid w:val="007B1494"/>
    <w:rPr>
      <w:rFonts w:ascii="Arial" w:eastAsia="Times New Roman" w:hAnsi="Arial" w:cs="Times New Roman"/>
      <w:i/>
      <w:color w:val="0000FF"/>
      <w:sz w:val="20"/>
      <w:szCs w:val="20"/>
      <w:u w:val="single"/>
      <w:lang w:val="en-CA"/>
    </w:rPr>
  </w:style>
  <w:style w:type="paragraph" w:customStyle="1" w:styleId="CM23">
    <w:name w:val="CM23"/>
    <w:basedOn w:val="Default"/>
    <w:next w:val="Default"/>
    <w:uiPriority w:val="99"/>
    <w:rsid w:val="00CD4A11"/>
    <w:rPr>
      <w:rFonts w:ascii="Nimbus Sans L" w:hAnsi="Nimbus Sans L" w:cstheme="minorBidi"/>
      <w:color w:val="auto"/>
    </w:rPr>
  </w:style>
  <w:style w:type="paragraph" w:styleId="ListBullet">
    <w:name w:val="List Bullet"/>
    <w:basedOn w:val="Normal"/>
    <w:qFormat/>
    <w:rsid w:val="00871E16"/>
    <w:pPr>
      <w:numPr>
        <w:numId w:val="36"/>
      </w:numPr>
      <w:spacing w:after="120" w:line="240" w:lineRule="auto"/>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5792">
      <w:bodyDiv w:val="1"/>
      <w:marLeft w:val="0"/>
      <w:marRight w:val="0"/>
      <w:marTop w:val="0"/>
      <w:marBottom w:val="0"/>
      <w:divBdr>
        <w:top w:val="none" w:sz="0" w:space="0" w:color="auto"/>
        <w:left w:val="none" w:sz="0" w:space="0" w:color="auto"/>
        <w:bottom w:val="none" w:sz="0" w:space="0" w:color="auto"/>
        <w:right w:val="none" w:sz="0" w:space="0" w:color="auto"/>
      </w:divBdr>
      <w:divsChild>
        <w:div w:id="349798229">
          <w:marLeft w:val="360"/>
          <w:marRight w:val="0"/>
          <w:marTop w:val="200"/>
          <w:marBottom w:val="0"/>
          <w:divBdr>
            <w:top w:val="none" w:sz="0" w:space="0" w:color="auto"/>
            <w:left w:val="none" w:sz="0" w:space="0" w:color="auto"/>
            <w:bottom w:val="none" w:sz="0" w:space="0" w:color="auto"/>
            <w:right w:val="none" w:sz="0" w:space="0" w:color="auto"/>
          </w:divBdr>
        </w:div>
        <w:div w:id="541600062">
          <w:marLeft w:val="1080"/>
          <w:marRight w:val="0"/>
          <w:marTop w:val="100"/>
          <w:marBottom w:val="0"/>
          <w:divBdr>
            <w:top w:val="none" w:sz="0" w:space="0" w:color="auto"/>
            <w:left w:val="none" w:sz="0" w:space="0" w:color="auto"/>
            <w:bottom w:val="none" w:sz="0" w:space="0" w:color="auto"/>
            <w:right w:val="none" w:sz="0" w:space="0" w:color="auto"/>
          </w:divBdr>
        </w:div>
        <w:div w:id="69279297">
          <w:marLeft w:val="1080"/>
          <w:marRight w:val="0"/>
          <w:marTop w:val="100"/>
          <w:marBottom w:val="0"/>
          <w:divBdr>
            <w:top w:val="none" w:sz="0" w:space="0" w:color="auto"/>
            <w:left w:val="none" w:sz="0" w:space="0" w:color="auto"/>
            <w:bottom w:val="none" w:sz="0" w:space="0" w:color="auto"/>
            <w:right w:val="none" w:sz="0" w:space="0" w:color="auto"/>
          </w:divBdr>
        </w:div>
      </w:divsChild>
    </w:div>
    <w:div w:id="1124302409">
      <w:bodyDiv w:val="1"/>
      <w:marLeft w:val="0"/>
      <w:marRight w:val="0"/>
      <w:marTop w:val="0"/>
      <w:marBottom w:val="0"/>
      <w:divBdr>
        <w:top w:val="none" w:sz="0" w:space="0" w:color="auto"/>
        <w:left w:val="none" w:sz="0" w:space="0" w:color="auto"/>
        <w:bottom w:val="none" w:sz="0" w:space="0" w:color="auto"/>
        <w:right w:val="none" w:sz="0" w:space="0" w:color="auto"/>
      </w:divBdr>
      <w:divsChild>
        <w:div w:id="623997642">
          <w:marLeft w:val="1080"/>
          <w:marRight w:val="0"/>
          <w:marTop w:val="100"/>
          <w:marBottom w:val="0"/>
          <w:divBdr>
            <w:top w:val="none" w:sz="0" w:space="0" w:color="auto"/>
            <w:left w:val="none" w:sz="0" w:space="0" w:color="auto"/>
            <w:bottom w:val="none" w:sz="0" w:space="0" w:color="auto"/>
            <w:right w:val="none" w:sz="0" w:space="0" w:color="auto"/>
          </w:divBdr>
        </w:div>
        <w:div w:id="234627337">
          <w:marLeft w:val="1080"/>
          <w:marRight w:val="0"/>
          <w:marTop w:val="100"/>
          <w:marBottom w:val="0"/>
          <w:divBdr>
            <w:top w:val="none" w:sz="0" w:space="0" w:color="auto"/>
            <w:left w:val="none" w:sz="0" w:space="0" w:color="auto"/>
            <w:bottom w:val="none" w:sz="0" w:space="0" w:color="auto"/>
            <w:right w:val="none" w:sz="0" w:space="0" w:color="auto"/>
          </w:divBdr>
        </w:div>
        <w:div w:id="422920255">
          <w:marLeft w:val="1080"/>
          <w:marRight w:val="0"/>
          <w:marTop w:val="100"/>
          <w:marBottom w:val="0"/>
          <w:divBdr>
            <w:top w:val="none" w:sz="0" w:space="0" w:color="auto"/>
            <w:left w:val="none" w:sz="0" w:space="0" w:color="auto"/>
            <w:bottom w:val="none" w:sz="0" w:space="0" w:color="auto"/>
            <w:right w:val="none" w:sz="0" w:space="0" w:color="auto"/>
          </w:divBdr>
        </w:div>
      </w:divsChild>
    </w:div>
    <w:div w:id="1268733335">
      <w:bodyDiv w:val="1"/>
      <w:marLeft w:val="0"/>
      <w:marRight w:val="0"/>
      <w:marTop w:val="0"/>
      <w:marBottom w:val="0"/>
      <w:divBdr>
        <w:top w:val="none" w:sz="0" w:space="0" w:color="auto"/>
        <w:left w:val="none" w:sz="0" w:space="0" w:color="auto"/>
        <w:bottom w:val="none" w:sz="0" w:space="0" w:color="auto"/>
        <w:right w:val="none" w:sz="0" w:space="0" w:color="auto"/>
      </w:divBdr>
    </w:div>
    <w:div w:id="1491674733">
      <w:bodyDiv w:val="1"/>
      <w:marLeft w:val="0"/>
      <w:marRight w:val="0"/>
      <w:marTop w:val="0"/>
      <w:marBottom w:val="0"/>
      <w:divBdr>
        <w:top w:val="none" w:sz="0" w:space="0" w:color="auto"/>
        <w:left w:val="none" w:sz="0" w:space="0" w:color="auto"/>
        <w:bottom w:val="none" w:sz="0" w:space="0" w:color="auto"/>
        <w:right w:val="none" w:sz="0" w:space="0" w:color="auto"/>
      </w:divBdr>
    </w:div>
    <w:div w:id="1493250581">
      <w:bodyDiv w:val="1"/>
      <w:marLeft w:val="0"/>
      <w:marRight w:val="0"/>
      <w:marTop w:val="0"/>
      <w:marBottom w:val="0"/>
      <w:divBdr>
        <w:top w:val="none" w:sz="0" w:space="0" w:color="auto"/>
        <w:left w:val="none" w:sz="0" w:space="0" w:color="auto"/>
        <w:bottom w:val="none" w:sz="0" w:space="0" w:color="auto"/>
        <w:right w:val="none" w:sz="0" w:space="0" w:color="auto"/>
      </w:divBdr>
      <w:divsChild>
        <w:div w:id="1314600240">
          <w:marLeft w:val="360"/>
          <w:marRight w:val="0"/>
          <w:marTop w:val="200"/>
          <w:marBottom w:val="120"/>
          <w:divBdr>
            <w:top w:val="none" w:sz="0" w:space="0" w:color="auto"/>
            <w:left w:val="none" w:sz="0" w:space="0" w:color="auto"/>
            <w:bottom w:val="none" w:sz="0" w:space="0" w:color="auto"/>
            <w:right w:val="none" w:sz="0" w:space="0" w:color="auto"/>
          </w:divBdr>
        </w:div>
        <w:div w:id="401872101">
          <w:marLeft w:val="360"/>
          <w:marRight w:val="0"/>
          <w:marTop w:val="200"/>
          <w:marBottom w:val="120"/>
          <w:divBdr>
            <w:top w:val="none" w:sz="0" w:space="0" w:color="auto"/>
            <w:left w:val="none" w:sz="0" w:space="0" w:color="auto"/>
            <w:bottom w:val="none" w:sz="0" w:space="0" w:color="auto"/>
            <w:right w:val="none" w:sz="0" w:space="0" w:color="auto"/>
          </w:divBdr>
        </w:div>
        <w:div w:id="774137451">
          <w:marLeft w:val="360"/>
          <w:marRight w:val="0"/>
          <w:marTop w:val="200"/>
          <w:marBottom w:val="120"/>
          <w:divBdr>
            <w:top w:val="none" w:sz="0" w:space="0" w:color="auto"/>
            <w:left w:val="none" w:sz="0" w:space="0" w:color="auto"/>
            <w:bottom w:val="none" w:sz="0" w:space="0" w:color="auto"/>
            <w:right w:val="none" w:sz="0" w:space="0" w:color="auto"/>
          </w:divBdr>
        </w:div>
        <w:div w:id="2105295227">
          <w:marLeft w:val="360"/>
          <w:marRight w:val="0"/>
          <w:marTop w:val="200"/>
          <w:marBottom w:val="120"/>
          <w:divBdr>
            <w:top w:val="none" w:sz="0" w:space="0" w:color="auto"/>
            <w:left w:val="none" w:sz="0" w:space="0" w:color="auto"/>
            <w:bottom w:val="none" w:sz="0" w:space="0" w:color="auto"/>
            <w:right w:val="none" w:sz="0" w:space="0" w:color="auto"/>
          </w:divBdr>
        </w:div>
        <w:div w:id="95059045">
          <w:marLeft w:val="360"/>
          <w:marRight w:val="0"/>
          <w:marTop w:val="200"/>
          <w:marBottom w:val="120"/>
          <w:divBdr>
            <w:top w:val="none" w:sz="0" w:space="0" w:color="auto"/>
            <w:left w:val="none" w:sz="0" w:space="0" w:color="auto"/>
            <w:bottom w:val="none" w:sz="0" w:space="0" w:color="auto"/>
            <w:right w:val="none" w:sz="0" w:space="0" w:color="auto"/>
          </w:divBdr>
        </w:div>
      </w:divsChild>
    </w:div>
    <w:div w:id="1553494137">
      <w:bodyDiv w:val="1"/>
      <w:marLeft w:val="0"/>
      <w:marRight w:val="0"/>
      <w:marTop w:val="0"/>
      <w:marBottom w:val="0"/>
      <w:divBdr>
        <w:top w:val="none" w:sz="0" w:space="0" w:color="auto"/>
        <w:left w:val="none" w:sz="0" w:space="0" w:color="auto"/>
        <w:bottom w:val="none" w:sz="0" w:space="0" w:color="auto"/>
        <w:right w:val="none" w:sz="0" w:space="0" w:color="auto"/>
      </w:divBdr>
      <w:divsChild>
        <w:div w:id="87122126">
          <w:marLeft w:val="360"/>
          <w:marRight w:val="0"/>
          <w:marTop w:val="0"/>
          <w:marBottom w:val="0"/>
          <w:divBdr>
            <w:top w:val="none" w:sz="0" w:space="0" w:color="auto"/>
            <w:left w:val="none" w:sz="0" w:space="0" w:color="auto"/>
            <w:bottom w:val="none" w:sz="0" w:space="0" w:color="auto"/>
            <w:right w:val="none" w:sz="0" w:space="0" w:color="auto"/>
          </w:divBdr>
        </w:div>
        <w:div w:id="911693768">
          <w:marLeft w:val="360"/>
          <w:marRight w:val="0"/>
          <w:marTop w:val="0"/>
          <w:marBottom w:val="0"/>
          <w:divBdr>
            <w:top w:val="none" w:sz="0" w:space="0" w:color="auto"/>
            <w:left w:val="none" w:sz="0" w:space="0" w:color="auto"/>
            <w:bottom w:val="none" w:sz="0" w:space="0" w:color="auto"/>
            <w:right w:val="none" w:sz="0" w:space="0" w:color="auto"/>
          </w:divBdr>
        </w:div>
        <w:div w:id="1236939629">
          <w:marLeft w:val="360"/>
          <w:marRight w:val="0"/>
          <w:marTop w:val="0"/>
          <w:marBottom w:val="0"/>
          <w:divBdr>
            <w:top w:val="none" w:sz="0" w:space="0" w:color="auto"/>
            <w:left w:val="none" w:sz="0" w:space="0" w:color="auto"/>
            <w:bottom w:val="none" w:sz="0" w:space="0" w:color="auto"/>
            <w:right w:val="none" w:sz="0" w:space="0" w:color="auto"/>
          </w:divBdr>
        </w:div>
        <w:div w:id="404651904">
          <w:marLeft w:val="360"/>
          <w:marRight w:val="0"/>
          <w:marTop w:val="0"/>
          <w:marBottom w:val="0"/>
          <w:divBdr>
            <w:top w:val="none" w:sz="0" w:space="0" w:color="auto"/>
            <w:left w:val="none" w:sz="0" w:space="0" w:color="auto"/>
            <w:bottom w:val="none" w:sz="0" w:space="0" w:color="auto"/>
            <w:right w:val="none" w:sz="0" w:space="0" w:color="auto"/>
          </w:divBdr>
        </w:div>
        <w:div w:id="253973849">
          <w:marLeft w:val="360"/>
          <w:marRight w:val="0"/>
          <w:marTop w:val="0"/>
          <w:marBottom w:val="0"/>
          <w:divBdr>
            <w:top w:val="none" w:sz="0" w:space="0" w:color="auto"/>
            <w:left w:val="none" w:sz="0" w:space="0" w:color="auto"/>
            <w:bottom w:val="none" w:sz="0" w:space="0" w:color="auto"/>
            <w:right w:val="none" w:sz="0" w:space="0" w:color="auto"/>
          </w:divBdr>
        </w:div>
      </w:divsChild>
    </w:div>
    <w:div w:id="1568422728">
      <w:bodyDiv w:val="1"/>
      <w:marLeft w:val="0"/>
      <w:marRight w:val="0"/>
      <w:marTop w:val="0"/>
      <w:marBottom w:val="0"/>
      <w:divBdr>
        <w:top w:val="none" w:sz="0" w:space="0" w:color="auto"/>
        <w:left w:val="none" w:sz="0" w:space="0" w:color="auto"/>
        <w:bottom w:val="none" w:sz="0" w:space="0" w:color="auto"/>
        <w:right w:val="none" w:sz="0" w:space="0" w:color="auto"/>
      </w:divBdr>
      <w:divsChild>
        <w:div w:id="1744327178">
          <w:marLeft w:val="1080"/>
          <w:marRight w:val="0"/>
          <w:marTop w:val="100"/>
          <w:marBottom w:val="240"/>
          <w:divBdr>
            <w:top w:val="none" w:sz="0" w:space="0" w:color="auto"/>
            <w:left w:val="none" w:sz="0" w:space="0" w:color="auto"/>
            <w:bottom w:val="none" w:sz="0" w:space="0" w:color="auto"/>
            <w:right w:val="none" w:sz="0" w:space="0" w:color="auto"/>
          </w:divBdr>
        </w:div>
      </w:divsChild>
    </w:div>
    <w:div w:id="1598444617">
      <w:bodyDiv w:val="1"/>
      <w:marLeft w:val="0"/>
      <w:marRight w:val="0"/>
      <w:marTop w:val="0"/>
      <w:marBottom w:val="0"/>
      <w:divBdr>
        <w:top w:val="none" w:sz="0" w:space="0" w:color="auto"/>
        <w:left w:val="none" w:sz="0" w:space="0" w:color="auto"/>
        <w:bottom w:val="none" w:sz="0" w:space="0" w:color="auto"/>
        <w:right w:val="none" w:sz="0" w:space="0" w:color="auto"/>
      </w:divBdr>
    </w:div>
    <w:div w:id="1633100215">
      <w:bodyDiv w:val="1"/>
      <w:marLeft w:val="0"/>
      <w:marRight w:val="0"/>
      <w:marTop w:val="0"/>
      <w:marBottom w:val="0"/>
      <w:divBdr>
        <w:top w:val="none" w:sz="0" w:space="0" w:color="auto"/>
        <w:left w:val="none" w:sz="0" w:space="0" w:color="auto"/>
        <w:bottom w:val="none" w:sz="0" w:space="0" w:color="auto"/>
        <w:right w:val="none" w:sz="0" w:space="0" w:color="auto"/>
      </w:divBdr>
    </w:div>
    <w:div w:id="188366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fo-mpo.gc.ca/csas-sccs/Publications/SAR-AS/2020/2020_024-eng.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isdm-gdsi.gc.ca/csas-sccs/applications/events-evenements/index-eng.asp" TargetMode="External"/><Relationship Id="rId13" Type="http://schemas.openxmlformats.org/officeDocument/2006/relationships/hyperlink" Target="https://waves-vagues.dfo-mpo.gc.ca/library-bibliotheque/365593.pdf?_gl=1*1ravech*_ga*MTQ3MTgzODM1Ni4xNTUyMzIwMDQz*_ga_7CCSB32R7T*MTY3Mzg5MTc2Ny41LjAuMTY3Mzg5MTc2Ny4wLjAuMA"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182A1-E356-4CC0-B2EF-4FDD8C08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14</Pages>
  <Words>4806</Words>
  <Characters>27395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Greenlaw, Michelle</dc:creator>
  <cp:keywords/>
  <dc:description/>
  <cp:lastModifiedBy>Greenlaw, Michelle</cp:lastModifiedBy>
  <cp:revision>31</cp:revision>
  <cp:lastPrinted>2022-11-08T14:26:00Z</cp:lastPrinted>
  <dcterms:created xsi:type="dcterms:W3CDTF">2022-12-22T17:57:00Z</dcterms:created>
  <dcterms:modified xsi:type="dcterms:W3CDTF">2023-01-20T15:31:00Z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2022-05-02T19:32:04Z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2495e0a0-bda2-4cf6-8918-0000744621c2</vt:lpwstr>
  </property>
</Properties>
</file>