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489899" w14:textId="77777777" w:rsidR="008837DF" w:rsidRPr="003F555F" w:rsidRDefault="00E568C1">
      <w:pPr>
        <w:rPr>
          <w:sz w:val="20"/>
          <w:szCs w:val="20"/>
        </w:rPr>
      </w:pPr>
      <w:proofErr w:type="spellStart"/>
      <w:r w:rsidRPr="003F555F">
        <w:rPr>
          <w:sz w:val="20"/>
          <w:szCs w:val="20"/>
        </w:rPr>
        <w:t>Biol</w:t>
      </w:r>
      <w:proofErr w:type="spellEnd"/>
      <w:r w:rsidRPr="003F555F">
        <w:rPr>
          <w:sz w:val="20"/>
          <w:szCs w:val="20"/>
        </w:rPr>
        <w:t xml:space="preserve"> 419 </w:t>
      </w:r>
    </w:p>
    <w:p w14:paraId="7B12D1DD" w14:textId="77777777" w:rsidR="00E568C1" w:rsidRPr="003F555F" w:rsidRDefault="00E568C1">
      <w:pPr>
        <w:rPr>
          <w:sz w:val="20"/>
          <w:szCs w:val="20"/>
        </w:rPr>
      </w:pPr>
    </w:p>
    <w:p w14:paraId="1C09FE0A" w14:textId="77777777" w:rsidR="00E568C1" w:rsidRPr="003F555F" w:rsidRDefault="00E568C1">
      <w:pPr>
        <w:rPr>
          <w:b/>
          <w:sz w:val="20"/>
          <w:szCs w:val="20"/>
        </w:rPr>
      </w:pPr>
      <w:r w:rsidRPr="003F555F">
        <w:rPr>
          <w:b/>
          <w:sz w:val="20"/>
          <w:szCs w:val="20"/>
        </w:rPr>
        <w:t>Introduction:</w:t>
      </w:r>
    </w:p>
    <w:p w14:paraId="46639355" w14:textId="77777777" w:rsidR="00E568C1" w:rsidRPr="003F555F" w:rsidRDefault="00E568C1">
      <w:pPr>
        <w:rPr>
          <w:sz w:val="20"/>
          <w:szCs w:val="20"/>
        </w:rPr>
      </w:pPr>
    </w:p>
    <w:p w14:paraId="75180B94" w14:textId="77777777" w:rsidR="00F827A4" w:rsidRPr="003F555F" w:rsidRDefault="00E568C1" w:rsidP="00F827A4">
      <w:pPr>
        <w:spacing w:line="480" w:lineRule="auto"/>
        <w:rPr>
          <w:sz w:val="20"/>
          <w:szCs w:val="20"/>
        </w:rPr>
      </w:pPr>
      <w:r w:rsidRPr="003F555F">
        <w:rPr>
          <w:sz w:val="20"/>
          <w:szCs w:val="20"/>
        </w:rPr>
        <w:tab/>
      </w:r>
      <w:r w:rsidR="00BA38E4" w:rsidRPr="003F555F">
        <w:rPr>
          <w:sz w:val="20"/>
          <w:szCs w:val="20"/>
        </w:rPr>
        <w:t xml:space="preserve">Pseudo-replication, wherein an experimenter takes multiple measurements from a single experimental unit, is one of many pitfalls endemic to experimental design and can lead to an experimenter reaching improper conclusions </w:t>
      </w:r>
      <w:r w:rsidR="00E4284B" w:rsidRPr="003F555F">
        <w:rPr>
          <w:sz w:val="20"/>
          <w:szCs w:val="20"/>
        </w:rPr>
        <w:t xml:space="preserve">and incorrect inference </w:t>
      </w:r>
      <w:r w:rsidR="00BA38E4" w:rsidRPr="003F555F">
        <w:rPr>
          <w:sz w:val="20"/>
          <w:szCs w:val="20"/>
        </w:rPr>
        <w:t xml:space="preserve">due to </w:t>
      </w:r>
      <w:r w:rsidR="00E4284B" w:rsidRPr="003F555F">
        <w:rPr>
          <w:sz w:val="20"/>
          <w:szCs w:val="20"/>
        </w:rPr>
        <w:t xml:space="preserve">the inability to distinguish the difference between treatment and individual unit variability. </w:t>
      </w:r>
      <w:r w:rsidR="0027453E" w:rsidRPr="003F555F">
        <w:rPr>
          <w:sz w:val="20"/>
          <w:szCs w:val="20"/>
        </w:rPr>
        <w:t xml:space="preserve">Pseudo-replication is of special interest in ecological experiments, as </w:t>
      </w:r>
      <w:proofErr w:type="spellStart"/>
      <w:r w:rsidR="0027453E" w:rsidRPr="003F555F">
        <w:rPr>
          <w:sz w:val="20"/>
          <w:szCs w:val="20"/>
        </w:rPr>
        <w:t>Hurlbert</w:t>
      </w:r>
      <w:proofErr w:type="spellEnd"/>
      <w:r w:rsidR="0027453E" w:rsidRPr="003F555F">
        <w:rPr>
          <w:sz w:val="20"/>
          <w:szCs w:val="20"/>
        </w:rPr>
        <w:t xml:space="preserve"> identified that of 176 ecological studies conducted in a 17-year period that applied inferential statistics, 48% of them had pseudo-replication occurring in the design, producing potentially incorrect results (</w:t>
      </w:r>
      <w:proofErr w:type="spellStart"/>
      <w:r w:rsidR="0027453E" w:rsidRPr="003F555F">
        <w:rPr>
          <w:sz w:val="20"/>
          <w:szCs w:val="20"/>
        </w:rPr>
        <w:t>Hurlbert</w:t>
      </w:r>
      <w:proofErr w:type="spellEnd"/>
      <w:r w:rsidR="0027453E" w:rsidRPr="003F555F">
        <w:rPr>
          <w:sz w:val="20"/>
          <w:szCs w:val="20"/>
        </w:rPr>
        <w:t>, 1984)</w:t>
      </w:r>
      <w:r w:rsidR="00BA38E4" w:rsidRPr="003F555F">
        <w:rPr>
          <w:sz w:val="20"/>
          <w:szCs w:val="20"/>
        </w:rPr>
        <w:t xml:space="preserve">. </w:t>
      </w:r>
      <w:r w:rsidR="00F827A4" w:rsidRPr="003F555F">
        <w:rPr>
          <w:sz w:val="20"/>
          <w:szCs w:val="20"/>
        </w:rPr>
        <w:t xml:space="preserve">Pseudo-replication has multiple causes, including limitations caused by experimental material, budgetary </w:t>
      </w:r>
      <w:r w:rsidR="00611AC6" w:rsidRPr="003F555F">
        <w:rPr>
          <w:sz w:val="20"/>
          <w:szCs w:val="20"/>
        </w:rPr>
        <w:t>or time constraints</w:t>
      </w:r>
      <w:proofErr w:type="gramStart"/>
      <w:r w:rsidR="00611AC6" w:rsidRPr="003F555F">
        <w:rPr>
          <w:sz w:val="20"/>
          <w:szCs w:val="20"/>
        </w:rPr>
        <w:t>,  and</w:t>
      </w:r>
      <w:proofErr w:type="gramEnd"/>
      <w:r w:rsidR="00611AC6" w:rsidRPr="003F555F">
        <w:rPr>
          <w:sz w:val="20"/>
          <w:szCs w:val="20"/>
        </w:rPr>
        <w:t xml:space="preserve"> other limiting factors. </w:t>
      </w:r>
    </w:p>
    <w:p w14:paraId="36811597" w14:textId="77777777" w:rsidR="00611AC6" w:rsidRPr="003F555F" w:rsidRDefault="00BA38E4" w:rsidP="00611AC6">
      <w:pPr>
        <w:spacing w:line="480" w:lineRule="auto"/>
        <w:ind w:firstLine="720"/>
        <w:rPr>
          <w:sz w:val="20"/>
          <w:szCs w:val="20"/>
        </w:rPr>
      </w:pPr>
      <w:r w:rsidRPr="003F555F">
        <w:rPr>
          <w:sz w:val="20"/>
          <w:szCs w:val="20"/>
        </w:rPr>
        <w:t xml:space="preserve">One potential solution to the pseudo-replication </w:t>
      </w:r>
      <w:r w:rsidR="00F827A4" w:rsidRPr="003F555F">
        <w:rPr>
          <w:sz w:val="20"/>
          <w:szCs w:val="20"/>
        </w:rPr>
        <w:t>is the use of a blocking structure in the experimental design. Blocking is the creation of subsets within an experimental unit, inside of which variability is expected to be roughly homogenous, but variability is expected to be heterogeneous between individual blocks. This heterogeneity between blocks allows the attribution of experimental variance to a block effect, reducing background variability and improving the precision of treatment comparisons (</w:t>
      </w:r>
      <w:proofErr w:type="spellStart"/>
      <w:r w:rsidR="00F827A4" w:rsidRPr="003F555F">
        <w:rPr>
          <w:sz w:val="20"/>
          <w:szCs w:val="20"/>
        </w:rPr>
        <w:t>Welham</w:t>
      </w:r>
      <w:proofErr w:type="spellEnd"/>
      <w:r w:rsidR="00F827A4" w:rsidRPr="003F555F">
        <w:rPr>
          <w:sz w:val="20"/>
          <w:szCs w:val="20"/>
        </w:rPr>
        <w:t xml:space="preserve"> et al, 2015). </w:t>
      </w:r>
      <w:r w:rsidR="00611AC6" w:rsidRPr="003F555F">
        <w:rPr>
          <w:sz w:val="20"/>
          <w:szCs w:val="20"/>
        </w:rPr>
        <w:t xml:space="preserve">The decision for using a blocking structure requires information upon the type and magnitude of heterogeneity within proposed blocks. </w:t>
      </w:r>
    </w:p>
    <w:p w14:paraId="11262032" w14:textId="77777777" w:rsidR="00996F8C" w:rsidRPr="003F555F" w:rsidRDefault="00611AC6" w:rsidP="00B43024">
      <w:pPr>
        <w:spacing w:line="480" w:lineRule="auto"/>
        <w:ind w:firstLine="720"/>
        <w:rPr>
          <w:sz w:val="20"/>
          <w:szCs w:val="20"/>
        </w:rPr>
      </w:pPr>
      <w:r w:rsidRPr="003F555F">
        <w:rPr>
          <w:sz w:val="20"/>
          <w:szCs w:val="20"/>
        </w:rPr>
        <w:t xml:space="preserve">Our data analysis project focuses on the design stage of a laboratory disease challenge study, which is attempting to identify species based sensitivity in abalone to the bacterial disease </w:t>
      </w:r>
      <w:r w:rsidRPr="003F555F">
        <w:rPr>
          <w:i/>
          <w:sz w:val="20"/>
          <w:szCs w:val="20"/>
        </w:rPr>
        <w:t>Candidatus Xenohaliotis californiensis</w:t>
      </w:r>
      <w:r w:rsidRPr="003F555F">
        <w:rPr>
          <w:sz w:val="20"/>
          <w:szCs w:val="20"/>
        </w:rPr>
        <w:t xml:space="preserve">, or Abalone Withering Syndrome. This disease </w:t>
      </w:r>
      <w:r w:rsidR="00B43024" w:rsidRPr="003F555F">
        <w:rPr>
          <w:sz w:val="20"/>
          <w:szCs w:val="20"/>
        </w:rPr>
        <w:t xml:space="preserve">is nearly always fatal upon infection, though </w:t>
      </w:r>
      <w:r w:rsidRPr="003F555F">
        <w:rPr>
          <w:sz w:val="20"/>
          <w:szCs w:val="20"/>
        </w:rPr>
        <w:t xml:space="preserve">is endemic to a large portion of the west coast of the United States, having been observed as far north as Crescent City, </w:t>
      </w:r>
      <w:r w:rsidR="00E84384" w:rsidRPr="003F555F">
        <w:rPr>
          <w:sz w:val="20"/>
          <w:szCs w:val="20"/>
        </w:rPr>
        <w:t>California;</w:t>
      </w:r>
      <w:r w:rsidRPr="003F555F">
        <w:rPr>
          <w:sz w:val="20"/>
          <w:szCs w:val="20"/>
        </w:rPr>
        <w:t xml:space="preserve"> </w:t>
      </w:r>
      <w:r w:rsidR="00B43024" w:rsidRPr="003F555F">
        <w:rPr>
          <w:sz w:val="20"/>
          <w:szCs w:val="20"/>
        </w:rPr>
        <w:t>and continues to march northward, aided by increasing ocean temperatures due to global climate change and other factors</w:t>
      </w:r>
      <w:r w:rsidRPr="003F555F">
        <w:rPr>
          <w:sz w:val="20"/>
          <w:szCs w:val="20"/>
        </w:rPr>
        <w:t xml:space="preserve"> (</w:t>
      </w:r>
      <w:proofErr w:type="spellStart"/>
      <w:r w:rsidRPr="003F555F">
        <w:rPr>
          <w:sz w:val="20"/>
          <w:szCs w:val="20"/>
        </w:rPr>
        <w:t>Crosson</w:t>
      </w:r>
      <w:proofErr w:type="spellEnd"/>
      <w:r w:rsidRPr="003F555F">
        <w:rPr>
          <w:sz w:val="20"/>
          <w:szCs w:val="20"/>
        </w:rPr>
        <w:t xml:space="preserve"> et al., 2014)</w:t>
      </w:r>
      <w:r w:rsidR="00E84384" w:rsidRPr="003F555F">
        <w:rPr>
          <w:sz w:val="20"/>
          <w:szCs w:val="20"/>
        </w:rPr>
        <w:t xml:space="preserve">. </w:t>
      </w:r>
    </w:p>
    <w:p w14:paraId="7EADC593" w14:textId="77777777" w:rsidR="00996F8C" w:rsidRPr="003F555F" w:rsidRDefault="00B43024" w:rsidP="00B43024">
      <w:pPr>
        <w:spacing w:line="480" w:lineRule="auto"/>
        <w:ind w:firstLine="720"/>
        <w:rPr>
          <w:sz w:val="20"/>
          <w:szCs w:val="20"/>
        </w:rPr>
      </w:pPr>
      <w:r w:rsidRPr="003F555F">
        <w:rPr>
          <w:sz w:val="20"/>
          <w:szCs w:val="20"/>
        </w:rPr>
        <w:t>W</w:t>
      </w:r>
      <w:r w:rsidR="00E84384" w:rsidRPr="003F555F">
        <w:rPr>
          <w:sz w:val="20"/>
          <w:szCs w:val="20"/>
        </w:rPr>
        <w:t xml:space="preserve">e have chosen </w:t>
      </w:r>
      <w:r w:rsidRPr="003F555F">
        <w:rPr>
          <w:sz w:val="20"/>
          <w:szCs w:val="20"/>
        </w:rPr>
        <w:t xml:space="preserve">four species, all of which are native to the endemic range of the disease, and all of which are currently the focus of aquaculture efforts in the range of the disease and are </w:t>
      </w:r>
      <w:r w:rsidR="00E84384" w:rsidRPr="003F555F">
        <w:rPr>
          <w:sz w:val="20"/>
          <w:szCs w:val="20"/>
        </w:rPr>
        <w:t>the Red (</w:t>
      </w:r>
      <w:r w:rsidR="00E84384" w:rsidRPr="003F555F">
        <w:rPr>
          <w:i/>
          <w:sz w:val="20"/>
          <w:szCs w:val="20"/>
        </w:rPr>
        <w:t xml:space="preserve">Haliotis rufescens), </w:t>
      </w:r>
      <w:r w:rsidR="008407C2" w:rsidRPr="003F555F">
        <w:rPr>
          <w:sz w:val="20"/>
          <w:szCs w:val="20"/>
        </w:rPr>
        <w:t>Pink (</w:t>
      </w:r>
      <w:r w:rsidR="008407C2" w:rsidRPr="003F555F">
        <w:rPr>
          <w:i/>
          <w:sz w:val="20"/>
          <w:szCs w:val="20"/>
        </w:rPr>
        <w:t xml:space="preserve">H. </w:t>
      </w:r>
      <w:proofErr w:type="spellStart"/>
      <w:r w:rsidR="008407C2" w:rsidRPr="003F555F">
        <w:rPr>
          <w:i/>
          <w:sz w:val="20"/>
          <w:szCs w:val="20"/>
        </w:rPr>
        <w:t>corrugata</w:t>
      </w:r>
      <w:proofErr w:type="spellEnd"/>
      <w:r w:rsidR="008407C2" w:rsidRPr="003F555F">
        <w:rPr>
          <w:i/>
          <w:sz w:val="20"/>
          <w:szCs w:val="20"/>
        </w:rPr>
        <w:t xml:space="preserve">), </w:t>
      </w:r>
      <w:r w:rsidR="00E84384" w:rsidRPr="003F555F">
        <w:rPr>
          <w:sz w:val="20"/>
          <w:szCs w:val="20"/>
        </w:rPr>
        <w:t>Pinto (</w:t>
      </w:r>
      <w:r w:rsidR="00E84384" w:rsidRPr="003F555F">
        <w:rPr>
          <w:i/>
          <w:sz w:val="20"/>
          <w:szCs w:val="20"/>
        </w:rPr>
        <w:t xml:space="preserve">H. kamtschatkana </w:t>
      </w:r>
      <w:proofErr w:type="spellStart"/>
      <w:r w:rsidR="00E84384" w:rsidRPr="003F555F">
        <w:rPr>
          <w:i/>
          <w:sz w:val="20"/>
          <w:szCs w:val="20"/>
        </w:rPr>
        <w:t>kamtschatkana</w:t>
      </w:r>
      <w:proofErr w:type="spellEnd"/>
      <w:r w:rsidR="00E84384" w:rsidRPr="003F555F">
        <w:rPr>
          <w:i/>
          <w:sz w:val="20"/>
          <w:szCs w:val="20"/>
        </w:rPr>
        <w:t>),</w:t>
      </w:r>
      <w:r w:rsidR="008407C2" w:rsidRPr="003F555F">
        <w:rPr>
          <w:i/>
          <w:sz w:val="20"/>
          <w:szCs w:val="20"/>
        </w:rPr>
        <w:t xml:space="preserve"> </w:t>
      </w:r>
      <w:r w:rsidR="008407C2" w:rsidRPr="003F555F">
        <w:rPr>
          <w:sz w:val="20"/>
          <w:szCs w:val="20"/>
        </w:rPr>
        <w:t>and</w:t>
      </w:r>
      <w:r w:rsidR="00E84384" w:rsidRPr="003F555F">
        <w:rPr>
          <w:i/>
          <w:sz w:val="20"/>
          <w:szCs w:val="20"/>
        </w:rPr>
        <w:t xml:space="preserve"> </w:t>
      </w:r>
      <w:r w:rsidR="00E84384" w:rsidRPr="003F555F">
        <w:rPr>
          <w:sz w:val="20"/>
          <w:szCs w:val="20"/>
        </w:rPr>
        <w:t>Black (</w:t>
      </w:r>
      <w:r w:rsidR="00E84384" w:rsidRPr="003F555F">
        <w:rPr>
          <w:i/>
          <w:sz w:val="20"/>
          <w:szCs w:val="20"/>
        </w:rPr>
        <w:t xml:space="preserve">H. </w:t>
      </w:r>
      <w:proofErr w:type="spellStart"/>
      <w:r w:rsidR="00E84384" w:rsidRPr="003F555F">
        <w:rPr>
          <w:i/>
          <w:sz w:val="20"/>
          <w:szCs w:val="20"/>
        </w:rPr>
        <w:lastRenderedPageBreak/>
        <w:t>cracherodii</w:t>
      </w:r>
      <w:proofErr w:type="spellEnd"/>
      <w:r w:rsidR="00E84384" w:rsidRPr="003F555F">
        <w:rPr>
          <w:i/>
          <w:sz w:val="20"/>
          <w:szCs w:val="20"/>
        </w:rPr>
        <w:t>)</w:t>
      </w:r>
      <w:r w:rsidR="008407C2" w:rsidRPr="003F555F">
        <w:rPr>
          <w:i/>
          <w:sz w:val="20"/>
          <w:szCs w:val="20"/>
        </w:rPr>
        <w:t xml:space="preserve"> </w:t>
      </w:r>
      <w:r w:rsidR="008407C2" w:rsidRPr="003F555F">
        <w:rPr>
          <w:sz w:val="20"/>
          <w:szCs w:val="20"/>
        </w:rPr>
        <w:t>abalones</w:t>
      </w:r>
      <w:r w:rsidR="008407C2" w:rsidRPr="003F555F">
        <w:rPr>
          <w:i/>
          <w:sz w:val="20"/>
          <w:szCs w:val="20"/>
        </w:rPr>
        <w:t xml:space="preserve">. </w:t>
      </w:r>
      <w:r w:rsidR="008407C2" w:rsidRPr="003F555F">
        <w:rPr>
          <w:sz w:val="20"/>
          <w:szCs w:val="20"/>
        </w:rPr>
        <w:t xml:space="preserve">We chose these species based upon two different main considerations, economic and ecological. Red and Pink abalone have current commercial aquaculture </w:t>
      </w:r>
      <w:r w:rsidR="00B07D85" w:rsidRPr="003F555F">
        <w:rPr>
          <w:sz w:val="20"/>
          <w:szCs w:val="20"/>
        </w:rPr>
        <w:t xml:space="preserve">importance, with </w:t>
      </w:r>
      <w:r w:rsidR="009C78D1" w:rsidRPr="003F555F">
        <w:rPr>
          <w:sz w:val="20"/>
          <w:szCs w:val="20"/>
        </w:rPr>
        <w:t xml:space="preserve">sales over 3 million dollars annually in California alone from the six operating commercial aquaculture facilities (McBride and Conte, 2000). Black and Pinto are not currently commercially </w:t>
      </w:r>
      <w:r w:rsidRPr="003F555F">
        <w:rPr>
          <w:sz w:val="20"/>
          <w:szCs w:val="20"/>
        </w:rPr>
        <w:t>exploited;</w:t>
      </w:r>
      <w:r w:rsidR="009C78D1" w:rsidRPr="003F555F">
        <w:rPr>
          <w:sz w:val="20"/>
          <w:szCs w:val="20"/>
        </w:rPr>
        <w:t xml:space="preserve"> instead the aquaculture is focused on species restoration, as </w:t>
      </w:r>
      <w:r w:rsidRPr="003F555F">
        <w:rPr>
          <w:sz w:val="20"/>
          <w:szCs w:val="20"/>
        </w:rPr>
        <w:t xml:space="preserve">the Endangered Species Act </w:t>
      </w:r>
      <w:r w:rsidR="00996F8C" w:rsidRPr="003F555F">
        <w:rPr>
          <w:sz w:val="20"/>
          <w:szCs w:val="20"/>
        </w:rPr>
        <w:t xml:space="preserve">(ESA) </w:t>
      </w:r>
      <w:r w:rsidRPr="003F555F">
        <w:rPr>
          <w:sz w:val="20"/>
          <w:szCs w:val="20"/>
        </w:rPr>
        <w:t xml:space="preserve">lists both species, with the Black abalone listed as endangered and the Pinto abalone listed as threatened. </w:t>
      </w:r>
    </w:p>
    <w:p w14:paraId="6E7EB97E" w14:textId="145186B0" w:rsidR="0008738A" w:rsidRPr="003F555F" w:rsidRDefault="00B43024" w:rsidP="0008738A">
      <w:pPr>
        <w:spacing w:line="480" w:lineRule="auto"/>
        <w:ind w:firstLine="720"/>
        <w:rPr>
          <w:sz w:val="20"/>
          <w:szCs w:val="20"/>
        </w:rPr>
      </w:pPr>
      <w:r w:rsidRPr="003F555F">
        <w:rPr>
          <w:sz w:val="20"/>
          <w:szCs w:val="20"/>
        </w:rPr>
        <w:t>Given that aquaculture facilities are hypothesized to serve as incubators, and potentially amplifiers of disease as well as the additional stresses placed upon animals in a</w:t>
      </w:r>
      <w:r w:rsidR="00996F8C" w:rsidRPr="003F555F">
        <w:rPr>
          <w:sz w:val="20"/>
          <w:szCs w:val="20"/>
        </w:rPr>
        <w:t>quaculture conditions potentially weakening the immunes systems of animals under culture, information regarding relative susceptibility of species to the disease in question could help to inform growers, both commercial and restoration focused, in which species to focus their limited space and budgets on, maximizing their effects (</w:t>
      </w:r>
      <w:proofErr w:type="spellStart"/>
      <w:r w:rsidR="00996F8C" w:rsidRPr="003F555F">
        <w:rPr>
          <w:sz w:val="20"/>
          <w:szCs w:val="20"/>
        </w:rPr>
        <w:t>Crosson</w:t>
      </w:r>
      <w:proofErr w:type="spellEnd"/>
      <w:r w:rsidR="00996F8C" w:rsidRPr="003F555F">
        <w:rPr>
          <w:sz w:val="20"/>
          <w:szCs w:val="20"/>
        </w:rPr>
        <w:t xml:space="preserve">, </w:t>
      </w:r>
      <w:r w:rsidR="00996F8C" w:rsidRPr="003F555F">
        <w:rPr>
          <w:i/>
          <w:sz w:val="20"/>
          <w:szCs w:val="20"/>
        </w:rPr>
        <w:t xml:space="preserve">private communication). </w:t>
      </w:r>
      <w:r w:rsidR="00996F8C" w:rsidRPr="003F555F">
        <w:rPr>
          <w:sz w:val="20"/>
          <w:szCs w:val="20"/>
        </w:rPr>
        <w:t>In aid of that goal, we have designed an experiment built around a small scale recirculating sea water system, with multiple sub-aquaria, in which we can challenge animals with the disease and measure any physiological changes associated with the disease, as well as time to mortality. Our experiment, which is severely limited in both space available, as it must be conducted in a WDFW permitted biohazard space, as well as in number of animals available, especially the Black and Pinto abalones, given their status as listed on the ESA and having to source them from growers who are highly reluctant to part with animals for experimentation, for obvious reasons. Given these limitations, we have designed an experiment built around a blocking structure to maximize the chance of seeing a likely small species effect on time to mortality when infected. In pursuit of this goal, we have designed a suite of remote sensors that can measure variability over time in temperature and water flow, between individual sub-aquaria, which will ass</w:t>
      </w:r>
      <w:r w:rsidR="002D1648" w:rsidRPr="003F555F">
        <w:rPr>
          <w:sz w:val="20"/>
          <w:szCs w:val="20"/>
        </w:rPr>
        <w:t>ist in the justification of both our design and subsequent analysis, if it is found that variability is heterogeneous between sub-aquaria based blocks.</w:t>
      </w:r>
      <w:r w:rsidR="00D2540C" w:rsidRPr="003F555F">
        <w:rPr>
          <w:sz w:val="20"/>
          <w:szCs w:val="20"/>
        </w:rPr>
        <w:t xml:space="preserve"> Upon sensor suite development, it was found that the water flow sensing capability was technically unfeasible due to limitations of microcomputer pro</w:t>
      </w:r>
      <w:r w:rsidR="00100843" w:rsidRPr="003F555F">
        <w:rPr>
          <w:sz w:val="20"/>
          <w:szCs w:val="20"/>
        </w:rPr>
        <w:t>cessing capabilities so our line of inquiry was scaled back to include temperature alone.</w:t>
      </w:r>
    </w:p>
    <w:p w14:paraId="6B818712" w14:textId="07B74CC7" w:rsidR="00B43024" w:rsidRPr="003F555F" w:rsidRDefault="0008738A" w:rsidP="0008738A">
      <w:pPr>
        <w:spacing w:line="480" w:lineRule="auto"/>
        <w:rPr>
          <w:b/>
          <w:sz w:val="20"/>
          <w:szCs w:val="20"/>
        </w:rPr>
      </w:pPr>
      <w:r w:rsidRPr="003F555F">
        <w:rPr>
          <w:b/>
          <w:sz w:val="20"/>
          <w:szCs w:val="20"/>
        </w:rPr>
        <w:t>Materials and Methods:</w:t>
      </w:r>
      <w:r w:rsidR="002D1648" w:rsidRPr="003F555F">
        <w:rPr>
          <w:b/>
          <w:sz w:val="20"/>
          <w:szCs w:val="20"/>
        </w:rPr>
        <w:t xml:space="preserve"> </w:t>
      </w:r>
    </w:p>
    <w:p w14:paraId="1E092E49" w14:textId="5A91776E" w:rsidR="0008738A" w:rsidRPr="003F555F" w:rsidRDefault="0008738A" w:rsidP="0008738A">
      <w:pPr>
        <w:spacing w:line="480" w:lineRule="auto"/>
        <w:rPr>
          <w:sz w:val="20"/>
          <w:szCs w:val="20"/>
          <w:u w:val="single"/>
        </w:rPr>
      </w:pPr>
      <w:r w:rsidRPr="003F555F">
        <w:rPr>
          <w:sz w:val="20"/>
          <w:szCs w:val="20"/>
          <w:u w:val="single"/>
        </w:rPr>
        <w:t>Experimental Apparatus:</w:t>
      </w:r>
    </w:p>
    <w:p w14:paraId="187FBF5B" w14:textId="77777777" w:rsidR="0008738A" w:rsidRPr="003F555F" w:rsidRDefault="0008738A" w:rsidP="0008738A">
      <w:pPr>
        <w:keepNext/>
        <w:spacing w:line="480" w:lineRule="auto"/>
        <w:rPr>
          <w:sz w:val="20"/>
          <w:szCs w:val="20"/>
        </w:rPr>
      </w:pPr>
      <w:r w:rsidRPr="003F555F">
        <w:rPr>
          <w:sz w:val="20"/>
          <w:szCs w:val="20"/>
        </w:rPr>
        <w:tab/>
      </w:r>
      <w:r w:rsidRPr="003F555F">
        <w:rPr>
          <w:noProof/>
          <w:sz w:val="20"/>
          <w:szCs w:val="20"/>
        </w:rPr>
        <w:drawing>
          <wp:inline distT="0" distB="0" distL="0" distR="0" wp14:anchorId="4D3A2D43" wp14:editId="460A65E5">
            <wp:extent cx="3133812" cy="22090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alrig.jpg"/>
                    <pic:cNvPicPr/>
                  </pic:nvPicPr>
                  <pic:blipFill rotWithShape="1">
                    <a:blip r:embed="rId5">
                      <a:extLst>
                        <a:ext uri="{28A0092B-C50C-407E-A947-70E740481C1C}">
                          <a14:useLocalDpi xmlns:a14="http://schemas.microsoft.com/office/drawing/2010/main" val="0"/>
                        </a:ext>
                      </a:extLst>
                    </a:blip>
                    <a:srcRect t="18711" r="13241" b="-264"/>
                    <a:stretch/>
                  </pic:blipFill>
                  <pic:spPr bwMode="auto">
                    <a:xfrm>
                      <a:off x="0" y="0"/>
                      <a:ext cx="3135169" cy="2209971"/>
                    </a:xfrm>
                    <a:prstGeom prst="rect">
                      <a:avLst/>
                    </a:prstGeom>
                    <a:ln>
                      <a:noFill/>
                    </a:ln>
                    <a:extLst>
                      <a:ext uri="{53640926-AAD7-44d8-BBD7-CCE9431645EC}">
                        <a14:shadowObscured xmlns:a14="http://schemas.microsoft.com/office/drawing/2010/main"/>
                      </a:ext>
                    </a:extLst>
                  </pic:spPr>
                </pic:pic>
              </a:graphicData>
            </a:graphic>
          </wp:inline>
        </w:drawing>
      </w:r>
    </w:p>
    <w:p w14:paraId="386BA227" w14:textId="1345EE07" w:rsidR="0008738A" w:rsidRPr="003F555F" w:rsidRDefault="0008738A" w:rsidP="0008738A">
      <w:pPr>
        <w:pStyle w:val="Caption"/>
        <w:rPr>
          <w:sz w:val="20"/>
          <w:szCs w:val="20"/>
        </w:rPr>
      </w:pPr>
      <w:r w:rsidRPr="003F555F">
        <w:rPr>
          <w:sz w:val="20"/>
          <w:szCs w:val="20"/>
        </w:rPr>
        <w:t xml:space="preserve">Figure </w:t>
      </w:r>
      <w:r w:rsidRPr="003F555F">
        <w:rPr>
          <w:sz w:val="20"/>
          <w:szCs w:val="20"/>
        </w:rPr>
        <w:fldChar w:fldCharType="begin"/>
      </w:r>
      <w:r w:rsidRPr="003F555F">
        <w:rPr>
          <w:sz w:val="20"/>
          <w:szCs w:val="20"/>
        </w:rPr>
        <w:instrText xml:space="preserve"> SEQ Figure \* ARABIC </w:instrText>
      </w:r>
      <w:r w:rsidRPr="003F555F">
        <w:rPr>
          <w:sz w:val="20"/>
          <w:szCs w:val="20"/>
        </w:rPr>
        <w:fldChar w:fldCharType="separate"/>
      </w:r>
      <w:r w:rsidR="003F555F">
        <w:rPr>
          <w:noProof/>
          <w:sz w:val="20"/>
          <w:szCs w:val="20"/>
        </w:rPr>
        <w:t>1</w:t>
      </w:r>
      <w:r w:rsidRPr="003F555F">
        <w:rPr>
          <w:sz w:val="20"/>
          <w:szCs w:val="20"/>
        </w:rPr>
        <w:fldChar w:fldCharType="end"/>
      </w:r>
      <w:r w:rsidRPr="003F555F">
        <w:rPr>
          <w:sz w:val="20"/>
          <w:szCs w:val="20"/>
        </w:rPr>
        <w:t>: Recirculating sea water system, with individual sub-aquaria.</w:t>
      </w:r>
    </w:p>
    <w:p w14:paraId="6327A251" w14:textId="4D249BFF" w:rsidR="00E568C1" w:rsidRPr="003F555F" w:rsidRDefault="0008738A" w:rsidP="0008738A">
      <w:pPr>
        <w:spacing w:line="480" w:lineRule="auto"/>
        <w:rPr>
          <w:sz w:val="20"/>
          <w:szCs w:val="20"/>
        </w:rPr>
      </w:pPr>
      <w:r w:rsidRPr="003F555F">
        <w:rPr>
          <w:sz w:val="20"/>
          <w:szCs w:val="20"/>
        </w:rPr>
        <w:tab/>
        <w:t xml:space="preserve">We designed a simple recirculating sea water system from commonly available containers and PVC plumbing piping to serve as the basis for our disease exposure experiment. Water begins in the large green sump, is pumped </w:t>
      </w:r>
      <w:r w:rsidR="00023FE6" w:rsidRPr="003F555F">
        <w:rPr>
          <w:sz w:val="20"/>
          <w:szCs w:val="20"/>
        </w:rPr>
        <w:t xml:space="preserve">via a 300 gph marine pump (Supreme Classic model 3), </w:t>
      </w:r>
      <w:r w:rsidRPr="003F555F">
        <w:rPr>
          <w:sz w:val="20"/>
          <w:szCs w:val="20"/>
        </w:rPr>
        <w:t xml:space="preserve">through a UV sterilizer </w:t>
      </w:r>
      <w:r w:rsidR="00023FE6" w:rsidRPr="003F555F">
        <w:rPr>
          <w:sz w:val="20"/>
          <w:szCs w:val="20"/>
        </w:rPr>
        <w:t>(</w:t>
      </w:r>
      <w:proofErr w:type="spellStart"/>
      <w:r w:rsidR="00023FE6" w:rsidRPr="003F555F">
        <w:rPr>
          <w:sz w:val="20"/>
          <w:szCs w:val="20"/>
        </w:rPr>
        <w:t>Coralife</w:t>
      </w:r>
      <w:proofErr w:type="spellEnd"/>
      <w:r w:rsidR="00023FE6" w:rsidRPr="003F555F">
        <w:rPr>
          <w:sz w:val="20"/>
          <w:szCs w:val="20"/>
        </w:rPr>
        <w:t xml:space="preserve"> 6x Turbo-Twist, </w:t>
      </w:r>
      <w:proofErr w:type="spellStart"/>
      <w:r w:rsidR="00023FE6" w:rsidRPr="003F555F">
        <w:rPr>
          <w:sz w:val="20"/>
          <w:szCs w:val="20"/>
        </w:rPr>
        <w:t>pn</w:t>
      </w:r>
      <w:proofErr w:type="spellEnd"/>
      <w:r w:rsidR="00023FE6" w:rsidRPr="003F555F">
        <w:rPr>
          <w:sz w:val="20"/>
          <w:szCs w:val="20"/>
        </w:rPr>
        <w:t xml:space="preserve">: ENE15601), then through a 25 micron physical filtration system (Red Sea Ocean Clear Canister Filter, </w:t>
      </w:r>
      <w:proofErr w:type="spellStart"/>
      <w:r w:rsidR="00023FE6" w:rsidRPr="003F555F">
        <w:rPr>
          <w:sz w:val="20"/>
          <w:szCs w:val="20"/>
        </w:rPr>
        <w:t>pn</w:t>
      </w:r>
      <w:proofErr w:type="spellEnd"/>
      <w:r w:rsidR="00023FE6" w:rsidRPr="003F555F">
        <w:rPr>
          <w:sz w:val="20"/>
          <w:szCs w:val="20"/>
        </w:rPr>
        <w:t xml:space="preserve">: 340), then a biological filtration system (Red Sea Ocean Clear </w:t>
      </w:r>
      <w:proofErr w:type="spellStart"/>
      <w:r w:rsidR="00023FE6" w:rsidRPr="003F555F">
        <w:rPr>
          <w:sz w:val="20"/>
          <w:szCs w:val="20"/>
        </w:rPr>
        <w:t>Biofilter</w:t>
      </w:r>
      <w:proofErr w:type="spellEnd"/>
      <w:r w:rsidR="00023FE6" w:rsidRPr="003F555F">
        <w:rPr>
          <w:sz w:val="20"/>
          <w:szCs w:val="20"/>
        </w:rPr>
        <w:t xml:space="preserve">, </w:t>
      </w:r>
      <w:proofErr w:type="spellStart"/>
      <w:r w:rsidR="00023FE6" w:rsidRPr="003F555F">
        <w:rPr>
          <w:sz w:val="20"/>
          <w:szCs w:val="20"/>
        </w:rPr>
        <w:t>pn</w:t>
      </w:r>
      <w:proofErr w:type="spellEnd"/>
      <w:r w:rsidR="00023FE6" w:rsidRPr="003F555F">
        <w:rPr>
          <w:sz w:val="20"/>
          <w:szCs w:val="20"/>
        </w:rPr>
        <w:t xml:space="preserve">: 325), and finally into an aquarium chiller for temperature regulation (JBJ </w:t>
      </w:r>
      <w:proofErr w:type="spellStart"/>
      <w:r w:rsidR="00023FE6" w:rsidRPr="003F555F">
        <w:rPr>
          <w:sz w:val="20"/>
          <w:szCs w:val="20"/>
        </w:rPr>
        <w:t>Arctica</w:t>
      </w:r>
      <w:proofErr w:type="spellEnd"/>
      <w:r w:rsidR="00023FE6" w:rsidRPr="003F555F">
        <w:rPr>
          <w:sz w:val="20"/>
          <w:szCs w:val="20"/>
        </w:rPr>
        <w:t xml:space="preserve">, </w:t>
      </w:r>
      <w:proofErr w:type="spellStart"/>
      <w:r w:rsidR="00023FE6" w:rsidRPr="003F555F">
        <w:rPr>
          <w:sz w:val="20"/>
          <w:szCs w:val="20"/>
        </w:rPr>
        <w:t>pn</w:t>
      </w:r>
      <w:proofErr w:type="spellEnd"/>
      <w:r w:rsidR="00023FE6" w:rsidRPr="003F555F">
        <w:rPr>
          <w:sz w:val="20"/>
          <w:szCs w:val="20"/>
        </w:rPr>
        <w:t>: CD-19155) before circulation into a head tank</w:t>
      </w:r>
      <w:r w:rsidR="00CD0BEF" w:rsidRPr="003F555F">
        <w:rPr>
          <w:sz w:val="20"/>
          <w:szCs w:val="20"/>
        </w:rPr>
        <w:t>, in which known infected animals will be contained</w:t>
      </w:r>
      <w:r w:rsidR="00023FE6" w:rsidRPr="003F555F">
        <w:rPr>
          <w:sz w:val="20"/>
          <w:szCs w:val="20"/>
        </w:rPr>
        <w:t xml:space="preserve">. Water is distributed </w:t>
      </w:r>
      <w:r w:rsidR="00CD0BEF" w:rsidRPr="003F555F">
        <w:rPr>
          <w:sz w:val="20"/>
          <w:szCs w:val="20"/>
        </w:rPr>
        <w:t xml:space="preserve">from the head tank </w:t>
      </w:r>
      <w:r w:rsidR="00023FE6" w:rsidRPr="003F555F">
        <w:rPr>
          <w:sz w:val="20"/>
          <w:szCs w:val="20"/>
        </w:rPr>
        <w:t>into the individual sub</w:t>
      </w:r>
      <w:r w:rsidR="00CD0BEF" w:rsidRPr="003F555F">
        <w:rPr>
          <w:sz w:val="20"/>
          <w:szCs w:val="20"/>
        </w:rPr>
        <w:t>-aquaria via a distribution mani</w:t>
      </w:r>
      <w:r w:rsidR="00023FE6" w:rsidRPr="003F555F">
        <w:rPr>
          <w:sz w:val="20"/>
          <w:szCs w:val="20"/>
        </w:rPr>
        <w:t>fold</w:t>
      </w:r>
    </w:p>
    <w:p w14:paraId="10816954" w14:textId="4FB26E04" w:rsidR="00CD0BEF" w:rsidRPr="003F555F" w:rsidRDefault="00CD0BEF" w:rsidP="0008738A">
      <w:pPr>
        <w:spacing w:line="480" w:lineRule="auto"/>
        <w:rPr>
          <w:sz w:val="20"/>
          <w:szCs w:val="20"/>
          <w:u w:val="single"/>
        </w:rPr>
      </w:pPr>
      <w:r w:rsidRPr="003F555F">
        <w:rPr>
          <w:sz w:val="20"/>
          <w:szCs w:val="20"/>
          <w:u w:val="single"/>
        </w:rPr>
        <w:t xml:space="preserve">Sensor System: </w:t>
      </w:r>
    </w:p>
    <w:p w14:paraId="0B3379A1" w14:textId="2E1EF146" w:rsidR="00CD0BEF" w:rsidRPr="003F555F" w:rsidRDefault="00CD0BEF" w:rsidP="0008738A">
      <w:pPr>
        <w:spacing w:line="480" w:lineRule="auto"/>
        <w:rPr>
          <w:sz w:val="20"/>
          <w:szCs w:val="20"/>
        </w:rPr>
      </w:pPr>
      <w:r w:rsidRPr="003F555F">
        <w:rPr>
          <w:sz w:val="20"/>
          <w:szCs w:val="20"/>
        </w:rPr>
        <w:tab/>
        <w:t xml:space="preserve">Our sensor system is based upon a Raspberry Pi 2, rev. B microcomputer. Temperature sensing capability is provided via a one-wire thermometer (Maxim Integrated </w:t>
      </w:r>
      <w:proofErr w:type="spellStart"/>
      <w:r w:rsidRPr="003F555F">
        <w:rPr>
          <w:sz w:val="20"/>
          <w:szCs w:val="20"/>
        </w:rPr>
        <w:t>pn</w:t>
      </w:r>
      <w:proofErr w:type="spellEnd"/>
      <w:r w:rsidRPr="003F555F">
        <w:rPr>
          <w:sz w:val="20"/>
          <w:szCs w:val="20"/>
        </w:rPr>
        <w:t>: DS18B20) an</w:t>
      </w:r>
      <w:r w:rsidR="00D2540C" w:rsidRPr="003F555F">
        <w:rPr>
          <w:sz w:val="20"/>
          <w:szCs w:val="20"/>
        </w:rPr>
        <w:t>d water flow is measured via a H</w:t>
      </w:r>
      <w:r w:rsidRPr="003F555F">
        <w:rPr>
          <w:sz w:val="20"/>
          <w:szCs w:val="20"/>
        </w:rPr>
        <w:t>all effect water flow sensor (</w:t>
      </w:r>
      <w:proofErr w:type="spellStart"/>
      <w:r w:rsidRPr="003F555F">
        <w:rPr>
          <w:sz w:val="20"/>
          <w:szCs w:val="20"/>
        </w:rPr>
        <w:t>Adafruit</w:t>
      </w:r>
      <w:proofErr w:type="spellEnd"/>
      <w:r w:rsidRPr="003F555F">
        <w:rPr>
          <w:sz w:val="20"/>
          <w:szCs w:val="20"/>
        </w:rPr>
        <w:t xml:space="preserve"> </w:t>
      </w:r>
      <w:proofErr w:type="spellStart"/>
      <w:r w:rsidRPr="003F555F">
        <w:rPr>
          <w:sz w:val="20"/>
          <w:szCs w:val="20"/>
        </w:rPr>
        <w:t>pn</w:t>
      </w:r>
      <w:proofErr w:type="spellEnd"/>
      <w:r w:rsidRPr="003F555F">
        <w:rPr>
          <w:sz w:val="20"/>
          <w:szCs w:val="20"/>
        </w:rPr>
        <w:t>: 828)</w:t>
      </w:r>
      <w:r w:rsidR="00100843" w:rsidRPr="003F555F">
        <w:rPr>
          <w:sz w:val="20"/>
          <w:szCs w:val="20"/>
        </w:rPr>
        <w:t xml:space="preserve">. </w:t>
      </w:r>
      <w:r w:rsidR="003343DE" w:rsidRPr="003F555F">
        <w:rPr>
          <w:sz w:val="20"/>
          <w:szCs w:val="20"/>
        </w:rPr>
        <w:t xml:space="preserve">Calibration of the thermometers was conducted by placing them in an incubator set </w:t>
      </w:r>
      <w:r w:rsidR="00A3408F" w:rsidRPr="003F555F">
        <w:rPr>
          <w:sz w:val="20"/>
          <w:szCs w:val="20"/>
        </w:rPr>
        <w:t xml:space="preserve">at three different temperatures, set as the minimum, maximum, and mean temperature expected to be encountered during the duration of the experiment. We ran linear regression on each group and found the intercept difference from actual temperature and used that as a calibration offset for each probe. </w:t>
      </w:r>
      <w:r w:rsidR="00100843" w:rsidRPr="003F555F">
        <w:rPr>
          <w:sz w:val="20"/>
          <w:szCs w:val="20"/>
        </w:rPr>
        <w:t>Python c</w:t>
      </w:r>
      <w:r w:rsidR="00D2540C" w:rsidRPr="003F555F">
        <w:rPr>
          <w:sz w:val="20"/>
          <w:szCs w:val="20"/>
        </w:rPr>
        <w:t>ode for operating the thermometer is</w:t>
      </w:r>
      <w:r w:rsidR="00100843" w:rsidRPr="003F555F">
        <w:rPr>
          <w:sz w:val="20"/>
          <w:szCs w:val="20"/>
        </w:rPr>
        <w:t xml:space="preserve"> heavily</w:t>
      </w:r>
      <w:r w:rsidR="00D2540C" w:rsidRPr="003F555F">
        <w:rPr>
          <w:sz w:val="20"/>
          <w:szCs w:val="20"/>
        </w:rPr>
        <w:t xml:space="preserve"> adapted from </w:t>
      </w:r>
      <w:proofErr w:type="spellStart"/>
      <w:r w:rsidR="00D2540C" w:rsidRPr="003F555F">
        <w:rPr>
          <w:sz w:val="20"/>
          <w:szCs w:val="20"/>
        </w:rPr>
        <w:t>Adafruit’s</w:t>
      </w:r>
      <w:proofErr w:type="spellEnd"/>
      <w:r w:rsidR="00D2540C" w:rsidRPr="003F555F">
        <w:rPr>
          <w:sz w:val="20"/>
          <w:szCs w:val="20"/>
        </w:rPr>
        <w:t xml:space="preserve"> Raspberry Pi Lesson 11 (Monk, 2015)</w:t>
      </w:r>
      <w:r w:rsidR="00100843" w:rsidRPr="003F555F">
        <w:rPr>
          <w:sz w:val="20"/>
          <w:szCs w:val="20"/>
        </w:rPr>
        <w:t xml:space="preserve"> as it both polls the temperature sensor for instantaneous temperature, as well as provides a framework to interact with an Internet of Things (</w:t>
      </w:r>
      <w:proofErr w:type="spellStart"/>
      <w:r w:rsidR="00100843" w:rsidRPr="003F555F">
        <w:rPr>
          <w:sz w:val="20"/>
          <w:szCs w:val="20"/>
        </w:rPr>
        <w:t>IoT</w:t>
      </w:r>
      <w:proofErr w:type="spellEnd"/>
      <w:r w:rsidR="00100843" w:rsidRPr="003F555F">
        <w:rPr>
          <w:sz w:val="20"/>
          <w:szCs w:val="20"/>
        </w:rPr>
        <w:t>) API and website for aggregation and curation</w:t>
      </w:r>
      <w:r w:rsidR="00D2540C" w:rsidRPr="003F555F">
        <w:rPr>
          <w:sz w:val="20"/>
          <w:szCs w:val="20"/>
        </w:rPr>
        <w:t>.</w:t>
      </w:r>
      <w:r w:rsidR="00100843" w:rsidRPr="003F555F">
        <w:rPr>
          <w:sz w:val="20"/>
          <w:szCs w:val="20"/>
        </w:rPr>
        <w:t xml:space="preserve"> We elected to use </w:t>
      </w:r>
      <w:hyperlink r:id="rId6" w:history="1">
        <w:r w:rsidR="00100843" w:rsidRPr="003F555F">
          <w:rPr>
            <w:rStyle w:val="Hyperlink"/>
            <w:sz w:val="20"/>
            <w:szCs w:val="20"/>
          </w:rPr>
          <w:t>www.thingspeak.com</w:t>
        </w:r>
      </w:hyperlink>
      <w:r w:rsidR="00100843" w:rsidRPr="003F555F">
        <w:rPr>
          <w:sz w:val="20"/>
          <w:szCs w:val="20"/>
        </w:rPr>
        <w:t xml:space="preserve"> for our </w:t>
      </w:r>
      <w:proofErr w:type="spellStart"/>
      <w:r w:rsidR="00100843" w:rsidRPr="003F555F">
        <w:rPr>
          <w:sz w:val="20"/>
          <w:szCs w:val="20"/>
        </w:rPr>
        <w:t>IoT</w:t>
      </w:r>
      <w:proofErr w:type="spellEnd"/>
      <w:r w:rsidR="00100843" w:rsidRPr="003F555F">
        <w:rPr>
          <w:sz w:val="20"/>
          <w:szCs w:val="20"/>
        </w:rPr>
        <w:t xml:space="preserve"> API due to a relatively robust and well-documented API, with reasonable frequency of API call limitations and data storage durations.</w:t>
      </w:r>
      <w:r w:rsidR="00640E58" w:rsidRPr="003F555F">
        <w:rPr>
          <w:sz w:val="20"/>
          <w:szCs w:val="20"/>
        </w:rPr>
        <w:t xml:space="preserve"> The </w:t>
      </w:r>
      <w:proofErr w:type="spellStart"/>
      <w:r w:rsidR="00640E58" w:rsidRPr="003F555F">
        <w:rPr>
          <w:sz w:val="20"/>
          <w:szCs w:val="20"/>
        </w:rPr>
        <w:t>thingspeak</w:t>
      </w:r>
      <w:proofErr w:type="spellEnd"/>
      <w:r w:rsidR="00640E58" w:rsidRPr="003F555F">
        <w:rPr>
          <w:sz w:val="20"/>
          <w:szCs w:val="20"/>
        </w:rPr>
        <w:t xml:space="preserve"> API limits us to API calls every 15 seconds, so we elected to save temperature data every 16 seconds, to allow for any inconsistencies in upload timings. </w:t>
      </w:r>
    </w:p>
    <w:p w14:paraId="0F3AD71D" w14:textId="5F5B2596" w:rsidR="00D2540C" w:rsidRPr="003F555F" w:rsidRDefault="00D2540C" w:rsidP="0008738A">
      <w:pPr>
        <w:spacing w:line="480" w:lineRule="auto"/>
        <w:rPr>
          <w:sz w:val="20"/>
          <w:szCs w:val="20"/>
          <w:u w:val="single"/>
        </w:rPr>
      </w:pPr>
      <w:r w:rsidRPr="003F555F">
        <w:rPr>
          <w:sz w:val="20"/>
          <w:szCs w:val="20"/>
          <w:u w:val="single"/>
        </w:rPr>
        <w:t>Analysis:</w:t>
      </w:r>
    </w:p>
    <w:p w14:paraId="66B3E1F6" w14:textId="39B2B4B8" w:rsidR="00D2540C" w:rsidRPr="003F555F" w:rsidRDefault="00D2540C" w:rsidP="0008738A">
      <w:pPr>
        <w:spacing w:line="480" w:lineRule="auto"/>
        <w:rPr>
          <w:sz w:val="20"/>
          <w:szCs w:val="20"/>
        </w:rPr>
      </w:pPr>
      <w:r w:rsidRPr="003F555F">
        <w:rPr>
          <w:sz w:val="20"/>
          <w:szCs w:val="20"/>
        </w:rPr>
        <w:tab/>
        <w:t xml:space="preserve">Once our data was collected, we analyzed it via two methods. To determine raw difference in mean we initially chose a one-way ANOVA, with sub-aquaria as factors and </w:t>
      </w:r>
      <w:r w:rsidR="00100843" w:rsidRPr="003F555F">
        <w:rPr>
          <w:sz w:val="20"/>
          <w:szCs w:val="20"/>
        </w:rPr>
        <w:t xml:space="preserve">initially, </w:t>
      </w:r>
      <w:r w:rsidRPr="003F555F">
        <w:rPr>
          <w:sz w:val="20"/>
          <w:szCs w:val="20"/>
        </w:rPr>
        <w:t>mean temperature and water flow as response variables</w:t>
      </w:r>
      <w:r w:rsidR="00100843" w:rsidRPr="003F555F">
        <w:rPr>
          <w:sz w:val="20"/>
          <w:szCs w:val="20"/>
        </w:rPr>
        <w:t>, but this was scaled back to temperature alone due to technical issues</w:t>
      </w:r>
      <w:r w:rsidRPr="003F555F">
        <w:rPr>
          <w:sz w:val="20"/>
          <w:szCs w:val="20"/>
        </w:rPr>
        <w:t>.</w:t>
      </w:r>
      <w:r w:rsidR="00100843" w:rsidRPr="003F555F">
        <w:rPr>
          <w:sz w:val="20"/>
          <w:szCs w:val="20"/>
        </w:rPr>
        <w:t xml:space="preserve"> One-way ANOVA identifies differences between three or more groups based upon an assumed F-distributio</w:t>
      </w:r>
      <w:r w:rsidR="00640E58" w:rsidRPr="003F555F">
        <w:rPr>
          <w:sz w:val="20"/>
          <w:szCs w:val="20"/>
        </w:rPr>
        <w:t xml:space="preserve">n. For time-series analysis we elected a smoothing via moving average. A smoothing such as this allows us to identify long-term trends by creating a series of averages from different subsets of the data, with the subset being created by specifying some “lag”, which represents the number of </w:t>
      </w:r>
      <w:r w:rsidR="005339EE" w:rsidRPr="003F555F">
        <w:rPr>
          <w:sz w:val="20"/>
          <w:szCs w:val="20"/>
        </w:rPr>
        <w:t xml:space="preserve">previous points incorporated into the individual average. </w:t>
      </w:r>
      <w:r w:rsidR="0077267B" w:rsidRPr="003F555F">
        <w:rPr>
          <w:sz w:val="20"/>
          <w:szCs w:val="20"/>
        </w:rPr>
        <w:t xml:space="preserve">This process results in the loss of the initial data points equal to your lag, but produces a smoothed product, with the intent of minimizing local distortions and allowing for the identification of longer-term trends in the time series. </w:t>
      </w:r>
      <w:r w:rsidR="003343DE" w:rsidRPr="003F555F">
        <w:rPr>
          <w:sz w:val="20"/>
          <w:szCs w:val="20"/>
        </w:rPr>
        <w:t xml:space="preserve">We chose to use the </w:t>
      </w:r>
      <w:proofErr w:type="gramStart"/>
      <w:r w:rsidR="003343DE" w:rsidRPr="003F555F">
        <w:rPr>
          <w:sz w:val="20"/>
          <w:szCs w:val="20"/>
        </w:rPr>
        <w:t>SMA(</w:t>
      </w:r>
      <w:proofErr w:type="gramEnd"/>
      <w:r w:rsidR="003343DE" w:rsidRPr="003F555F">
        <w:rPr>
          <w:sz w:val="20"/>
          <w:szCs w:val="20"/>
        </w:rPr>
        <w:t xml:space="preserve">) function from the TTR package in R, but upon analysis of the source code found it to simply be a wrapper for the </w:t>
      </w:r>
      <w:proofErr w:type="spellStart"/>
      <w:r w:rsidR="003343DE" w:rsidRPr="003F555F">
        <w:rPr>
          <w:sz w:val="20"/>
          <w:szCs w:val="20"/>
        </w:rPr>
        <w:t>runMean</w:t>
      </w:r>
      <w:proofErr w:type="spellEnd"/>
      <w:r w:rsidR="003343DE" w:rsidRPr="003F555F">
        <w:rPr>
          <w:sz w:val="20"/>
          <w:szCs w:val="20"/>
        </w:rPr>
        <w:t>()</w:t>
      </w:r>
      <w:r w:rsidR="0077267B" w:rsidRPr="003F555F">
        <w:rPr>
          <w:sz w:val="20"/>
          <w:szCs w:val="20"/>
        </w:rPr>
        <w:t xml:space="preserve"> </w:t>
      </w:r>
      <w:r w:rsidR="003343DE" w:rsidRPr="003F555F">
        <w:rPr>
          <w:sz w:val="20"/>
          <w:szCs w:val="20"/>
        </w:rPr>
        <w:t xml:space="preserve">function, found in the base R package (Ulrich, 2015; R Core Team, 2015). We compared results from both functions, and found them to be equivalent for all use cases. </w:t>
      </w:r>
    </w:p>
    <w:p w14:paraId="17CBC1B3" w14:textId="476ED455" w:rsidR="003343DE" w:rsidRPr="003F555F" w:rsidRDefault="00A3408F">
      <w:pPr>
        <w:rPr>
          <w:sz w:val="20"/>
          <w:szCs w:val="20"/>
        </w:rPr>
      </w:pPr>
      <w:r w:rsidRPr="003F555F">
        <w:rPr>
          <w:sz w:val="20"/>
          <w:szCs w:val="20"/>
        </w:rPr>
        <w:t>Results:</w:t>
      </w:r>
    </w:p>
    <w:p w14:paraId="741AE923" w14:textId="314D97FD" w:rsidR="00A3408F" w:rsidRDefault="00565113">
      <w:pPr>
        <w:rPr>
          <w:sz w:val="20"/>
          <w:szCs w:val="20"/>
        </w:rPr>
      </w:pPr>
      <w:r>
        <w:rPr>
          <w:sz w:val="20"/>
          <w:szCs w:val="20"/>
        </w:rPr>
        <w:t>Actual ANOVA</w:t>
      </w:r>
    </w:p>
    <w:tbl>
      <w:tblPr>
        <w:tblStyle w:val="LightShading-Accent1"/>
        <w:tblW w:w="0" w:type="auto"/>
        <w:tblLook w:val="04A0" w:firstRow="1" w:lastRow="0" w:firstColumn="1" w:lastColumn="0" w:noHBand="0" w:noVBand="1"/>
      </w:tblPr>
      <w:tblGrid>
        <w:gridCol w:w="1476"/>
        <w:gridCol w:w="1476"/>
        <w:gridCol w:w="1476"/>
        <w:gridCol w:w="1476"/>
        <w:gridCol w:w="1476"/>
        <w:gridCol w:w="1476"/>
      </w:tblGrid>
      <w:tr w:rsidR="00565113" w14:paraId="3D1A4A2A" w14:textId="77777777" w:rsidTr="00565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3882FCBC" w14:textId="1BF0F2CA" w:rsidR="00565113" w:rsidRDefault="00565113" w:rsidP="00565113">
            <w:pPr>
              <w:jc w:val="center"/>
              <w:rPr>
                <w:sz w:val="20"/>
                <w:szCs w:val="20"/>
              </w:rPr>
            </w:pPr>
            <w:r>
              <w:rPr>
                <w:sz w:val="20"/>
                <w:szCs w:val="20"/>
              </w:rPr>
              <w:t>Source of Variation</w:t>
            </w:r>
          </w:p>
        </w:tc>
        <w:tc>
          <w:tcPr>
            <w:tcW w:w="1476" w:type="dxa"/>
          </w:tcPr>
          <w:p w14:paraId="14269C41" w14:textId="63A4FCC9" w:rsidR="00565113" w:rsidRDefault="00565113" w:rsidP="0056511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Degrees of Freedom</w:t>
            </w:r>
          </w:p>
        </w:tc>
        <w:tc>
          <w:tcPr>
            <w:tcW w:w="1476" w:type="dxa"/>
          </w:tcPr>
          <w:p w14:paraId="284528EE" w14:textId="4B82A7ED" w:rsidR="00565113" w:rsidRDefault="00565113" w:rsidP="0056511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Sum of Squares</w:t>
            </w:r>
          </w:p>
        </w:tc>
        <w:tc>
          <w:tcPr>
            <w:tcW w:w="1476" w:type="dxa"/>
          </w:tcPr>
          <w:p w14:paraId="003FF899" w14:textId="0042DE71" w:rsidR="00565113" w:rsidRDefault="00565113" w:rsidP="0056511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Mean Square</w:t>
            </w:r>
          </w:p>
        </w:tc>
        <w:tc>
          <w:tcPr>
            <w:tcW w:w="1476" w:type="dxa"/>
          </w:tcPr>
          <w:p w14:paraId="3130B9A9" w14:textId="205C52DE" w:rsidR="00565113" w:rsidRDefault="00565113" w:rsidP="0056511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F- Ratio</w:t>
            </w:r>
          </w:p>
        </w:tc>
        <w:tc>
          <w:tcPr>
            <w:tcW w:w="1476" w:type="dxa"/>
          </w:tcPr>
          <w:p w14:paraId="354F4517" w14:textId="10E3E2DF" w:rsidR="00565113" w:rsidRDefault="00565113" w:rsidP="00565113">
            <w:pPr>
              <w:jc w:val="center"/>
              <w:cnfStyle w:val="100000000000" w:firstRow="1" w:lastRow="0" w:firstColumn="0" w:lastColumn="0" w:oddVBand="0" w:evenVBand="0" w:oddHBand="0" w:evenHBand="0" w:firstRowFirstColumn="0" w:firstRowLastColumn="0" w:lastRowFirstColumn="0" w:lastRowLastColumn="0"/>
              <w:rPr>
                <w:sz w:val="20"/>
                <w:szCs w:val="20"/>
              </w:rPr>
            </w:pPr>
            <w:proofErr w:type="gramStart"/>
            <w:r>
              <w:rPr>
                <w:sz w:val="20"/>
                <w:szCs w:val="20"/>
              </w:rPr>
              <w:t>p</w:t>
            </w:r>
            <w:proofErr w:type="gramEnd"/>
            <w:r>
              <w:rPr>
                <w:sz w:val="20"/>
                <w:szCs w:val="20"/>
              </w:rPr>
              <w:t>-value</w:t>
            </w:r>
          </w:p>
        </w:tc>
      </w:tr>
      <w:tr w:rsidR="00565113" w14:paraId="24C40649" w14:textId="77777777" w:rsidTr="00565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349BF9B0" w14:textId="059EF3DF" w:rsidR="00565113" w:rsidRDefault="00565113" w:rsidP="00565113">
            <w:pPr>
              <w:jc w:val="center"/>
              <w:rPr>
                <w:sz w:val="20"/>
                <w:szCs w:val="20"/>
              </w:rPr>
            </w:pPr>
            <w:r>
              <w:rPr>
                <w:sz w:val="20"/>
                <w:szCs w:val="20"/>
              </w:rPr>
              <w:t>Aquarium</w:t>
            </w:r>
          </w:p>
        </w:tc>
        <w:tc>
          <w:tcPr>
            <w:tcW w:w="1476" w:type="dxa"/>
          </w:tcPr>
          <w:p w14:paraId="5EC692E7" w14:textId="11834D2C" w:rsidR="00565113" w:rsidRDefault="00565113" w:rsidP="0056511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1476" w:type="dxa"/>
          </w:tcPr>
          <w:p w14:paraId="02FE8A14" w14:textId="2B2C7615" w:rsidR="00565113" w:rsidRDefault="00565113" w:rsidP="0056511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371</w:t>
            </w:r>
          </w:p>
        </w:tc>
        <w:tc>
          <w:tcPr>
            <w:tcW w:w="1476" w:type="dxa"/>
          </w:tcPr>
          <w:p w14:paraId="7A03D2CA" w14:textId="186C012E" w:rsidR="00565113" w:rsidRDefault="00565113" w:rsidP="0056511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123.75</w:t>
            </w:r>
          </w:p>
        </w:tc>
        <w:tc>
          <w:tcPr>
            <w:tcW w:w="1476" w:type="dxa"/>
          </w:tcPr>
          <w:p w14:paraId="7FBA920E" w14:textId="0275F903" w:rsidR="00565113" w:rsidRDefault="00565113" w:rsidP="0056511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956.8</w:t>
            </w:r>
          </w:p>
        </w:tc>
        <w:tc>
          <w:tcPr>
            <w:tcW w:w="1476" w:type="dxa"/>
          </w:tcPr>
          <w:p w14:paraId="338231FA" w14:textId="02DE9D85" w:rsidR="00565113" w:rsidRDefault="00565113" w:rsidP="0056511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&lt;2e-16</w:t>
            </w:r>
          </w:p>
        </w:tc>
      </w:tr>
      <w:tr w:rsidR="00565113" w14:paraId="4D930343" w14:textId="77777777" w:rsidTr="00565113">
        <w:tc>
          <w:tcPr>
            <w:cnfStyle w:val="001000000000" w:firstRow="0" w:lastRow="0" w:firstColumn="1" w:lastColumn="0" w:oddVBand="0" w:evenVBand="0" w:oddHBand="0" w:evenHBand="0" w:firstRowFirstColumn="0" w:firstRowLastColumn="0" w:lastRowFirstColumn="0" w:lastRowLastColumn="0"/>
            <w:tcW w:w="1476" w:type="dxa"/>
          </w:tcPr>
          <w:p w14:paraId="0F31D66B" w14:textId="3DFE663D" w:rsidR="00565113" w:rsidRDefault="00565113" w:rsidP="00565113">
            <w:pPr>
              <w:jc w:val="center"/>
              <w:rPr>
                <w:sz w:val="20"/>
                <w:szCs w:val="20"/>
              </w:rPr>
            </w:pPr>
            <w:r>
              <w:rPr>
                <w:sz w:val="20"/>
                <w:szCs w:val="20"/>
              </w:rPr>
              <w:t>Residual</w:t>
            </w:r>
          </w:p>
        </w:tc>
        <w:tc>
          <w:tcPr>
            <w:tcW w:w="1476" w:type="dxa"/>
          </w:tcPr>
          <w:p w14:paraId="05FB8DAF" w14:textId="70BD59D7" w:rsidR="00565113" w:rsidRDefault="00565113" w:rsidP="0056511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37388</w:t>
            </w:r>
          </w:p>
        </w:tc>
        <w:tc>
          <w:tcPr>
            <w:tcW w:w="1476" w:type="dxa"/>
          </w:tcPr>
          <w:p w14:paraId="1E7718A4" w14:textId="63BAC989" w:rsidR="00565113" w:rsidRDefault="00565113" w:rsidP="0056511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4836</w:t>
            </w:r>
          </w:p>
        </w:tc>
        <w:tc>
          <w:tcPr>
            <w:tcW w:w="1476" w:type="dxa"/>
          </w:tcPr>
          <w:p w14:paraId="59F9098B" w14:textId="0FD278AB" w:rsidR="00565113" w:rsidRDefault="00565113" w:rsidP="0056511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0.13</w:t>
            </w:r>
          </w:p>
        </w:tc>
        <w:tc>
          <w:tcPr>
            <w:tcW w:w="1476" w:type="dxa"/>
          </w:tcPr>
          <w:p w14:paraId="41EFFBA7" w14:textId="77777777" w:rsidR="00565113" w:rsidRDefault="00565113" w:rsidP="00565113">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76" w:type="dxa"/>
          </w:tcPr>
          <w:p w14:paraId="2E960D8F" w14:textId="77777777" w:rsidR="00565113" w:rsidRDefault="00565113" w:rsidP="00565113">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037758D8" w14:textId="77777777" w:rsidR="00565113" w:rsidRDefault="00565113">
      <w:pPr>
        <w:rPr>
          <w:sz w:val="20"/>
          <w:szCs w:val="20"/>
        </w:rPr>
      </w:pPr>
    </w:p>
    <w:p w14:paraId="08CC96E1" w14:textId="3F2A9283" w:rsidR="00565113" w:rsidRDefault="00565113">
      <w:pPr>
        <w:rPr>
          <w:sz w:val="20"/>
          <w:szCs w:val="20"/>
        </w:rPr>
      </w:pPr>
      <w:r>
        <w:rPr>
          <w:sz w:val="20"/>
          <w:szCs w:val="20"/>
        </w:rPr>
        <w:t>Expected ANOVA</w:t>
      </w:r>
    </w:p>
    <w:tbl>
      <w:tblPr>
        <w:tblStyle w:val="LightShading-Accent1"/>
        <w:tblW w:w="0" w:type="auto"/>
        <w:tblLook w:val="04A0" w:firstRow="1" w:lastRow="0" w:firstColumn="1" w:lastColumn="0" w:noHBand="0" w:noVBand="1"/>
      </w:tblPr>
      <w:tblGrid>
        <w:gridCol w:w="1476"/>
        <w:gridCol w:w="1476"/>
        <w:gridCol w:w="1476"/>
        <w:gridCol w:w="1476"/>
        <w:gridCol w:w="1476"/>
        <w:gridCol w:w="1476"/>
      </w:tblGrid>
      <w:tr w:rsidR="00423A40" w14:paraId="2F60DB57" w14:textId="77777777" w:rsidTr="00266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3D5D89D2" w14:textId="77777777" w:rsidR="00423A40" w:rsidRDefault="00423A40" w:rsidP="00266721">
            <w:pPr>
              <w:jc w:val="center"/>
              <w:rPr>
                <w:sz w:val="20"/>
                <w:szCs w:val="20"/>
              </w:rPr>
            </w:pPr>
            <w:r>
              <w:rPr>
                <w:sz w:val="20"/>
                <w:szCs w:val="20"/>
              </w:rPr>
              <w:t>Source of Variation</w:t>
            </w:r>
          </w:p>
        </w:tc>
        <w:tc>
          <w:tcPr>
            <w:tcW w:w="1476" w:type="dxa"/>
          </w:tcPr>
          <w:p w14:paraId="487D1DF2" w14:textId="77777777" w:rsidR="00423A40" w:rsidRDefault="00423A40" w:rsidP="0026672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Degrees of Freedom</w:t>
            </w:r>
          </w:p>
        </w:tc>
        <w:tc>
          <w:tcPr>
            <w:tcW w:w="1476" w:type="dxa"/>
          </w:tcPr>
          <w:p w14:paraId="02F2B2E5" w14:textId="77777777" w:rsidR="00423A40" w:rsidRDefault="00423A40" w:rsidP="0026672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Sum of Squares</w:t>
            </w:r>
          </w:p>
        </w:tc>
        <w:tc>
          <w:tcPr>
            <w:tcW w:w="1476" w:type="dxa"/>
          </w:tcPr>
          <w:p w14:paraId="33C5B6D6" w14:textId="77777777" w:rsidR="00423A40" w:rsidRDefault="00423A40" w:rsidP="0026672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Mean Square</w:t>
            </w:r>
          </w:p>
        </w:tc>
        <w:tc>
          <w:tcPr>
            <w:tcW w:w="1476" w:type="dxa"/>
          </w:tcPr>
          <w:p w14:paraId="4303F9B3" w14:textId="77777777" w:rsidR="00423A40" w:rsidRDefault="00423A40" w:rsidP="0026672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F- Ratio</w:t>
            </w:r>
          </w:p>
        </w:tc>
        <w:tc>
          <w:tcPr>
            <w:tcW w:w="1476" w:type="dxa"/>
          </w:tcPr>
          <w:p w14:paraId="0A8F1D39" w14:textId="77777777" w:rsidR="00423A40" w:rsidRDefault="00423A40" w:rsidP="00266721">
            <w:pPr>
              <w:jc w:val="center"/>
              <w:cnfStyle w:val="100000000000" w:firstRow="1" w:lastRow="0" w:firstColumn="0" w:lastColumn="0" w:oddVBand="0" w:evenVBand="0" w:oddHBand="0" w:evenHBand="0" w:firstRowFirstColumn="0" w:firstRowLastColumn="0" w:lastRowFirstColumn="0" w:lastRowLastColumn="0"/>
              <w:rPr>
                <w:sz w:val="20"/>
                <w:szCs w:val="20"/>
              </w:rPr>
            </w:pPr>
            <w:proofErr w:type="gramStart"/>
            <w:r>
              <w:rPr>
                <w:sz w:val="20"/>
                <w:szCs w:val="20"/>
              </w:rPr>
              <w:t>p</w:t>
            </w:r>
            <w:proofErr w:type="gramEnd"/>
            <w:r>
              <w:rPr>
                <w:sz w:val="20"/>
                <w:szCs w:val="20"/>
              </w:rPr>
              <w:t>-value</w:t>
            </w:r>
          </w:p>
        </w:tc>
      </w:tr>
      <w:tr w:rsidR="00423A40" w14:paraId="1850B994" w14:textId="77777777" w:rsidTr="00266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31CB64F5" w14:textId="77777777" w:rsidR="00423A40" w:rsidRDefault="00423A40" w:rsidP="00266721">
            <w:pPr>
              <w:jc w:val="center"/>
              <w:rPr>
                <w:sz w:val="20"/>
                <w:szCs w:val="20"/>
              </w:rPr>
            </w:pPr>
            <w:r>
              <w:rPr>
                <w:sz w:val="20"/>
                <w:szCs w:val="20"/>
              </w:rPr>
              <w:t>Aquarium</w:t>
            </w:r>
          </w:p>
        </w:tc>
        <w:tc>
          <w:tcPr>
            <w:tcW w:w="1476" w:type="dxa"/>
          </w:tcPr>
          <w:p w14:paraId="62ECE85D" w14:textId="77777777" w:rsidR="00423A40" w:rsidRDefault="00423A40" w:rsidP="0026672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1476" w:type="dxa"/>
          </w:tcPr>
          <w:p w14:paraId="359B1E10" w14:textId="09D3BE0B" w:rsidR="00423A40" w:rsidRDefault="00423A40" w:rsidP="0026672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368</w:t>
            </w:r>
          </w:p>
        </w:tc>
        <w:tc>
          <w:tcPr>
            <w:tcW w:w="1476" w:type="dxa"/>
          </w:tcPr>
          <w:p w14:paraId="1ADD2355" w14:textId="0BE0A385" w:rsidR="00423A40" w:rsidRDefault="00423A40" w:rsidP="0026672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122.65</w:t>
            </w:r>
          </w:p>
        </w:tc>
        <w:tc>
          <w:tcPr>
            <w:tcW w:w="1476" w:type="dxa"/>
          </w:tcPr>
          <w:p w14:paraId="30A12D5A" w14:textId="74A7486D" w:rsidR="00423A40" w:rsidRDefault="00423A40" w:rsidP="0026672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1038</w:t>
            </w:r>
          </w:p>
        </w:tc>
        <w:tc>
          <w:tcPr>
            <w:tcW w:w="1476" w:type="dxa"/>
          </w:tcPr>
          <w:p w14:paraId="32559563" w14:textId="77777777" w:rsidR="00423A40" w:rsidRDefault="00423A40" w:rsidP="0026672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&lt;2e-16</w:t>
            </w:r>
          </w:p>
        </w:tc>
      </w:tr>
      <w:tr w:rsidR="00423A40" w14:paraId="4FA65183" w14:textId="77777777" w:rsidTr="00266721">
        <w:tc>
          <w:tcPr>
            <w:cnfStyle w:val="001000000000" w:firstRow="0" w:lastRow="0" w:firstColumn="1" w:lastColumn="0" w:oddVBand="0" w:evenVBand="0" w:oddHBand="0" w:evenHBand="0" w:firstRowFirstColumn="0" w:firstRowLastColumn="0" w:lastRowFirstColumn="0" w:lastRowLastColumn="0"/>
            <w:tcW w:w="1476" w:type="dxa"/>
          </w:tcPr>
          <w:p w14:paraId="6BEC2899" w14:textId="77777777" w:rsidR="00423A40" w:rsidRDefault="00423A40" w:rsidP="00266721">
            <w:pPr>
              <w:jc w:val="center"/>
              <w:rPr>
                <w:sz w:val="20"/>
                <w:szCs w:val="20"/>
              </w:rPr>
            </w:pPr>
            <w:r>
              <w:rPr>
                <w:sz w:val="20"/>
                <w:szCs w:val="20"/>
              </w:rPr>
              <w:t>Residual</w:t>
            </w:r>
          </w:p>
        </w:tc>
        <w:tc>
          <w:tcPr>
            <w:tcW w:w="1476" w:type="dxa"/>
          </w:tcPr>
          <w:p w14:paraId="5DDE5A82" w14:textId="1168304D" w:rsidR="00423A40" w:rsidRDefault="00423A40" w:rsidP="0026672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37388</w:t>
            </w:r>
          </w:p>
        </w:tc>
        <w:tc>
          <w:tcPr>
            <w:tcW w:w="1476" w:type="dxa"/>
          </w:tcPr>
          <w:p w14:paraId="364320D8" w14:textId="70B6B7C7" w:rsidR="00423A40" w:rsidRDefault="00423A40" w:rsidP="0026672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4371</w:t>
            </w:r>
          </w:p>
        </w:tc>
        <w:tc>
          <w:tcPr>
            <w:tcW w:w="1476" w:type="dxa"/>
          </w:tcPr>
          <w:p w14:paraId="484FBC5C" w14:textId="3EDE7BC0" w:rsidR="00423A40" w:rsidRDefault="00423A40" w:rsidP="0026672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0.12</w:t>
            </w:r>
          </w:p>
        </w:tc>
        <w:tc>
          <w:tcPr>
            <w:tcW w:w="1476" w:type="dxa"/>
          </w:tcPr>
          <w:p w14:paraId="35F9F09C" w14:textId="77777777" w:rsidR="00423A40" w:rsidRDefault="00423A40" w:rsidP="00266721">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76" w:type="dxa"/>
          </w:tcPr>
          <w:p w14:paraId="50906CAF" w14:textId="77777777" w:rsidR="00423A40" w:rsidRDefault="00423A40" w:rsidP="00266721">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2BC4FCFF" w14:textId="77777777" w:rsidR="00565113" w:rsidRPr="003F555F" w:rsidRDefault="00565113">
      <w:pPr>
        <w:rPr>
          <w:sz w:val="20"/>
          <w:szCs w:val="20"/>
        </w:rPr>
      </w:pPr>
    </w:p>
    <w:p w14:paraId="1D7C31A0" w14:textId="77777777" w:rsidR="003F555F" w:rsidRDefault="00A3408F" w:rsidP="003F555F">
      <w:pPr>
        <w:keepNext/>
      </w:pPr>
      <w:r w:rsidRPr="003F555F">
        <w:rPr>
          <w:noProof/>
          <w:sz w:val="20"/>
          <w:szCs w:val="20"/>
        </w:rPr>
        <w:drawing>
          <wp:inline distT="0" distB="0" distL="0" distR="0" wp14:anchorId="2B0D5902" wp14:editId="2F733ECA">
            <wp:extent cx="2514600" cy="187052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png"/>
                    <pic:cNvPicPr/>
                  </pic:nvPicPr>
                  <pic:blipFill>
                    <a:blip r:embed="rId7">
                      <a:extLst>
                        <a:ext uri="{28A0092B-C50C-407E-A947-70E740481C1C}">
                          <a14:useLocalDpi xmlns:a14="http://schemas.microsoft.com/office/drawing/2010/main" val="0"/>
                        </a:ext>
                      </a:extLst>
                    </a:blip>
                    <a:stretch>
                      <a:fillRect/>
                    </a:stretch>
                  </pic:blipFill>
                  <pic:spPr>
                    <a:xfrm>
                      <a:off x="0" y="0"/>
                      <a:ext cx="2515067" cy="1870871"/>
                    </a:xfrm>
                    <a:prstGeom prst="rect">
                      <a:avLst/>
                    </a:prstGeom>
                  </pic:spPr>
                </pic:pic>
              </a:graphicData>
            </a:graphic>
          </wp:inline>
        </w:drawing>
      </w:r>
    </w:p>
    <w:p w14:paraId="40888431" w14:textId="41CE3845" w:rsidR="003F555F" w:rsidRDefault="003F555F" w:rsidP="003F555F">
      <w:pPr>
        <w:pStyle w:val="Caption"/>
      </w:pPr>
      <w:r>
        <w:t xml:space="preserve">Figure </w:t>
      </w:r>
      <w:fldSimple w:instr=" SEQ Figure \* ARABIC ">
        <w:r>
          <w:rPr>
            <w:noProof/>
          </w:rPr>
          <w:t>2</w:t>
        </w:r>
      </w:fldSimple>
      <w:r>
        <w:t>: Actual temperatures recorded</w:t>
      </w:r>
    </w:p>
    <w:p w14:paraId="7EA34A46" w14:textId="77777777" w:rsidR="003F555F" w:rsidRDefault="003F555F" w:rsidP="003F555F">
      <w:pPr>
        <w:keepNext/>
      </w:pPr>
      <w:r w:rsidRPr="003F555F">
        <w:rPr>
          <w:sz w:val="20"/>
          <w:szCs w:val="20"/>
        </w:rPr>
        <w:drawing>
          <wp:inline distT="0" distB="0" distL="0" distR="0" wp14:anchorId="747BED75" wp14:editId="5151A24E">
            <wp:extent cx="2400300" cy="17855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cted.png"/>
                    <pic:cNvPicPr/>
                  </pic:nvPicPr>
                  <pic:blipFill>
                    <a:blip r:embed="rId8">
                      <a:extLst>
                        <a:ext uri="{28A0092B-C50C-407E-A947-70E740481C1C}">
                          <a14:useLocalDpi xmlns:a14="http://schemas.microsoft.com/office/drawing/2010/main" val="0"/>
                        </a:ext>
                      </a:extLst>
                    </a:blip>
                    <a:stretch>
                      <a:fillRect/>
                    </a:stretch>
                  </pic:blipFill>
                  <pic:spPr>
                    <a:xfrm>
                      <a:off x="0" y="0"/>
                      <a:ext cx="2400885" cy="1785936"/>
                    </a:xfrm>
                    <a:prstGeom prst="rect">
                      <a:avLst/>
                    </a:prstGeom>
                  </pic:spPr>
                </pic:pic>
              </a:graphicData>
            </a:graphic>
          </wp:inline>
        </w:drawing>
      </w:r>
    </w:p>
    <w:p w14:paraId="01D49B06" w14:textId="10D4CAF6" w:rsidR="00A3408F" w:rsidRPr="003F555F" w:rsidRDefault="003F555F" w:rsidP="003F555F">
      <w:pPr>
        <w:pStyle w:val="Caption"/>
        <w:rPr>
          <w:sz w:val="20"/>
          <w:szCs w:val="20"/>
        </w:rPr>
      </w:pPr>
      <w:r>
        <w:t xml:space="preserve">Figure </w:t>
      </w:r>
      <w:fldSimple w:instr=" SEQ Figure \* ARABIC ">
        <w:r>
          <w:rPr>
            <w:noProof/>
          </w:rPr>
          <w:t>3</w:t>
        </w:r>
      </w:fldSimple>
      <w:r>
        <w:t>: Expected temperature recorded</w:t>
      </w:r>
    </w:p>
    <w:p w14:paraId="28CF5E8B" w14:textId="77777777" w:rsidR="003343DE" w:rsidRPr="003F555F" w:rsidRDefault="003343DE">
      <w:pPr>
        <w:rPr>
          <w:sz w:val="20"/>
          <w:szCs w:val="20"/>
        </w:rPr>
      </w:pPr>
    </w:p>
    <w:p w14:paraId="747ADF24" w14:textId="4E7B06EC" w:rsidR="003343DE" w:rsidRDefault="003F555F">
      <w:pPr>
        <w:rPr>
          <w:b/>
          <w:sz w:val="20"/>
          <w:szCs w:val="20"/>
        </w:rPr>
      </w:pPr>
      <w:r w:rsidRPr="003F555F">
        <w:rPr>
          <w:b/>
          <w:sz w:val="20"/>
          <w:szCs w:val="20"/>
        </w:rPr>
        <w:t>Discussion:</w:t>
      </w:r>
    </w:p>
    <w:p w14:paraId="60C5777B" w14:textId="77777777" w:rsidR="003F555F" w:rsidRDefault="003F555F">
      <w:pPr>
        <w:rPr>
          <w:b/>
          <w:sz w:val="20"/>
          <w:szCs w:val="20"/>
        </w:rPr>
      </w:pPr>
    </w:p>
    <w:p w14:paraId="12858B2B" w14:textId="535FC884" w:rsidR="003F555F" w:rsidRDefault="003F555F">
      <w:pPr>
        <w:rPr>
          <w:sz w:val="20"/>
          <w:szCs w:val="20"/>
        </w:rPr>
      </w:pPr>
      <w:r>
        <w:rPr>
          <w:b/>
          <w:sz w:val="20"/>
          <w:szCs w:val="20"/>
        </w:rPr>
        <w:t>-</w:t>
      </w:r>
      <w:r>
        <w:rPr>
          <w:sz w:val="20"/>
          <w:szCs w:val="20"/>
        </w:rPr>
        <w:t>Talk about how the processor priority of the Raspberry Pi made it impossible to process water flow reliably</w:t>
      </w:r>
    </w:p>
    <w:p w14:paraId="5F1568BB" w14:textId="693099C4" w:rsidR="003F555F" w:rsidRDefault="003F555F">
      <w:pPr>
        <w:rPr>
          <w:sz w:val="20"/>
          <w:szCs w:val="20"/>
        </w:rPr>
      </w:pPr>
      <w:r>
        <w:rPr>
          <w:sz w:val="20"/>
          <w:szCs w:val="20"/>
        </w:rPr>
        <w:t>- Talk about how temperature probe claims to read to 1/1000</w:t>
      </w:r>
      <w:r w:rsidRPr="003F555F">
        <w:rPr>
          <w:sz w:val="20"/>
          <w:szCs w:val="20"/>
          <w:vertAlign w:val="superscript"/>
        </w:rPr>
        <w:t>th</w:t>
      </w:r>
      <w:r>
        <w:rPr>
          <w:sz w:val="20"/>
          <w:szCs w:val="20"/>
        </w:rPr>
        <w:t xml:space="preserve"> of a degree, but only reads in 1/64</w:t>
      </w:r>
      <w:r w:rsidRPr="003F555F">
        <w:rPr>
          <w:sz w:val="20"/>
          <w:szCs w:val="20"/>
          <w:vertAlign w:val="superscript"/>
        </w:rPr>
        <w:t>th</w:t>
      </w:r>
      <w:r>
        <w:rPr>
          <w:sz w:val="20"/>
          <w:szCs w:val="20"/>
        </w:rPr>
        <w:t xml:space="preserve"> degree increments leading to the uncharacteristic steps found in the actual data</w:t>
      </w:r>
    </w:p>
    <w:p w14:paraId="0EA19DD4" w14:textId="56BEBA12" w:rsidR="003F555F" w:rsidRDefault="003F555F">
      <w:pPr>
        <w:rPr>
          <w:sz w:val="20"/>
          <w:szCs w:val="20"/>
        </w:rPr>
      </w:pPr>
      <w:r>
        <w:rPr>
          <w:sz w:val="20"/>
          <w:szCs w:val="20"/>
        </w:rPr>
        <w:t>- Talk about how I probably figured out the root cause of the difference in the temperature for the hot tank at least. It’s the one closest to the chiller, so heat thrown off from the chiller may be artificially warming the tank</w:t>
      </w:r>
    </w:p>
    <w:p w14:paraId="0D56D1E3" w14:textId="4E18596E" w:rsidR="003F555F" w:rsidRDefault="003F555F">
      <w:pPr>
        <w:rPr>
          <w:sz w:val="20"/>
          <w:szCs w:val="20"/>
        </w:rPr>
      </w:pPr>
      <w:r>
        <w:rPr>
          <w:sz w:val="20"/>
          <w:szCs w:val="20"/>
        </w:rPr>
        <w:t xml:space="preserve">- Talk about how we plan a second data collection run, with sensor interaction offloaded to an </w:t>
      </w:r>
      <w:proofErr w:type="spellStart"/>
      <w:proofErr w:type="gramStart"/>
      <w:r>
        <w:rPr>
          <w:sz w:val="20"/>
          <w:szCs w:val="20"/>
        </w:rPr>
        <w:t>arduino</w:t>
      </w:r>
      <w:proofErr w:type="spellEnd"/>
      <w:r>
        <w:rPr>
          <w:sz w:val="20"/>
          <w:szCs w:val="20"/>
        </w:rPr>
        <w:t xml:space="preserve"> based</w:t>
      </w:r>
      <w:proofErr w:type="gramEnd"/>
      <w:r>
        <w:rPr>
          <w:sz w:val="20"/>
          <w:szCs w:val="20"/>
        </w:rPr>
        <w:t xml:space="preserve"> microcontroller for functioning water flow</w:t>
      </w:r>
    </w:p>
    <w:p w14:paraId="5A281E09" w14:textId="5848B5FE" w:rsidR="003F555F" w:rsidRDefault="003F555F">
      <w:pPr>
        <w:rPr>
          <w:sz w:val="20"/>
          <w:szCs w:val="20"/>
        </w:rPr>
      </w:pPr>
      <w:r>
        <w:rPr>
          <w:sz w:val="20"/>
          <w:szCs w:val="20"/>
        </w:rPr>
        <w:t>- Results interpretation: If we accept that the chiller induced heat is the cause for the warm tank, we likely have three tanks that are the same, one tank that is different (low). Low temperature one is still a mystery</w:t>
      </w:r>
      <w:r w:rsidR="005252FC">
        <w:rPr>
          <w:sz w:val="20"/>
          <w:szCs w:val="20"/>
        </w:rPr>
        <w:t>. As it stands, based on temperature alone we don’t have sufficient evidence to suggest that there is heterogeneity in variance enough to call our sub-aquaria blocks. Water flow may make this different.</w:t>
      </w:r>
    </w:p>
    <w:p w14:paraId="021E1CEF" w14:textId="5D2585B8" w:rsidR="005252FC" w:rsidRDefault="005252FC">
      <w:pPr>
        <w:rPr>
          <w:sz w:val="20"/>
          <w:szCs w:val="20"/>
        </w:rPr>
      </w:pPr>
      <w:r>
        <w:rPr>
          <w:sz w:val="20"/>
          <w:szCs w:val="20"/>
        </w:rPr>
        <w:t xml:space="preserve">- Further inquiry: Can we induce structural variability and not break statistical rules? I don’t honestly know the answer to that (IE, can we set one at a temp of 15, one at a temp of 16, … and then block based on that? I haven’t encountered that, so I think it’s a little sketchy). We may also look at characterizing suspended organic matter from the head tank down (Disease is fecal orally transferred, so we’re spreading poop, if different levels of poop comes out of each pipe, that’s reason for blocking. This would require multiple </w:t>
      </w:r>
      <w:proofErr w:type="spellStart"/>
      <w:r>
        <w:rPr>
          <w:sz w:val="20"/>
          <w:szCs w:val="20"/>
        </w:rPr>
        <w:t>qPCRs</w:t>
      </w:r>
      <w:proofErr w:type="spellEnd"/>
      <w:r>
        <w:rPr>
          <w:sz w:val="20"/>
          <w:szCs w:val="20"/>
        </w:rPr>
        <w:t xml:space="preserve"> for bacterial detection, or collection of fixed volume of liquid for each </w:t>
      </w:r>
      <w:proofErr w:type="gramStart"/>
      <w:r>
        <w:rPr>
          <w:sz w:val="20"/>
          <w:szCs w:val="20"/>
        </w:rPr>
        <w:t>aquaria</w:t>
      </w:r>
      <w:proofErr w:type="gramEnd"/>
      <w:r>
        <w:rPr>
          <w:sz w:val="20"/>
          <w:szCs w:val="20"/>
        </w:rPr>
        <w:t xml:space="preserve">, spinning down of suspended material, drying, and weighing). </w:t>
      </w:r>
    </w:p>
    <w:p w14:paraId="30343016" w14:textId="0387D9DC" w:rsidR="005252FC" w:rsidRDefault="005252FC">
      <w:pPr>
        <w:rPr>
          <w:sz w:val="20"/>
          <w:szCs w:val="20"/>
        </w:rPr>
      </w:pPr>
      <w:r>
        <w:rPr>
          <w:sz w:val="20"/>
          <w:szCs w:val="20"/>
        </w:rPr>
        <w:t>- Hardware programming/debugging is hard as balls.</w:t>
      </w:r>
    </w:p>
    <w:p w14:paraId="0A0360E7" w14:textId="570B87D6" w:rsidR="00423A40" w:rsidRDefault="00423A40">
      <w:pPr>
        <w:rPr>
          <w:sz w:val="20"/>
          <w:szCs w:val="20"/>
        </w:rPr>
      </w:pPr>
      <w:r>
        <w:rPr>
          <w:sz w:val="20"/>
          <w:szCs w:val="20"/>
        </w:rPr>
        <w:t xml:space="preserve">- I generated the expected by doing a ridiculous smoothing, like a 27 minute moving average. </w:t>
      </w:r>
      <w:proofErr w:type="spellStart"/>
      <w:r>
        <w:rPr>
          <w:sz w:val="20"/>
          <w:szCs w:val="20"/>
        </w:rPr>
        <w:t>Smoo</w:t>
      </w:r>
      <w:bookmarkStart w:id="0" w:name="_GoBack"/>
      <w:bookmarkEnd w:id="0"/>
      <w:r>
        <w:rPr>
          <w:sz w:val="20"/>
          <w:szCs w:val="20"/>
        </w:rPr>
        <w:t>ths</w:t>
      </w:r>
      <w:proofErr w:type="spellEnd"/>
      <w:r>
        <w:rPr>
          <w:sz w:val="20"/>
          <w:szCs w:val="20"/>
        </w:rPr>
        <w:t xml:space="preserve"> out though and looks pretty!</w:t>
      </w:r>
    </w:p>
    <w:p w14:paraId="783E5302" w14:textId="77777777" w:rsidR="00423A40" w:rsidRPr="003F555F" w:rsidRDefault="00423A40">
      <w:pPr>
        <w:rPr>
          <w:sz w:val="20"/>
          <w:szCs w:val="20"/>
        </w:rPr>
      </w:pPr>
    </w:p>
    <w:p w14:paraId="7ED2B51C" w14:textId="77777777" w:rsidR="003343DE" w:rsidRPr="003F555F" w:rsidRDefault="003343DE">
      <w:pPr>
        <w:rPr>
          <w:sz w:val="20"/>
          <w:szCs w:val="20"/>
        </w:rPr>
      </w:pPr>
    </w:p>
    <w:p w14:paraId="028AE31C" w14:textId="77777777" w:rsidR="00E568C1" w:rsidRPr="003F555F" w:rsidRDefault="00E568C1">
      <w:pPr>
        <w:rPr>
          <w:sz w:val="20"/>
          <w:szCs w:val="20"/>
        </w:rPr>
      </w:pPr>
      <w:r w:rsidRPr="003F555F">
        <w:rPr>
          <w:sz w:val="20"/>
          <w:szCs w:val="20"/>
        </w:rPr>
        <w:t>References:</w:t>
      </w:r>
    </w:p>
    <w:p w14:paraId="253748F2" w14:textId="77777777" w:rsidR="00E568C1" w:rsidRPr="003F555F" w:rsidRDefault="00E568C1">
      <w:pPr>
        <w:rPr>
          <w:sz w:val="20"/>
          <w:szCs w:val="20"/>
        </w:rPr>
      </w:pPr>
    </w:p>
    <w:p w14:paraId="54F61FFE" w14:textId="77777777" w:rsidR="00611AC6" w:rsidRPr="003F555F" w:rsidRDefault="00611AC6" w:rsidP="00611AC6">
      <w:pPr>
        <w:pStyle w:val="NormalWeb"/>
        <w:ind w:left="480" w:hanging="480"/>
        <w:rPr>
          <w:rFonts w:asciiTheme="minorHAnsi" w:hAnsiTheme="minorHAnsi"/>
        </w:rPr>
      </w:pPr>
      <w:proofErr w:type="spellStart"/>
      <w:r w:rsidRPr="003F555F">
        <w:rPr>
          <w:rFonts w:asciiTheme="minorHAnsi" w:hAnsiTheme="minorHAnsi"/>
        </w:rPr>
        <w:t>Crosson</w:t>
      </w:r>
      <w:proofErr w:type="spellEnd"/>
      <w:r w:rsidRPr="003F555F">
        <w:rPr>
          <w:rFonts w:asciiTheme="minorHAnsi" w:hAnsiTheme="minorHAnsi"/>
        </w:rPr>
        <w:t xml:space="preserve">, L.M., Wight, N., </w:t>
      </w:r>
      <w:proofErr w:type="spellStart"/>
      <w:r w:rsidRPr="003F555F">
        <w:rPr>
          <w:rFonts w:asciiTheme="minorHAnsi" w:hAnsiTheme="minorHAnsi"/>
        </w:rPr>
        <w:t>VanBlaricom</w:t>
      </w:r>
      <w:proofErr w:type="spellEnd"/>
      <w:r w:rsidRPr="003F555F">
        <w:rPr>
          <w:rFonts w:asciiTheme="minorHAnsi" w:hAnsiTheme="minorHAnsi"/>
        </w:rPr>
        <w:t xml:space="preserve">, G.R., </w:t>
      </w:r>
      <w:proofErr w:type="spellStart"/>
      <w:r w:rsidRPr="003F555F">
        <w:rPr>
          <w:rFonts w:asciiTheme="minorHAnsi" w:hAnsiTheme="minorHAnsi"/>
        </w:rPr>
        <w:t>Kiryu</w:t>
      </w:r>
      <w:proofErr w:type="spellEnd"/>
      <w:r w:rsidRPr="003F555F">
        <w:rPr>
          <w:rFonts w:asciiTheme="minorHAnsi" w:hAnsiTheme="minorHAnsi"/>
        </w:rPr>
        <w:t xml:space="preserve">, I., Moore, J.D., and Friedman, C.S. 2014. Abalone withering syndrome: distribution, impacts, current diagnostic methods and new findings. Dis. </w:t>
      </w:r>
      <w:proofErr w:type="spellStart"/>
      <w:r w:rsidRPr="003F555F">
        <w:rPr>
          <w:rFonts w:asciiTheme="minorHAnsi" w:hAnsiTheme="minorHAnsi"/>
        </w:rPr>
        <w:t>Aquat</w:t>
      </w:r>
      <w:proofErr w:type="spellEnd"/>
      <w:r w:rsidRPr="003F555F">
        <w:rPr>
          <w:rFonts w:asciiTheme="minorHAnsi" w:hAnsiTheme="minorHAnsi"/>
        </w:rPr>
        <w:t xml:space="preserve">. Organ. </w:t>
      </w:r>
      <w:proofErr w:type="gramStart"/>
      <w:r w:rsidRPr="003F555F">
        <w:rPr>
          <w:rFonts w:asciiTheme="minorHAnsi" w:hAnsiTheme="minorHAnsi"/>
          <w:b/>
          <w:bCs/>
        </w:rPr>
        <w:t>108</w:t>
      </w:r>
      <w:r w:rsidRPr="003F555F">
        <w:rPr>
          <w:rFonts w:asciiTheme="minorHAnsi" w:hAnsiTheme="minorHAnsi"/>
        </w:rPr>
        <w:t>(3): 261–270.</w:t>
      </w:r>
      <w:proofErr w:type="gramEnd"/>
      <w:r w:rsidRPr="003F555F">
        <w:rPr>
          <w:rFonts w:asciiTheme="minorHAnsi" w:hAnsiTheme="minorHAnsi"/>
        </w:rPr>
        <w:t xml:space="preserve"> </w:t>
      </w:r>
      <w:proofErr w:type="spellStart"/>
      <w:proofErr w:type="gramStart"/>
      <w:r w:rsidRPr="003F555F">
        <w:rPr>
          <w:rFonts w:asciiTheme="minorHAnsi" w:hAnsiTheme="minorHAnsi"/>
        </w:rPr>
        <w:t>doi</w:t>
      </w:r>
      <w:proofErr w:type="spellEnd"/>
      <w:proofErr w:type="gramEnd"/>
      <w:r w:rsidRPr="003F555F">
        <w:rPr>
          <w:rFonts w:asciiTheme="minorHAnsi" w:hAnsiTheme="minorHAnsi"/>
        </w:rPr>
        <w:t xml:space="preserve">: </w:t>
      </w:r>
      <w:proofErr w:type="spellStart"/>
      <w:r w:rsidRPr="003F555F">
        <w:rPr>
          <w:rFonts w:asciiTheme="minorHAnsi" w:hAnsiTheme="minorHAnsi"/>
        </w:rPr>
        <w:t>Doi</w:t>
      </w:r>
      <w:proofErr w:type="spellEnd"/>
      <w:r w:rsidRPr="003F555F">
        <w:rPr>
          <w:rFonts w:asciiTheme="minorHAnsi" w:hAnsiTheme="minorHAnsi"/>
        </w:rPr>
        <w:t xml:space="preserve"> 10.3354/Dao02713.</w:t>
      </w:r>
    </w:p>
    <w:p w14:paraId="013626F9" w14:textId="77777777" w:rsidR="0027453E" w:rsidRPr="003F555F" w:rsidRDefault="0027453E" w:rsidP="00E84384">
      <w:pPr>
        <w:ind w:left="720" w:hanging="720"/>
        <w:rPr>
          <w:sz w:val="20"/>
          <w:szCs w:val="20"/>
        </w:rPr>
      </w:pPr>
      <w:proofErr w:type="spellStart"/>
      <w:r w:rsidRPr="003F555F">
        <w:rPr>
          <w:rFonts w:cs="OpenSans-Semibold"/>
          <w:bCs/>
          <w:color w:val="262626"/>
          <w:sz w:val="20"/>
          <w:szCs w:val="20"/>
        </w:rPr>
        <w:t>Hurlbert</w:t>
      </w:r>
      <w:proofErr w:type="spellEnd"/>
      <w:r w:rsidRPr="003F555F">
        <w:rPr>
          <w:rFonts w:cs="OpenSans-Semibold"/>
          <w:bCs/>
          <w:color w:val="262626"/>
          <w:sz w:val="20"/>
          <w:szCs w:val="20"/>
        </w:rPr>
        <w:t xml:space="preserve">, S.H. 1984. </w:t>
      </w:r>
      <w:proofErr w:type="spellStart"/>
      <w:proofErr w:type="gramStart"/>
      <w:r w:rsidRPr="003F555F">
        <w:rPr>
          <w:rFonts w:cs="OpenSans-Semibold"/>
          <w:bCs/>
          <w:color w:val="262626"/>
          <w:sz w:val="20"/>
          <w:szCs w:val="20"/>
        </w:rPr>
        <w:t>Pseudoreplication</w:t>
      </w:r>
      <w:proofErr w:type="spellEnd"/>
      <w:r w:rsidRPr="003F555F">
        <w:rPr>
          <w:rFonts w:cs="OpenSans-Semibold"/>
          <w:bCs/>
          <w:color w:val="262626"/>
          <w:sz w:val="20"/>
          <w:szCs w:val="20"/>
        </w:rPr>
        <w:t xml:space="preserve"> and the Design of Ecological Field Experiments.</w:t>
      </w:r>
      <w:proofErr w:type="gramEnd"/>
      <w:r w:rsidRPr="003F555F">
        <w:rPr>
          <w:rFonts w:cs="OpenSans-Semibold"/>
          <w:bCs/>
          <w:color w:val="262626"/>
          <w:sz w:val="20"/>
          <w:szCs w:val="20"/>
        </w:rPr>
        <w:t xml:space="preserve"> </w:t>
      </w:r>
      <w:proofErr w:type="gramStart"/>
      <w:r w:rsidRPr="003F555F">
        <w:rPr>
          <w:rFonts w:cs="OpenSans-Semibold"/>
          <w:bCs/>
          <w:color w:val="262626"/>
          <w:sz w:val="20"/>
          <w:szCs w:val="20"/>
        </w:rPr>
        <w:t xml:space="preserve">Ecological Monographs </w:t>
      </w:r>
      <w:r w:rsidRPr="003F555F">
        <w:rPr>
          <w:rFonts w:cs="OpenSans-Bold"/>
          <w:bCs/>
          <w:color w:val="262626"/>
          <w:sz w:val="20"/>
          <w:szCs w:val="20"/>
        </w:rPr>
        <w:t>54</w:t>
      </w:r>
      <w:r w:rsidRPr="003F555F">
        <w:rPr>
          <w:rFonts w:cs="OpenSans-Semibold"/>
          <w:bCs/>
          <w:color w:val="262626"/>
          <w:sz w:val="20"/>
          <w:szCs w:val="20"/>
        </w:rPr>
        <w:t>(2): 187–211.</w:t>
      </w:r>
      <w:proofErr w:type="gramEnd"/>
      <w:r w:rsidRPr="003F555F">
        <w:rPr>
          <w:rFonts w:cs="OpenSans-Semibold"/>
          <w:bCs/>
          <w:color w:val="262626"/>
          <w:sz w:val="20"/>
          <w:szCs w:val="20"/>
        </w:rPr>
        <w:t xml:space="preserve"> [</w:t>
      </w:r>
      <w:proofErr w:type="gramStart"/>
      <w:r w:rsidRPr="003F555F">
        <w:rPr>
          <w:rFonts w:cs="OpenSans-Semibold"/>
          <w:bCs/>
          <w:color w:val="262626"/>
          <w:sz w:val="20"/>
          <w:szCs w:val="20"/>
        </w:rPr>
        <w:t>accessed</w:t>
      </w:r>
      <w:proofErr w:type="gramEnd"/>
      <w:r w:rsidRPr="003F555F">
        <w:rPr>
          <w:rFonts w:cs="OpenSans-Semibold"/>
          <w:bCs/>
          <w:color w:val="262626"/>
          <w:sz w:val="20"/>
          <w:szCs w:val="20"/>
        </w:rPr>
        <w:t xml:space="preserve"> 11 March 2016].</w:t>
      </w:r>
    </w:p>
    <w:p w14:paraId="1581CDD1" w14:textId="77777777" w:rsidR="009C78D1" w:rsidRPr="003F555F" w:rsidRDefault="009C78D1" w:rsidP="009C78D1">
      <w:pPr>
        <w:pStyle w:val="NormalWeb"/>
        <w:ind w:left="480" w:hanging="480"/>
        <w:rPr>
          <w:rFonts w:asciiTheme="minorHAnsi" w:hAnsiTheme="minorHAnsi"/>
        </w:rPr>
      </w:pPr>
      <w:proofErr w:type="gramStart"/>
      <w:r w:rsidRPr="003F555F">
        <w:rPr>
          <w:rFonts w:asciiTheme="minorHAnsi" w:hAnsiTheme="minorHAnsi"/>
        </w:rPr>
        <w:t>McBride, S., and Conte, F.S. 2000.</w:t>
      </w:r>
      <w:proofErr w:type="gramEnd"/>
      <w:r w:rsidRPr="003F555F">
        <w:rPr>
          <w:rFonts w:asciiTheme="minorHAnsi" w:hAnsiTheme="minorHAnsi"/>
        </w:rPr>
        <w:t xml:space="preserve"> </w:t>
      </w:r>
      <w:proofErr w:type="gramStart"/>
      <w:r w:rsidRPr="003F555F">
        <w:rPr>
          <w:rFonts w:asciiTheme="minorHAnsi" w:hAnsiTheme="minorHAnsi"/>
        </w:rPr>
        <w:t>California abalone aquaculture.</w:t>
      </w:r>
      <w:proofErr w:type="gramEnd"/>
      <w:r w:rsidRPr="003F555F">
        <w:rPr>
          <w:rFonts w:asciiTheme="minorHAnsi" w:hAnsiTheme="minorHAnsi"/>
        </w:rPr>
        <w:t xml:space="preserve"> Calif. </w:t>
      </w:r>
      <w:proofErr w:type="spellStart"/>
      <w:r w:rsidRPr="003F555F">
        <w:rPr>
          <w:rFonts w:asciiTheme="minorHAnsi" w:hAnsiTheme="minorHAnsi"/>
        </w:rPr>
        <w:t>Aquac</w:t>
      </w:r>
      <w:proofErr w:type="spellEnd"/>
      <w:proofErr w:type="gramStart"/>
      <w:r w:rsidRPr="003F555F">
        <w:rPr>
          <w:rFonts w:asciiTheme="minorHAnsi" w:hAnsiTheme="minorHAnsi"/>
        </w:rPr>
        <w:t>.:</w:t>
      </w:r>
      <w:proofErr w:type="gramEnd"/>
      <w:r w:rsidRPr="003F555F">
        <w:rPr>
          <w:rFonts w:asciiTheme="minorHAnsi" w:hAnsiTheme="minorHAnsi"/>
        </w:rPr>
        <w:t xml:space="preserve"> 1–5. </w:t>
      </w:r>
      <w:proofErr w:type="spellStart"/>
      <w:proofErr w:type="gramStart"/>
      <w:r w:rsidRPr="003F555F">
        <w:rPr>
          <w:rFonts w:asciiTheme="minorHAnsi" w:hAnsiTheme="minorHAnsi"/>
        </w:rPr>
        <w:t>doi</w:t>
      </w:r>
      <w:proofErr w:type="spellEnd"/>
      <w:proofErr w:type="gramEnd"/>
      <w:r w:rsidRPr="003F555F">
        <w:rPr>
          <w:rFonts w:asciiTheme="minorHAnsi" w:hAnsiTheme="minorHAnsi"/>
        </w:rPr>
        <w:t>: ASAQ-A10.</w:t>
      </w:r>
    </w:p>
    <w:p w14:paraId="2FC1769D" w14:textId="77777777" w:rsidR="00021740" w:rsidRPr="003F555F" w:rsidRDefault="00021740" w:rsidP="00021740">
      <w:pPr>
        <w:pStyle w:val="NormalWeb"/>
        <w:ind w:left="480" w:hanging="480"/>
        <w:rPr>
          <w:rFonts w:asciiTheme="minorHAnsi" w:hAnsiTheme="minorHAnsi"/>
        </w:rPr>
      </w:pPr>
      <w:r w:rsidRPr="003F555F">
        <w:rPr>
          <w:rFonts w:asciiTheme="minorHAnsi" w:hAnsiTheme="minorHAnsi"/>
        </w:rPr>
        <w:t xml:space="preserve">Monk, S. 2015. </w:t>
      </w:r>
      <w:proofErr w:type="spellStart"/>
      <w:proofErr w:type="gramStart"/>
      <w:r w:rsidRPr="003F555F">
        <w:rPr>
          <w:rFonts w:asciiTheme="minorHAnsi" w:hAnsiTheme="minorHAnsi"/>
        </w:rPr>
        <w:t>Adafruit’s</w:t>
      </w:r>
      <w:proofErr w:type="spellEnd"/>
      <w:r w:rsidRPr="003F555F">
        <w:rPr>
          <w:rFonts w:asciiTheme="minorHAnsi" w:hAnsiTheme="minorHAnsi"/>
        </w:rPr>
        <w:t xml:space="preserve"> Raspberry Pi Lesson 11.</w:t>
      </w:r>
      <w:proofErr w:type="gramEnd"/>
      <w:r w:rsidRPr="003F555F">
        <w:rPr>
          <w:rFonts w:asciiTheme="minorHAnsi" w:hAnsiTheme="minorHAnsi"/>
        </w:rPr>
        <w:t xml:space="preserve"> </w:t>
      </w:r>
      <w:proofErr w:type="gramStart"/>
      <w:r w:rsidRPr="003F555F">
        <w:rPr>
          <w:rFonts w:asciiTheme="minorHAnsi" w:hAnsiTheme="minorHAnsi"/>
        </w:rPr>
        <w:t>DS18B20 Temperature Sensing.</w:t>
      </w:r>
      <w:proofErr w:type="gramEnd"/>
      <w:r w:rsidRPr="003F555F">
        <w:rPr>
          <w:rFonts w:asciiTheme="minorHAnsi" w:hAnsiTheme="minorHAnsi"/>
        </w:rPr>
        <w:t xml:space="preserve"> </w:t>
      </w:r>
      <w:proofErr w:type="gramStart"/>
      <w:r w:rsidRPr="003F555F">
        <w:rPr>
          <w:rFonts w:asciiTheme="minorHAnsi" w:hAnsiTheme="minorHAnsi"/>
        </w:rPr>
        <w:t>Available from https://learn.adafruit.com/adafruits-raspberry-pi-lesson-11-ds18b20-temperature-sensing/overview.</w:t>
      </w:r>
      <w:proofErr w:type="gramEnd"/>
    </w:p>
    <w:p w14:paraId="2BF0200B" w14:textId="77777777" w:rsidR="00E568C1" w:rsidRPr="003F555F" w:rsidRDefault="00E568C1" w:rsidP="00E84384">
      <w:pPr>
        <w:ind w:left="720" w:hanging="720"/>
        <w:rPr>
          <w:sz w:val="20"/>
          <w:szCs w:val="20"/>
        </w:rPr>
      </w:pPr>
      <w:proofErr w:type="gramStart"/>
      <w:r w:rsidRPr="003F555F">
        <w:rPr>
          <w:sz w:val="20"/>
          <w:szCs w:val="20"/>
        </w:rPr>
        <w:t>R Core Team (2015).</w:t>
      </w:r>
      <w:proofErr w:type="gramEnd"/>
      <w:r w:rsidRPr="003F555F">
        <w:rPr>
          <w:sz w:val="20"/>
          <w:szCs w:val="20"/>
        </w:rPr>
        <w:t xml:space="preserve"> R: A language and environment for statistical computing. </w:t>
      </w:r>
      <w:proofErr w:type="gramStart"/>
      <w:r w:rsidRPr="003F555F">
        <w:rPr>
          <w:sz w:val="20"/>
          <w:szCs w:val="20"/>
        </w:rPr>
        <w:t>R Foundation for Statistical Computing, Vienna, Austria.</w:t>
      </w:r>
      <w:proofErr w:type="gramEnd"/>
      <w:r w:rsidR="00E84384" w:rsidRPr="003F555F">
        <w:rPr>
          <w:sz w:val="20"/>
          <w:szCs w:val="20"/>
        </w:rPr>
        <w:t xml:space="preserve"> </w:t>
      </w:r>
      <w:r w:rsidRPr="003F555F">
        <w:rPr>
          <w:sz w:val="20"/>
          <w:szCs w:val="20"/>
        </w:rPr>
        <w:t>URL https://www.R-project.org/.</w:t>
      </w:r>
    </w:p>
    <w:p w14:paraId="360A0E44" w14:textId="77777777" w:rsidR="00E568C1" w:rsidRPr="003F555F" w:rsidRDefault="0027453E" w:rsidP="00E568C1">
      <w:pPr>
        <w:pStyle w:val="NormalWeb"/>
        <w:ind w:left="480" w:hanging="480"/>
        <w:rPr>
          <w:rFonts w:asciiTheme="minorHAnsi" w:hAnsiTheme="minorHAnsi"/>
        </w:rPr>
      </w:pPr>
      <w:proofErr w:type="spellStart"/>
      <w:r w:rsidRPr="003F555F">
        <w:rPr>
          <w:rFonts w:asciiTheme="minorHAnsi" w:hAnsiTheme="minorHAnsi"/>
        </w:rPr>
        <w:t>Welham</w:t>
      </w:r>
      <w:proofErr w:type="spellEnd"/>
      <w:r w:rsidRPr="003F555F">
        <w:rPr>
          <w:rFonts w:asciiTheme="minorHAnsi" w:hAnsiTheme="minorHAnsi"/>
        </w:rPr>
        <w:t>, SJ</w:t>
      </w:r>
      <w:proofErr w:type="gramStart"/>
      <w:r w:rsidR="00E568C1" w:rsidRPr="003F555F">
        <w:rPr>
          <w:rFonts w:asciiTheme="minorHAnsi" w:hAnsiTheme="minorHAnsi"/>
        </w:rPr>
        <w:t>.,</w:t>
      </w:r>
      <w:proofErr w:type="gramEnd"/>
      <w:r w:rsidR="00E568C1" w:rsidRPr="003F555F">
        <w:rPr>
          <w:rFonts w:asciiTheme="minorHAnsi" w:hAnsiTheme="minorHAnsi"/>
        </w:rPr>
        <w:t xml:space="preserve"> </w:t>
      </w:r>
      <w:proofErr w:type="spellStart"/>
      <w:r w:rsidRPr="003F555F">
        <w:rPr>
          <w:rFonts w:asciiTheme="minorHAnsi" w:hAnsiTheme="minorHAnsi"/>
        </w:rPr>
        <w:t>Gezan</w:t>
      </w:r>
      <w:proofErr w:type="spellEnd"/>
      <w:r w:rsidRPr="003F555F">
        <w:rPr>
          <w:rFonts w:asciiTheme="minorHAnsi" w:hAnsiTheme="minorHAnsi"/>
        </w:rPr>
        <w:t>, SA., Clark, SA., and Mead, A</w:t>
      </w:r>
      <w:r w:rsidR="00E568C1" w:rsidRPr="003F555F">
        <w:rPr>
          <w:rFonts w:asciiTheme="minorHAnsi" w:hAnsiTheme="minorHAnsi"/>
        </w:rPr>
        <w:t xml:space="preserve">. 2015. </w:t>
      </w:r>
      <w:proofErr w:type="gramStart"/>
      <w:r w:rsidR="00E568C1" w:rsidRPr="003F555F">
        <w:rPr>
          <w:rFonts w:asciiTheme="minorHAnsi" w:hAnsiTheme="minorHAnsi"/>
        </w:rPr>
        <w:t>Statistical methods in biology.</w:t>
      </w:r>
      <w:proofErr w:type="gramEnd"/>
      <w:r w:rsidR="00E568C1" w:rsidRPr="003F555F">
        <w:rPr>
          <w:rFonts w:asciiTheme="minorHAnsi" w:hAnsiTheme="minorHAnsi"/>
        </w:rPr>
        <w:t xml:space="preserve"> </w:t>
      </w:r>
      <w:r w:rsidR="00E568C1" w:rsidRPr="003F555F">
        <w:rPr>
          <w:rFonts w:asciiTheme="minorHAnsi" w:hAnsiTheme="minorHAnsi"/>
          <w:i/>
          <w:iCs/>
        </w:rPr>
        <w:t>In</w:t>
      </w:r>
      <w:r w:rsidR="00E568C1" w:rsidRPr="003F555F">
        <w:rPr>
          <w:rFonts w:asciiTheme="minorHAnsi" w:hAnsiTheme="minorHAnsi"/>
        </w:rPr>
        <w:t xml:space="preserve"> CRC Press. </w:t>
      </w:r>
      <w:proofErr w:type="spellStart"/>
      <w:proofErr w:type="gramStart"/>
      <w:r w:rsidR="00E568C1" w:rsidRPr="003F555F">
        <w:rPr>
          <w:rFonts w:asciiTheme="minorHAnsi" w:hAnsiTheme="minorHAnsi"/>
        </w:rPr>
        <w:t>doi</w:t>
      </w:r>
      <w:proofErr w:type="spellEnd"/>
      <w:proofErr w:type="gramEnd"/>
      <w:r w:rsidR="00E568C1" w:rsidRPr="003F555F">
        <w:rPr>
          <w:rFonts w:asciiTheme="minorHAnsi" w:hAnsiTheme="minorHAnsi"/>
        </w:rPr>
        <w:t>: 10.1002/0471732877.emd318.</w:t>
      </w:r>
    </w:p>
    <w:p w14:paraId="3AD214BE" w14:textId="77777777" w:rsidR="00E568C1" w:rsidRPr="003F555F" w:rsidRDefault="00E568C1" w:rsidP="00E84384">
      <w:pPr>
        <w:ind w:left="720" w:hanging="720"/>
        <w:rPr>
          <w:sz w:val="20"/>
          <w:szCs w:val="20"/>
        </w:rPr>
      </w:pPr>
      <w:r w:rsidRPr="003F555F">
        <w:rPr>
          <w:sz w:val="20"/>
          <w:szCs w:val="20"/>
        </w:rPr>
        <w:t xml:space="preserve">Ulrich, Joshua. (2015). TTR: Technical Trading Rules. </w:t>
      </w:r>
      <w:proofErr w:type="gramStart"/>
      <w:r w:rsidRPr="003F555F">
        <w:rPr>
          <w:sz w:val="20"/>
          <w:szCs w:val="20"/>
        </w:rPr>
        <w:t>R package version 0.23-0.</w:t>
      </w:r>
      <w:proofErr w:type="gramEnd"/>
      <w:r w:rsidRPr="003F555F">
        <w:rPr>
          <w:sz w:val="20"/>
          <w:szCs w:val="20"/>
        </w:rPr>
        <w:t xml:space="preserve"> https://CRAN.R-project.org/package=TTR</w:t>
      </w:r>
    </w:p>
    <w:sectPr w:rsidR="00E568C1" w:rsidRPr="003F555F" w:rsidSect="009B05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OpenSans-Semibold">
    <w:altName w:val="Cambria"/>
    <w:panose1 w:val="00000000000000000000"/>
    <w:charset w:val="00"/>
    <w:family w:val="auto"/>
    <w:notTrueType/>
    <w:pitch w:val="default"/>
    <w:sig w:usb0="00000003" w:usb1="00000000" w:usb2="00000000" w:usb3="00000000" w:csb0="00000001" w:csb1="00000000"/>
  </w:font>
  <w:font w:name="OpenSans-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8C1"/>
    <w:rsid w:val="00021740"/>
    <w:rsid w:val="00023FE6"/>
    <w:rsid w:val="0008738A"/>
    <w:rsid w:val="00100843"/>
    <w:rsid w:val="0027453E"/>
    <w:rsid w:val="002D1648"/>
    <w:rsid w:val="003343DE"/>
    <w:rsid w:val="003F555F"/>
    <w:rsid w:val="00423A40"/>
    <w:rsid w:val="005252FC"/>
    <w:rsid w:val="005339EE"/>
    <w:rsid w:val="00565113"/>
    <w:rsid w:val="00611AC6"/>
    <w:rsid w:val="00640E58"/>
    <w:rsid w:val="0077267B"/>
    <w:rsid w:val="008407C2"/>
    <w:rsid w:val="008837DF"/>
    <w:rsid w:val="00996F8C"/>
    <w:rsid w:val="009B05BE"/>
    <w:rsid w:val="009C78D1"/>
    <w:rsid w:val="00A3408F"/>
    <w:rsid w:val="00B07D85"/>
    <w:rsid w:val="00B43024"/>
    <w:rsid w:val="00BA38E4"/>
    <w:rsid w:val="00CD0BEF"/>
    <w:rsid w:val="00D2540C"/>
    <w:rsid w:val="00E4284B"/>
    <w:rsid w:val="00E568C1"/>
    <w:rsid w:val="00E84384"/>
    <w:rsid w:val="00F827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823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68C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873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738A"/>
    <w:rPr>
      <w:rFonts w:ascii="Lucida Grande" w:hAnsi="Lucida Grande" w:cs="Lucida Grande"/>
      <w:sz w:val="18"/>
      <w:szCs w:val="18"/>
    </w:rPr>
  </w:style>
  <w:style w:type="paragraph" w:styleId="Caption">
    <w:name w:val="caption"/>
    <w:basedOn w:val="Normal"/>
    <w:next w:val="Normal"/>
    <w:uiPriority w:val="35"/>
    <w:unhideWhenUsed/>
    <w:qFormat/>
    <w:rsid w:val="0008738A"/>
    <w:pPr>
      <w:spacing w:after="200"/>
    </w:pPr>
    <w:rPr>
      <w:b/>
      <w:bCs/>
      <w:color w:val="4F81BD" w:themeColor="accent1"/>
      <w:sz w:val="18"/>
      <w:szCs w:val="18"/>
    </w:rPr>
  </w:style>
  <w:style w:type="character" w:styleId="Hyperlink">
    <w:name w:val="Hyperlink"/>
    <w:basedOn w:val="DefaultParagraphFont"/>
    <w:uiPriority w:val="99"/>
    <w:unhideWhenUsed/>
    <w:rsid w:val="00D2540C"/>
    <w:rPr>
      <w:color w:val="0000FF" w:themeColor="hyperlink"/>
      <w:u w:val="single"/>
    </w:rPr>
  </w:style>
  <w:style w:type="table" w:styleId="TableGrid">
    <w:name w:val="Table Grid"/>
    <w:basedOn w:val="TableNormal"/>
    <w:uiPriority w:val="59"/>
    <w:rsid w:val="005651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56511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68C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873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738A"/>
    <w:rPr>
      <w:rFonts w:ascii="Lucida Grande" w:hAnsi="Lucida Grande" w:cs="Lucida Grande"/>
      <w:sz w:val="18"/>
      <w:szCs w:val="18"/>
    </w:rPr>
  </w:style>
  <w:style w:type="paragraph" w:styleId="Caption">
    <w:name w:val="caption"/>
    <w:basedOn w:val="Normal"/>
    <w:next w:val="Normal"/>
    <w:uiPriority w:val="35"/>
    <w:unhideWhenUsed/>
    <w:qFormat/>
    <w:rsid w:val="0008738A"/>
    <w:pPr>
      <w:spacing w:after="200"/>
    </w:pPr>
    <w:rPr>
      <w:b/>
      <w:bCs/>
      <w:color w:val="4F81BD" w:themeColor="accent1"/>
      <w:sz w:val="18"/>
      <w:szCs w:val="18"/>
    </w:rPr>
  </w:style>
  <w:style w:type="character" w:styleId="Hyperlink">
    <w:name w:val="Hyperlink"/>
    <w:basedOn w:val="DefaultParagraphFont"/>
    <w:uiPriority w:val="99"/>
    <w:unhideWhenUsed/>
    <w:rsid w:val="00D2540C"/>
    <w:rPr>
      <w:color w:val="0000FF" w:themeColor="hyperlink"/>
      <w:u w:val="single"/>
    </w:rPr>
  </w:style>
  <w:style w:type="table" w:styleId="TableGrid">
    <w:name w:val="Table Grid"/>
    <w:basedOn w:val="TableNormal"/>
    <w:uiPriority w:val="59"/>
    <w:rsid w:val="005651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56511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472887">
      <w:bodyDiv w:val="1"/>
      <w:marLeft w:val="0"/>
      <w:marRight w:val="0"/>
      <w:marTop w:val="0"/>
      <w:marBottom w:val="0"/>
      <w:divBdr>
        <w:top w:val="none" w:sz="0" w:space="0" w:color="auto"/>
        <w:left w:val="none" w:sz="0" w:space="0" w:color="auto"/>
        <w:bottom w:val="none" w:sz="0" w:space="0" w:color="auto"/>
        <w:right w:val="none" w:sz="0" w:space="0" w:color="auto"/>
      </w:divBdr>
    </w:div>
    <w:div w:id="997729605">
      <w:bodyDiv w:val="1"/>
      <w:marLeft w:val="0"/>
      <w:marRight w:val="0"/>
      <w:marTop w:val="0"/>
      <w:marBottom w:val="0"/>
      <w:divBdr>
        <w:top w:val="none" w:sz="0" w:space="0" w:color="auto"/>
        <w:left w:val="none" w:sz="0" w:space="0" w:color="auto"/>
        <w:bottom w:val="none" w:sz="0" w:space="0" w:color="auto"/>
        <w:right w:val="none" w:sz="0" w:space="0" w:color="auto"/>
      </w:divBdr>
    </w:div>
    <w:div w:id="1351495525">
      <w:bodyDiv w:val="1"/>
      <w:marLeft w:val="0"/>
      <w:marRight w:val="0"/>
      <w:marTop w:val="0"/>
      <w:marBottom w:val="0"/>
      <w:divBdr>
        <w:top w:val="none" w:sz="0" w:space="0" w:color="auto"/>
        <w:left w:val="none" w:sz="0" w:space="0" w:color="auto"/>
        <w:bottom w:val="none" w:sz="0" w:space="0" w:color="auto"/>
        <w:right w:val="none" w:sz="0" w:space="0" w:color="auto"/>
      </w:divBdr>
    </w:div>
    <w:div w:id="1453090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www.thingspeak.com"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1812</Words>
  <Characters>10334</Characters>
  <Application>Microsoft Macintosh Word</Application>
  <DocSecurity>0</DocSecurity>
  <Lines>86</Lines>
  <Paragraphs>24</Paragraphs>
  <ScaleCrop>false</ScaleCrop>
  <Company/>
  <LinksUpToDate>false</LinksUpToDate>
  <CharactersWithSpaces>12122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Bennett</dc:creator>
  <cp:keywords/>
  <dc:description/>
  <cp:lastModifiedBy>Sean Bennett</cp:lastModifiedBy>
  <cp:revision>4</cp:revision>
  <dcterms:created xsi:type="dcterms:W3CDTF">2016-03-13T18:17:00Z</dcterms:created>
  <dcterms:modified xsi:type="dcterms:W3CDTF">2016-03-14T03:22:00Z</dcterms:modified>
</cp:coreProperties>
</file>