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CONFLUENCE-BASED TRADE FILTRATION SYSTEM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 Weighted Scorecard Architecture for Multi-Asset Entry Validation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Futures • Forex • Crypto • Indices • Gold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white paper specifies a filtration engine that screens multi-asset universes for high-probability entries and suppresses low-quality setups. The system replaces rigid all-or-nothing parameter matching with a weighted scorecard: each trade candidate is scored across seven confluence categories, gated by three non-negotiable conditions, and assigned a tier — A+, A++, or A+++ — that determines position sizing.</w:t>
      </w:r>
    </w:p>
    <w:p>
      <w:pPr>
        <w:pStyle w:val="Heading1"/>
        <w:spacing w:after="140" w:before="280"/>
      </w:pPr>
      <w:r>
        <w:t xml:space="preserve">2. Architecture Overview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candidate setup passes through two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Stage 1:</w:t>
      </w:r>
      <w:r>
        <w:rPr>
          <w:rFonts w:ascii="Calibri" w:cs="Calibri" w:eastAsia="Calibri" w:hAnsi="Calibri"/>
          <w:sz w:val="21"/>
          <w:szCs w:val="21"/>
        </w:rPr>
        <w:t xml:space="preserve"> Gatekeepers — binary pass/fail conditions. Fail any one and the setup is rejected before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Stage 2:</w:t>
      </w:r>
      <w:r>
        <w:rPr>
          <w:rFonts w:ascii="Calibri" w:cs="Calibri" w:eastAsia="Calibri" w:hAnsi="Calibri"/>
          <w:sz w:val="21"/>
          <w:szCs w:val="21"/>
        </w:rPr>
        <w:t xml:space="preserve"> Weighted Scorecard — 100-point scale across seven confluence categories, each carrying an importance weight reflecting its historical reliability as a probability driver.</w:t>
      </w:r>
    </w:p>
    <w:p>
      <w:pPr>
        <w:pStyle w:val="Heading2"/>
        <w:spacing w:after="140" w:before="280"/>
      </w:pPr>
      <w:r>
        <w:t xml:space="preserve">3. Gatekeeper Filters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6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Minimum Risk:Reward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Projected R:R (structural invalidation vs. target liquidity) must be ≥ 1:2. Below that, reject regardless of confluence score.</w:t>
            </w:r>
          </w:p>
        </w:tc>
      </w:tr>
      <w:tr>
        <w:tc>
          <w:tcPr>
            <w:tcW w:type="dxa" w:w="26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HTF Directional Bias</w:t>
            </w:r>
          </w:p>
        </w:tc>
        <w:tc>
          <w:tcPr>
            <w:tcW w:type="dxa" w:w="63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HTF trend must resolve to exclusively Bullish or Bearish. “Ranging” HTF disqualifies the setup outright — no scoring applied.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Session / Kill-Zone Timing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must fall inside the asset’s active liquidity window (see Section 5). Setups forming outside kill zones are down-weighted or rejected.</w:t>
            </w:r>
          </w:p>
        </w:tc>
      </w:tr>
    </w:tbl>
    <w:p>
      <w:pPr>
        <w:pStyle w:val="Heading2"/>
        <w:spacing w:after="140" w:before="280"/>
      </w:pPr>
      <w:r>
        <w:t xml:space="preserve">4. Confluence Scorecard (100 pts)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400"/>
        <w:gridCol w:w="4000"/>
      </w:tblGrid>
      <w:t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Multi-Timeframe Alignment (HTF bias → LTF trigger)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/ Gate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HTF trend regime (50/200 EMA), LTF BOS/CHoCH firing in same direction as HTF bias.</w:t>
            </w:r>
          </w:p>
        </w:tc>
      </w:tr>
      <w:tr>
        <w:tc>
          <w:tcPr>
            <w:tcW w:type="dxa" w:w="26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Structure Shift + Displacement</w:t>
            </w:r>
          </w:p>
        </w:tc>
        <w:tc>
          <w:tcPr>
            <w:tcW w:type="dxa" w:w="9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Sharp displacement leg leaving an unmitigated FVG or inverse FVG; confirms institutional intent, not a slow drift.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Flow / Microstructure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CVD divergence vs. price, Order Book Imbalance ≥60% one side, footprint delta clusters (trapped orders).</w:t>
            </w:r>
          </w:p>
        </w:tc>
      </w:tr>
      <w:tr>
        <w:tc>
          <w:tcPr>
            <w:tcW w:type="dxa" w:w="26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Volatility Expansion Confirmation</w:t>
            </w:r>
          </w:p>
        </w:tc>
        <w:tc>
          <w:tcPr>
            <w:tcW w:type="dxa" w:w="9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 percentile ≤20th expanding, price outside 2nd-dev VWAP band on heavy relative volume, ADX&gt;25 with +DI/-DI cross.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Premium/Discount Positioning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in discount (longs) or premium (shorts) zone of HTF dealing range; not chasing an extended move.</w:t>
            </w:r>
          </w:p>
        </w:tc>
      </w:tr>
      <w:tr>
        <w:tc>
          <w:tcPr>
            <w:tcW w:type="dxa" w:w="26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Macro / Intermarket Correlation</w:t>
            </w:r>
          </w:p>
        </w:tc>
        <w:tc>
          <w:tcPr>
            <w:tcW w:type="dxa" w:w="9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DXY inverse check, SMT divergence between correlated pairs (EURUSD/GBPUSD, BTC/ETH), equity-index anchor (ES/NQ) for crypto risk-on/off.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Asset-Class Specific Layer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Volume Profile/session behavior specific to the instrument being traded — see Section 5.</w:t>
            </w:r>
          </w:p>
        </w:tc>
      </w:tr>
    </w:tbl>
    <w:p>
      <w:pPr>
        <w:pStyle w:val="Heading1"/>
        <w:spacing w:after="140" w:before="280"/>
      </w:pPr>
      <w:r>
        <w:t xml:space="preserve">5. Asset-Class Specific Layers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Category 7 of the scorecard (10 pts) is populated by the instrument-specific filters below. These are not interchangeable — apply only the layer matching the asset being screened.</w:t>
      </w:r>
    </w:p>
    <w:p>
      <w:pPr>
        <w:pStyle w:val="Heading2"/>
        <w:spacing w:after="140" w:before="280"/>
      </w:pPr>
      <w:r>
        <w:t xml:space="preserve">5.1 Futures (ES, NQ, YM, RTY)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 Profile &amp; Session Deviations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Filters entries around High-Volume Nodes (HVN); execution must stay aligned with Value Area boundaries, not chase into low-volume air.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Footprint Delta Clusters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Aggressive market sell (or buy) orders failing to move price at a structural level, leaving a trapped-order cluster on the wick — absorption signal.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VIX Filter (equity index futures)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trade ES/NQ/YM setups when VIX &gt; 16; low-VIX sessions materially reduce win rate on breakout-style entries.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Kill Zone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York AM (07:00–10:00 ET) is primary; the 10:00–11:00 ET Silver Bullet window is the secondary high-probability entry.</w:t>
            </w:r>
          </w:p>
        </w:tc>
      </w:tr>
    </w:tbl>
    <w:p>
      <w:pPr>
        <w:pStyle w:val="Heading2"/>
        <w:spacing w:after="140" w:before="280"/>
      </w:pPr>
      <w:r>
        <w:t xml:space="preserve">5.2 Forex (FX)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Session Time-Block Gating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Alerts restricted to London/New York overlap to avoid flat consolidation and low-liquidity chop.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Interest Rate Differentials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 pairs by central-bank swap differential; favor setups aligned with the positive carry direction.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News Blackout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 the system to stop generating entries 15 minutes before/after CPI, NFP, and FOMC releases.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Kill Zone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London (02:00–05:00 ET) for EUR/GBP majors; New York AM for USD-driven continuation.</w:t>
            </w:r>
          </w:p>
        </w:tc>
      </w:tr>
    </w:tbl>
    <w:p>
      <w:pPr>
        <w:pStyle w:val="Heading2"/>
        <w:spacing w:after="140" w:before="280"/>
      </w:pPr>
      <w:r>
        <w:t xml:space="preserve">5.3 Crypto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 Interest &amp; Funding Discrepancies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Validates breakouts by requiring OI expansion alongside the move — confirms new positioning, not just short-covering noise.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Funding Rate Extremes + Liquidation Heatmap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Deeply negative funding stacked with cascading short liquidations on the heatmap flags a high-probability short-squeeze long.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BTC/ETH SMT Divergence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BTC prints a new lower low but ETH fails to follow, that’s hidden accumulation — mark ETH as the higher-probability long.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Kill Zone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York AM behaves almost identically to ES/NQ since the same institutional desks trade both; widen FVG threshold (&gt;0.15% of price) to avoid noise at crypto volatility levels.</w:t>
            </w:r>
          </w:p>
        </w:tc>
      </w:tr>
    </w:tbl>
    <w:p>
      <w:pPr>
        <w:pStyle w:val="Heading2"/>
        <w:spacing w:after="140" w:before="280"/>
      </w:pPr>
      <w:r>
        <w:t xml:space="preserve">5.4 Indices (Broad Market)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Equity Index Anchor (ES/NQ)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ES/NQ as the macro risk gauge for crypto and high-beta names; heavy downside liquidation on ES/NQ should throttle or down-weight long alerts elsewhere.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 Breadth / VIX Regime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VIX &gt; 16 gatekeeper as above; extreme VIX spikes (&gt;30) favor mean-reversion setups over breakout continuation.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SMT Divergence (ES vs. NQ)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ES makes a new high but NQ fails to confirm, that’s an early warning of broad-market exhaustion — use as a fade confluence.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Kill Zone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09:30–10:30 ET (NYSE cash open) is the highest-conviction window; most intraday index moves begin or complete here.</w:t>
            </w:r>
          </w:p>
        </w:tc>
      </w:tr>
    </w:tbl>
    <w:p>
      <w:pPr>
        <w:pStyle w:val="Heading2"/>
        <w:spacing w:after="140" w:before="280"/>
      </w:pPr>
      <w:r>
        <w:t xml:space="preserve">5.5 Gold (XAUUSD)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8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DXY Inverse Correlation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~−0.85 historical correlation. Bullish XAUUSD setup with DXY simultaneously breaking its own LTF support materially increases confidence.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Correlation Breakout Awareness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DXY and gold move together (both up or both down), treat it as a rare regime shift — not noise — and reduce size rather than fade it blindly.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 Yields (US 10Y minus inflation expectations)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Rising real yields pressure gold even against a weakening dollar since gold carries no yield — check this before trusting the DXY signal alone.</w:t>
            </w:r>
          </w:p>
        </w:tc>
      </w:tr>
      <w:tr>
        <w:tc>
          <w:tcPr>
            <w:tcW w:type="dxa" w:w="2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EURUSD Cross-Check</w:t>
            </w:r>
          </w:p>
        </w:tc>
        <w:tc>
          <w:tcPr>
            <w:tcW w:type="dxa" w:w="58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EURUSD and gold are positively correlated; a gold long wants EURUSD also bullish or approaching a bullish point of interest.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Kill Zone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London (02:00–05:00 ET) typically produces gold’s daily high or low; New York AM for continuation.</w:t>
            </w:r>
          </w:p>
        </w:tc>
      </w:tr>
    </w:tbl>
    <w:p>
      <w:pPr>
        <w:pStyle w:val="Heading1"/>
        <w:spacing w:after="140" w:before="280"/>
      </w:pPr>
      <w:r>
        <w:t xml:space="preserve">6. Trade Rating System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Final tier is determined by total scorecard points plus the minimum R:R floor for that tier. A higher score with an insufficient R:R is capped at the tier below.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100"/>
        <w:gridCol w:w="5500"/>
      </w:tblGrid>
      <w:tr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 R:R</w:t>
            </w:r>
          </w:p>
        </w:tc>
        <w:tc>
          <w:tcPr>
            <w:tcW w:type="dxa" w:w="5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11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A+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60–74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3 gatekeepers pass. HTF/LTF alignment + Market Structure Shift categories both scored. Baseline tradable setup — smallest position size in the tiering system.</w:t>
            </w:r>
          </w:p>
        </w:tc>
      </w:tr>
      <w:tr>
        <w:tc>
          <w:tcPr>
            <w:tcW w:type="dxa" w:w="11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A++</w:t>
            </w:r>
          </w:p>
        </w:tc>
        <w:tc>
          <w:tcPr>
            <w:tcW w:type="dxa" w:w="12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75–89</w:t>
            </w:r>
          </w:p>
        </w:tc>
        <w:tc>
          <w:tcPr>
            <w:tcW w:type="dxa" w:w="11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1:3</w:t>
            </w:r>
          </w:p>
        </w:tc>
        <w:tc>
          <w:tcPr>
            <w:tcW w:type="dxa" w:w="55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Everything in A+, plus Order Flow confirmation AND Volatility Expansion both scored. At least 5 of 7 categories contributing points. Standard position size.</w:t>
            </w:r>
          </w:p>
        </w:tc>
      </w:tr>
      <w:tr>
        <w:tc>
          <w:tcPr>
            <w:tcW w:type="dxa" w:w="1100"/>
            <w:shd w:fill="EF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4"/>
                <w:szCs w:val="24"/>
              </w:rPr>
              <w:t xml:space="preserve">A+++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90–100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1:4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Full-confluence setup: all 7 categories scored, Macro/Intermarket correlation confirmed (not just neutral), and entry lands inside the primary kill zone for that asset class. Maximum position size — reserved for the cleanest, rarest setups.</w:t>
            </w:r>
          </w:p>
        </w:tc>
      </w:tr>
    </w:tbl>
    <w:p>
      <w:pPr>
        <w:pStyle w:val="Heading1"/>
        <w:spacing w:after="140" w:before="280"/>
      </w:pPr>
      <w:r>
        <w:t xml:space="preserve">7. Technical Implementation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Asset Screener:</w:t>
      </w:r>
      <w:r>
        <w:rPr>
          <w:rFonts w:ascii="Calibri" w:cs="Calibri" w:eastAsia="Calibri" w:hAnsi="Calibri"/>
          <w:sz w:val="21"/>
          <w:szCs w:val="21"/>
        </w:rPr>
        <w:t xml:space="preserve"> Continuously sweep the selected token, futures ticker, or currency-pair universe for high RVOL and expanding ATR/IV percentile.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Directional Gating:</w:t>
      </w:r>
      <w:r>
        <w:rPr>
          <w:rFonts w:ascii="Calibri" w:cs="Calibri" w:eastAsia="Calibri" w:hAnsi="Calibri"/>
          <w:sz w:val="21"/>
          <w:szCs w:val="21"/>
        </w:rPr>
        <w:t xml:space="preserve"> Classify HTF trend as exclusively Bullish, Bearish, or Ranging. Ranging = automatic rejection (Gate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Scoring Engine:</w:t>
      </w:r>
      <w:r>
        <w:rPr>
          <w:rFonts w:ascii="Calibri" w:cs="Calibri" w:eastAsia="Calibri" w:hAnsi="Calibri"/>
          <w:sz w:val="21"/>
          <w:szCs w:val="21"/>
        </w:rPr>
        <w:t xml:space="preserve"> Run the 100-point scorecard only after both gatekeepers (R:R, directional bias)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R:R Pre-Calculation:</w:t>
      </w:r>
      <w:r>
        <w:rPr>
          <w:rFonts w:ascii="Calibri" w:cs="Calibri" w:eastAsia="Calibri" w:hAnsi="Calibri"/>
          <w:sz w:val="21"/>
          <w:szCs w:val="21"/>
        </w:rPr>
        <w:t xml:space="preserve"> Auto-calculate invalidation (structural swing high/low) against target liquidity zones; reject anything under 1:2 before scoring even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Correlation Cross-Reference:</w:t>
      </w:r>
      <w:r>
        <w:rPr>
          <w:rFonts w:ascii="Calibri" w:cs="Calibri" w:eastAsia="Calibri" w:hAnsi="Calibri"/>
          <w:sz w:val="21"/>
          <w:szCs w:val="21"/>
        </w:rPr>
        <w:t xml:space="preserve"> Cross-check DXY, ES/NQ, and BTC/ETH SMT divergence for every candidate regardless of asset class — correlated markets are cross-referenced, not siloed.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Session Gating:</w:t>
      </w:r>
      <w:r>
        <w:rPr>
          <w:rFonts w:ascii="Calibri" w:cs="Calibri" w:eastAsia="Calibri" w:hAnsi="Calibri"/>
          <w:sz w:val="21"/>
          <w:szCs w:val="21"/>
        </w:rPr>
        <w:t xml:space="preserve"> Gate alerts to each asset's primary kill zone (Section 5); setups forming outside these windows are down-weighted, not treated equally.</w:t>
      </w:r>
    </w:p>
    <w:p>
      <w:pPr>
        <w:pStyle w:val="Heading1"/>
        <w:spacing w:after="140" w:before="280"/>
      </w:pPr>
      <w:r>
        <w:t xml:space="preserve">8. Scoring Logic (Reference Pseudocode)</w:t>
      </w:r>
    </w:p>
    <w:p>
      <w:pPr>
        <w:shd w:fill="1E1E1E" w:val="clear"/>
        <w:spacing w:after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evaluate_trade(asset_data):
    # Stage 1 — Gatekeepers (binary)
    if asset_data.risk_reward &lt; 2.0: return "REJECT"
    if asset_data.htf_bias == "RANGING": return "REJECT"
    if not asset_data.in_killzone: score_penalty = True
    # Stage 2 — Weighted scorecard (100 pts)
    score = 0
    if asset_data.htf_ltf_aligned:        score += 20
    if asset_data.displacement_fvg:       score += 20
    if asset_data.cvd_divergence or asset_data.obi_active: score += 15
    if asset_data.iv_expanding or asset_data.adx &gt; 25:      score += 15
    if asset_data.in_discount_or_premium:  score += 10
    if asset_data.macro_correlation_aligned: score += 10
    if asset_data.asset_specific_layer_met:  score += 10
    # Stage 3 — Tier assignment
    if score &gt;= 90 and asset_data.risk_reward &gt;= 4.0: return "A+++"
    if score &gt;= 75 and asset_data.risk_reward &gt;= 3.0: return "A++"
    if score &gt;= 60 and asset_data.risk_reward &gt;= 2.0: return "A+"
    return "NO TRADE"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2026-07-20T05:01:13.888Z</dcterms:created>
  <dcterms:modified xsi:type="dcterms:W3CDTF">2026-07-20T05:01:13.904Z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