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Broker Execution Quality Auditor</w:t>
      </w:r>
    </w:p>
    <w:p>
      <w:pPr>
        <w:spacing w:after="320"/>
      </w:pPr>
      <w:r>
        <w:rPr>
          <w:i/>
          <w:iCs/>
          <w:sz w:val="24"/>
          <w:szCs w:val="24"/>
        </w:rPr>
        <w:t xml:space="preserve">Execution &amp; Research Brief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1"/>
        <w:spacing w:after="160" w:before="320"/>
      </w:pPr>
      <w:r>
        <w:t xml:space="preserve">1. Concept Recap</w:t>
      </w:r>
    </w:p>
    <w:p>
      <w:pPr>
        <w:spacing w:after="160"/>
        <w:jc w:val="both"/>
      </w:pPr>
      <w:r>
        <w:rPr>
          <w:sz w:val="22"/>
          <w:szCs w:val="22"/>
        </w:rPr>
        <w:t xml:space="preserve">A service that compares a trader's own fills against a normalized multi-broker composite reference price, producing a quantified execution-quality report a trader can use to switch brokers or dispute fills.</w:t>
      </w:r>
    </w:p>
    <w:p>
      <w:pPr>
        <w:pStyle w:val="Heading1"/>
        <w:spacing w:after="160" w:before="320"/>
      </w:pPr>
      <w:r>
        <w:t xml:space="preserve">2. What You Need to Know Before Building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The credibility of the entire product rests on the reference feed being defensibly independent — this is the one part of the build you cannot shortcut or approximate.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This pairs naturally with the compliance middleware idea since both intercept/analyze broker-side execution data — consider them as one shared infrastructure layer with two front-ends.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Legal framing matters: describing findings as 'deviation from composite reference' rather than accusing a broker of misconduct reduces legal exposure significantly.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Traders who suspect their broker is at fault are an easier initial audience than traders with no complaint — early marketing should target forums/communities where broker grievances are already being discussed.</w:t>
      </w:r>
    </w:p>
    <w:p>
      <w:pPr>
        <w:pStyle w:val="Heading1"/>
        <w:spacing w:after="160" w:before="320"/>
      </w:pPr>
      <w:r>
        <w:t xml:space="preserve">3. Research Required Before Coding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Identify at least 3 independent liquidity/price data providers you could source a composite reference feed from, and confirm their data licensing terms permit this use.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Pull sample MT4/MT5 statement exports and confirm what timestamp precision they actually provide — sub-second precision may not be available from all brokers, which limits latency-based claims.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Research existing broker dispute processes (regulator complaint procedures) to understand what kind of evidence is actually persuasive, so your report format matches what's usable.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Talk to 5-10 traders in prop-firm or forex communities about specific broker grievances they've had, to validate which execution issues (slippage vs. requotes vs. stop-hunting) matter most.</w:t>
      </w:r>
    </w:p>
    <w:p>
      <w:pPr>
        <w:pStyle w:val="Heading1"/>
        <w:spacing w:after="160" w:before="320"/>
      </w:pPr>
      <w:r>
        <w:t xml:space="preserve">4. Technical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composite reference feed aggregator pulling from multiple independent sources.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Statement ingestion/parsing for MT4/MT5 and common broker export formats (shared component with the compliance middleware and track-record auditing ideas).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comparison engine matching fills to the reference feed by timestamp and scoring deviation, latency, and requote frequency.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 plain-language report generator producing output suitable for sharing with a broker or regulator, not just raw data.</w:t>
      </w:r>
    </w:p>
    <w:p>
      <w:pPr>
        <w:pStyle w:val="Heading1"/>
        <w:spacing w:after="160" w:before="320"/>
      </w:pPr>
      <w:r>
        <w:t xml:space="preserve">5. Recommended Build Sequence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1: Build the composite reference feed aggregator first and validate it's stable and independent before touching any trader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2: Build the statement parser and comparison engine against your own or a volunteer trader's real statement to prove the methodology surfaces real deviations.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3: Run a small free pilot with 5-10 traders from forex/prop-firm communities to refine report language and validate the findings resonate as credible.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Phase 4: Introduce paid per-report pricing once the pilot reports have been used successfully in at least one real broker interaction or dispute.</w:t>
      </w:r>
    </w:p>
    <w:p>
      <w:pPr>
        <w:pStyle w:val="Heading1"/>
        <w:spacing w:after="160" w:before="320"/>
      </w:pPr>
      <w:r>
        <w:t xml:space="preserve">6. Key Risks to Validate Early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If the reference feed itself is ever shown to be biased or manipulable, the entire product's credibility collapses — treat this as the highest-priority component to get right and document rigorously.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Legal threats from brokers disputing findings are likely at some point — have clear terms of service and evidence-based (not accusatory) report language in place before your first paying customer.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2026-07-23T02:10:46.489Z</dcterms:created>
  <dcterms:modified xsi:type="dcterms:W3CDTF">2026-07-23T02:10:46.489Z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