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Compliance-Aware Execution Middleware</w:t>
      </w:r>
    </w:p>
    <w:p>
      <w:pPr>
        <w:spacing w:after="320"/>
      </w:pPr>
      <w:r>
        <w:rPr>
          <w:i/>
          <w:iCs/>
          <w:sz w:val="24"/>
          <w:szCs w:val="24"/>
        </w:rPr>
        <w:t xml:space="preserve">Execution &amp; Research Brief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1. Concept Recap</w:t>
      </w:r>
    </w:p>
    <w:p>
      <w:pPr>
        <w:spacing w:after="160"/>
        <w:jc w:val="both"/>
      </w:pPr>
      <w:r>
        <w:rPr>
          <w:sz w:val="22"/>
          <w:szCs w:val="22"/>
        </w:rPr>
        <w:t xml:space="preserve">A pre-trade interceptor sitting between a bot/EA and the broker or prop firm API, enforcing firm-specific rules (drawdown, consistency, lot caps) in real time before an order executes, sold to funded traders and licensed to prop firms.</w:t>
      </w:r>
    </w:p>
    <w:p>
      <w:pPr>
        <w:pStyle w:val="Heading1"/>
        <w:spacing w:after="160" w:before="320"/>
      </w:pPr>
      <w:r>
        <w:t xml:space="preserve">2. What You Need to Know Before Building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 firm rulebooks are not standardized and change without notice — you need a process for tracking and versioning them, not a one-time build.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Latency matters: a rule check that adds noticeable delay to order execution will get rejected by traders regardless of how good the compliance logic 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Firms may view this as adversarial if it's framed as helping traders game evaluations — the B2B pitch has to lead with reduced support/dispute costs for the firm.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MT4/MT5 bridge integration is the realistic first target; broker-native APIs vary too much to support broadly at launch.</w:t>
      </w:r>
    </w:p>
    <w:p>
      <w:pPr>
        <w:pStyle w:val="Heading1"/>
        <w:spacing w:after="160" w:before="320"/>
      </w:pPr>
      <w:r>
        <w:t xml:space="preserve">3. Research Required Before Coding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Pull and catalog the actual published rulebooks for the 5-10 largest prop firms (drawdown %, consistency rule definitions, lot caps) before writing any rule engine.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Confirm what level of access MT4/MT5 bridges actually allow for intercepting orders pre-execution vs. only reading post-fill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Talk to 5-10 funded traders about which specific rule violations have actually cost them accounts — validate the rule categories before building all of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 terms of service for at least 3 major prop firms for any clause restricting third-party tools intercepting their evaluation accounts.</w:t>
      </w:r>
    </w:p>
    <w:p>
      <w:pPr>
        <w:pStyle w:val="Heading1"/>
        <w:spacing w:after="160" w:before="320"/>
      </w:pPr>
      <w:r>
        <w:t xml:space="preserve">4. Technical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MT4/MT5 API or bridge programming (MQL4/5, or a bridge library) for pre-trade interception.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rule-profile schema (JSON) design that can represent drawdown, consistency, and lot-cap rules generically across firms.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State-tracking logic for stateful rules (running equity, high-water mark, daily P&amp;L) — this is the hardest part, not the rule matching itself.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Basic Node.js or Python backend to serve/update rule profiles independent of the client-side bridge.</w:t>
      </w:r>
    </w:p>
    <w:p>
      <w:pPr>
        <w:pStyle w:val="Heading1"/>
        <w:spacing w:after="160" w:before="320"/>
      </w:pPr>
      <w:r>
        <w:t xml:space="preserve">5. Recommended 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1: Build and validate the rule-profile schema against 3-5 real prop firm rulebooks manually, before writing any interception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2: Build the MT4/MT5 bridge interceptor for a single rule category (e.g. daily loss limit) end-to-end, tested on a demo account.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3: Expand to full rule set (trailing drawdown, consistency, lot caps) once the single-rule pipeline is proven.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4: Approach 1-2 smaller prop firms directly for a pilot B2B integration before building a public-facing retail product.</w:t>
      </w:r>
    </w:p>
    <w:p>
      <w:pPr>
        <w:pStyle w:val="Heading1"/>
        <w:spacing w:after="160" w:before="320"/>
      </w:pPr>
      <w:r>
        <w:t xml:space="preserve">6. Key Risks to Validate Early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Broker/firm platform access could be restricted or revoked if a firm decides third-party interception tools violate their terms — validate this before investing heavily.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Rule-profile staleness (a firm changes its rules and your profile silently goes wrong) is the single most damaging failure mode — build the update/versioning process before scaling to more firms.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2026-07-23T02:10:46.121Z</dcterms:created>
  <dcterms:modified xsi:type="dcterms:W3CDTF">2026-07-23T02:10:46.137Z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