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Liquidity and Order-Flow Forensics API</w:t>
      </w:r>
    </w:p>
    <w:p>
      <w:pPr>
        <w:spacing w:after="320"/>
      </w:pPr>
      <w:r>
        <w:rPr>
          <w:i/>
          <w:iCs/>
          <w:sz w:val="24"/>
          <w:szCs w:val="24"/>
        </w:rPr>
        <w:t xml:space="preserve">Execution &amp; Research Brief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20"/>
      </w:pPr>
      <w:r>
        <w:t xml:space="preserve">1. Concept Recap</w:t>
      </w:r>
    </w:p>
    <w:p>
      <w:pPr>
        <w:spacing w:after="160"/>
        <w:jc w:val="both"/>
      </w:pPr>
      <w:r>
        <w:rPr>
          <w:sz w:val="22"/>
          <w:szCs w:val="22"/>
        </w:rPr>
        <w:t xml:space="preserve">A hosted API that detects institutional footprint (liquidity sweeps, IFVG zones, absorption, structural shifts) across symbols and timeframes, sold to indicator/bot developers as infrastructure rather than as a retail indicator.</w:t>
      </w:r>
    </w:p>
    <w:p>
      <w:pPr>
        <w:pStyle w:val="Heading1"/>
        <w:spacing w:after="160" w:before="320"/>
      </w:pPr>
      <w:r>
        <w:t xml:space="preserve">2. What You Need to Know Before Building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This is the most directly reusable idea you have — the detection logic already exists inside [[ifvg-indicator]] and just needs generalizing into a service, not built from scratch.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Pine Script cannot make outbound HTTP calls, so TradingView-native indicators can't consume this API directly — your first real client segment is Python/JS bot builders, not Pine Script users.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Data and compute costs scale directly with symbol/timeframe coverage — starting broad across many markets before there's paying demand will bleed money.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Detection definitions (what counts as a 'sweep') are genuinely debatable within the ICT/SMC community — documenting your methodology transparently avoids credibility fights.</w:t>
      </w:r>
    </w:p>
    <w:p>
      <w:pPr>
        <w:pStyle w:val="Heading1"/>
        <w:spacing w:after="160" w:before="320"/>
      </w:pPr>
      <w:r>
        <w:t xml:space="preserve">3. Research Required Before Coding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Audit your existing [[ifvg-indicator]] Pine Script logic to identify exactly which parts generalize cleanly to a symbol/timeframe-agnostic backend service vs. which are TradingView-specific.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Confirm realistic tick/OHLC data costs for your target initial symbol set (majors, top indices) from at least 2 data vendors before committing to a coverage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Survey 5-10 bot/indicator developers on whether they'd pay for detection-as-a-service vs. building it themselves — validate willingness to pay before building the API layer.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Check licensing terms on any market data source you plan to ingest — redistributing derived signals from licensed data can have restrictions.</w:t>
      </w:r>
    </w:p>
    <w:p>
      <w:pPr>
        <w:pStyle w:val="Heading1"/>
        <w:spacing w:after="160" w:before="320"/>
      </w:pPr>
      <w:r>
        <w:t xml:space="preserve">4. Technical 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generalized (non-Pine-Script) implementation of your sweep/IFVG/structural-shift detection logic, likely in Python.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REST/WebSocket API layer with authentication and rate limiting (FastAPI or similar is a reasonable default).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 event store for timestamped historical queries, not just real-time streaming (backtesting users need history).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Client libraries or at minimum clear docs for Python and JS to lower integration friction for early adopters.</w:t>
      </w:r>
    </w:p>
    <w:p>
      <w:pPr>
        <w:pStyle w:val="Heading1"/>
        <w:spacing w:after="160" w:before="320"/>
      </w:pPr>
      <w:r>
        <w:t xml:space="preserve">5. Recommended Build Sequence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1: Port and generalize the existing IFVG/sweep detection logic to a standalone Python library, tested against known-good outputs from the current indicator.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2: Wrap the library in a minimal API for a single symbol and timeframe, and get 2-3 developers using it for free feedback.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3: Expand symbol/timeframe coverage based on actual usage patterns from the pilot users, not speculative demand.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4: Introduce paid tiers once there's a small base of active free users validating the API is reliable enough to depend on.</w:t>
      </w:r>
    </w:p>
    <w:p>
      <w:pPr>
        <w:pStyle w:val="Heading1"/>
        <w:spacing w:after="160" w:before="320"/>
      </w:pPr>
      <w:r>
        <w:t xml:space="preserve">6. Key Risks to Validate Early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Detection quality disputes could undermine trust if your definitions diverge from what buyers expect — publish methodology docs early rather than after complaints.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Symbol/timeframe cost creep is the main way this idea becomes unprofitable — resist expanding coverage speculatively; expand only against paying demand.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2026-07-23T02:10:46.389Z</dcterms:created>
  <dcterms:modified xsi:type="dcterms:W3CDTF">2026-07-23T02:10:46.389Z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