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t xml:space="preserve">Homework Assignment: Reading the 9 Core Research Papers</w:t>
      </w:r>
    </w:p>
    <w:p>
      <w:pPr>
        <w:pStyle w:val="Normal"/>
      </w:pPr>
      <w:r>
        <w:rPr>
          <w:b/>
        </w:rPr>
        <w:t xml:space="preserve">Project: </w:t>
      </w:r>
      <w:r>
        <w:rPr/>
        <w:t xml:space="preserve">UNLV Docker IDEs — Decentralized Browser-Based IDEs for C++ and x86-64 Assembly Education</w:t>
      </w:r>
    </w:p>
    <w:p>
      <w:pPr>
        <w:pStyle w:val="Normal"/>
      </w:pPr>
      <w:r>
        <w:rPr>
          <w:b/>
        </w:rPr>
        <w:t xml:space="preserve">Goal: </w:t>
      </w:r>
      <w:r>
        <w:rPr/>
        <w:t xml:space="preserve">Read all 9 papers in the order below. For each, write 150–250 words of notes covering: the problem, the system, the participants/context, the method, the findings, the limitations, and how it relates to the UNLV project. These notes become your related-work section and poster citations.</w:t>
      </w:r>
    </w:p>
    <w:p>
      <w:pPr>
        <w:pStyle w:val="Normal"/>
      </w:pPr>
      <w:r>
        <w:rPr>
          <w:b/>
        </w:rPr>
        <w:t xml:space="preserve">Suggested pace: </w:t>
      </w:r>
      <w:r>
        <w:rPr/>
        <w:t xml:space="preserve">One phase per week (4 weeks total).</w:t>
      </w:r>
    </w:p>
    <w:p>
      <w:pPr>
        <w:pStyle w:val="Heading1"/>
      </w:pPr>
      <w:r>
        <w:rPr/>
        <w:t xml:space="preserve">Phase 1 — The Direct Lineage (read these first)</w:t>
      </w:r>
    </w:p>
    <w:p>
      <w:pPr>
        <w:pStyle w:val="Normal"/>
      </w:pPr>
      <w:r>
        <w:rPr/>
        <w:t xml:space="preserve">These three papers define the space your project lives in. Read them before anything else, because every other paper is read in contrast to these.</w:t>
      </w:r>
    </w:p>
    <w:p>
      <w:pPr>
        <w:pStyle w:val="Heading2"/>
      </w:pPr>
      <w:r>
        <w:rPr/>
        <w:t xml:space="preserve">1. Containerizing CS50: Standardizing Students' Programming Environments — David J. Malan (ITiCSE 2024)</w:t>
      </w:r>
    </w:p>
    <w:p>
      <w:pPr>
        <w:pStyle w:val="Normal"/>
      </w:pPr>
      <w:r>
        <w:rPr>
          <w:b/>
        </w:rPr>
        <w:t xml:space="preserve">Read at: </w:t>
      </w:r>
      <w:hyperlink r:id="rIdHl0">
        <w:r>
          <w:rPr>
            <w:color w:val="0563C1"/>
            <w:u w:val="single"/>
          </w:rPr>
          <w:t xml:space="preserve">https://cs.harvard.edu/malan/publications/V1fp0310-malan.pdf</w:t>
        </w:r>
      </w:hyperlink>
      <w:r>
        <w:rPr/>
        <w:t xml:space="preserve"> (free) — also saved locally as papers/containerizingCS50.pdf</w:t>
      </w:r>
    </w:p>
    <w:p>
      <w:pPr>
        <w:pStyle w:val="Normal"/>
      </w:pPr>
      <w:r>
        <w:rPr>
          <w:b/>
        </w:rPr>
        <w:t xml:space="preserve">Why it matters: </w:t>
      </w:r>
      <w:r>
        <w:rPr/>
        <w:t xml:space="preserve">This is the paper that directly inspired your project. Malan traces CS50's decade of experience with Docker containers and lands on GitHub Codespaces: a standardized, instructor-controlled, browser-based VS Code environment — in the cloud. Your entire contribution is defined against this paper: you keep the standardization, the browser interface, and the instructor control, but move execution onto the student's own machine, removing the account, network, and service dependencies. While reading, list every dependency Codespaces requires that your design does not.</w:t>
      </w:r>
    </w:p>
    <w:p>
      <w:pPr>
        <w:pStyle w:val="Heading2"/>
      </w:pPr>
      <w:r>
        <w:rPr/>
        <w:t xml:space="preserve">2. Using DevContainers to Standardize Student Development Environments: An Experience Report — Valstar, Griswold &amp; Porter (ITiCSE 2020)</w:t>
      </w:r>
    </w:p>
    <w:p>
      <w:pPr>
        <w:pStyle w:val="Normal"/>
      </w:pPr>
      <w:r>
        <w:rPr>
          <w:b/>
        </w:rPr>
        <w:t xml:space="preserve">Read at: </w:t>
      </w:r>
      <w:hyperlink r:id="rIdHl1">
        <w:r>
          <w:rPr>
            <w:color w:val="0563C1"/>
            <w:u w:val="single"/>
          </w:rPr>
          <w:t xml:space="preserve">https://dl.acm.org/doi/10.1145/3341525.3387424</w:t>
        </w:r>
      </w:hyperlink>
      <w:r>
        <w:rPr/>
        <w:t xml:space="preserve"> (ACM Digital Library — free from campus network or via UNLV library sign-in)</w:t>
      </w:r>
    </w:p>
    <w:p>
      <w:pPr>
        <w:pStyle w:val="Normal"/>
      </w:pPr>
      <w:r>
        <w:rPr>
          <w:b/>
        </w:rPr>
        <w:t xml:space="preserve">Why it matters: </w:t>
      </w:r>
      <w:r>
        <w:rPr/>
        <w:t xml:space="preserve">This is the closest existing local-Docker precedent. UCSD gave students a Docker image integrated with desktop VS Code via the Dev Containers extension. It proves local containers can standardize environments across operating systems — but their stack needs Docker, desktop VS Code, an extension, and a course repository all working together. Your design collapses that to Docker plus a browser tab. While reading, note every setup step their students performed that yours skip.</w:t>
      </w:r>
    </w:p>
    <w:p>
      <w:pPr>
        <w:pStyle w:val="Heading2"/>
      </w:pPr>
      <w:r>
        <w:rPr/>
        <w:t xml:space="preserve">3. Lightweight Symphony: Towards Reducing Computer Science Student Anxiety with Standardized Docker Environments — Fernalld, O'Connor, Sudhakaran &amp; Nur (SIGITE 2023)</w:t>
      </w:r>
    </w:p>
    <w:p>
      <w:pPr>
        <w:pStyle w:val="Normal"/>
      </w:pPr>
      <w:r>
        <w:rPr>
          <w:b/>
        </w:rPr>
        <w:t xml:space="preserve">Read at: </w:t>
      </w:r>
      <w:hyperlink r:id="rIdHl2">
        <w:r>
          <w:rPr>
            <w:color w:val="0563C1"/>
            <w:u w:val="single"/>
          </w:rPr>
          <w:t xml:space="preserve">https://dl.acm.org/doi/10.1145/3585059.3611432</w:t>
        </w:r>
      </w:hyperlink>
      <w:r>
        <w:rPr/>
        <w:t xml:space="preserve"> (ACM Digital Library — full text is open on this page)</w:t>
      </w:r>
    </w:p>
    <w:p>
      <w:pPr>
        <w:pStyle w:val="Normal"/>
      </w:pPr>
      <w:r>
        <w:rPr>
          <w:b/>
        </w:rPr>
        <w:t xml:space="preserve">Why it matters: </w:t>
      </w:r>
      <w:r>
        <w:rPr/>
        <w:t xml:space="preserve">This is your closest empirical precedent and the model for your future course study. Across three courses (188 students), 84% adopted the standardized Docker environments, 75% felt they contributed to success, and 69% said they reduced anxiety. When you deploy at UNLV, these are the kinds of measures you will replicate. While reading, mark which survey questions you could reuse and where voluntary adoption and response bias weaken their claims — your study can handle both more carefully.</w:t>
      </w:r>
    </w:p>
    <w:p>
      <w:pPr>
        <w:pStyle w:val="Heading1"/>
      </w:pPr>
      <w:r>
        <w:rPr/>
        <w:t xml:space="preserve">Phase 2 — The Course-Specific Evidence (assembly and VMs)</w:t>
      </w:r>
    </w:p>
    <w:p>
      <w:pPr>
        <w:pStyle w:val="Normal"/>
      </w:pPr>
      <w:r>
        <w:rPr/>
        <w:t xml:space="preserve">These two papers ground the CS 218 x86 story and show you what a convincing measurement looks like.</w:t>
      </w:r>
    </w:p>
    <w:p>
      <w:pPr>
        <w:pStyle w:val="Heading2"/>
      </w:pPr>
      <w:r>
        <w:rPr/>
        <w:t xml:space="preserve">4. Virtualization for Cost-Effective Teaching of Assembly Language Programming — Cadenas, Sherratt, Howlett, Guy &amp; Lundqvist (IEEE Transactions on Education, 2015)</w:t>
      </w:r>
    </w:p>
    <w:p>
      <w:pPr>
        <w:pStyle w:val="Normal"/>
      </w:pPr>
      <w:r>
        <w:rPr>
          <w:b/>
        </w:rPr>
        <w:t xml:space="preserve">Read at: </w:t>
      </w:r>
      <w:hyperlink r:id="rIdHl3">
        <w:r>
          <w:rPr>
            <w:color w:val="0563C1"/>
            <w:u w:val="single"/>
          </w:rPr>
          <w:t xml:space="preserve">https://centaur.reading.ac.uk/39692/1/qemu-Centaur.pdf</w:t>
        </w:r>
      </w:hyperlink>
      <w:r>
        <w:rPr/>
        <w:t xml:space="preserve"> (free open manuscript)</w:t>
      </w:r>
    </w:p>
    <w:p>
      <w:pPr>
        <w:pStyle w:val="Normal"/>
      </w:pPr>
      <w:r>
        <w:rPr>
          <w:b/>
        </w:rPr>
        <w:t xml:space="preserve">Why it matters: </w:t>
      </w:r>
      <w:r>
        <w:rPr/>
        <w:t xml:space="preserve">The main course-specific source for the x86 image. They packaged a complete ARM assembly environment (QEMU emulation, portable on a USB stick) and evaluated cost, portability, and student attitudes over multiple years. The critical contrast: they changed the instruction set to make emulation easy; you deliberately refused — your image stays amd64-only so the course's real ISA and Linux ABI are preserved, accepting the documented gdb/ptrace limitation on Apple Silicon instead. That design tension is one of your paper's most original discussion points.</w:t>
      </w:r>
    </w:p>
    <w:p>
      <w:pPr>
        <w:pStyle w:val="Heading2"/>
      </w:pPr>
      <w:r>
        <w:rPr/>
        <w:t xml:space="preserve">5. Using Virtual Machines to Enhance the Educational Experience in an Introductory Computing Course — Harvie, Morrell, Cody &amp; Estes (SIGITE 2019)</w:t>
      </w:r>
    </w:p>
    <w:p>
      <w:pPr>
        <w:pStyle w:val="Normal"/>
      </w:pPr>
      <w:r>
        <w:rPr>
          <w:b/>
        </w:rPr>
        <w:t xml:space="preserve">Read at: </w:t>
      </w:r>
      <w:hyperlink r:id="rIdHl4">
        <w:r>
          <w:rPr>
            <w:color w:val="0563C1"/>
            <w:u w:val="single"/>
          </w:rPr>
          <w:t xml:space="preserve">https://dl.acm.org/doi/10.1145/3349266.3351401</w:t>
        </w:r>
      </w:hyperlink>
      <w:r>
        <w:rPr/>
        <w:t xml:space="preserve"> (ACM Digital Library — free from campus network or via UNLV library sign-in)</w:t>
      </w:r>
    </w:p>
    <w:p>
      <w:pPr>
        <w:pStyle w:val="Normal"/>
      </w:pPr>
      <w:r>
        <w:rPr>
          <w:b/>
        </w:rPr>
        <w:t xml:space="preserve">Why it matters: </w:t>
      </w:r>
      <w:r>
        <w:rPr/>
        <w:t xml:space="preserve">Your measurement template. They tracked software installation time, troubleshooting time, and student performance across two academic years and ten classrooms — operational numbers, not vibes. This is the standard your technical and educational evaluation should meet: measured setup time and support burden, not just “setup felt easier.” While reading, write down each metric they report and decide how you would collect its equivalent at UNLV.</w:t>
      </w:r>
    </w:p>
    <w:p>
      <w:pPr>
        <w:pStyle w:val="Heading1"/>
      </w:pPr>
      <w:r>
        <w:rPr/>
        <w:t xml:space="preserve">Phase 3 — The Historical Arc and the Architecture It Left Behind</w:t>
      </w:r>
    </w:p>
    <w:p>
      <w:pPr>
        <w:pStyle w:val="Normal"/>
      </w:pPr>
      <w:r>
        <w:rPr/>
        <w:t xml:space="preserve">These two show that local course appliances predate the cloud era — your project is their container-age revival.</w:t>
      </w:r>
    </w:p>
    <w:p>
      <w:pPr>
        <w:pStyle w:val="Heading2"/>
      </w:pPr>
      <w:r>
        <w:rPr/>
        <w:t xml:space="preserve">6. From Cluster to Cloud to Appliance — David J. Malan (ITiCSE 2013)</w:t>
      </w:r>
    </w:p>
    <w:p>
      <w:pPr>
        <w:pStyle w:val="Normal"/>
      </w:pPr>
      <w:r>
        <w:rPr>
          <w:b/>
        </w:rPr>
        <w:t xml:space="preserve">Read at: </w:t>
      </w:r>
      <w:hyperlink r:id="rIdHl5">
        <w:r>
          <w:rPr>
            <w:color w:val="0563C1"/>
            <w:u w:val="single"/>
          </w:rPr>
          <w:t xml:space="preserve">https://cs.harvard.edu/malan/publications/itc218s-malan.pdf</w:t>
        </w:r>
      </w:hyperlink>
      <w:r>
        <w:rPr/>
        <w:t xml:space="preserve"> (free)</w:t>
      </w:r>
    </w:p>
    <w:p>
      <w:pPr>
        <w:pStyle w:val="Normal"/>
      </w:pPr>
      <w:r>
        <w:rPr>
          <w:b/>
        </w:rPr>
        <w:t xml:space="preserve">Why it matters: </w:t>
      </w:r>
      <w:r>
        <w:rPr/>
        <w:t xml:space="preserve">The historical spine of your introduction. Malan narrates CS50's journey from a shared server cluster, to cloud VMs, to the CS50 Appliance — a client-side VM on student machines. Each transition moved problems around rather than eliminating them. Your paper argues containers finally make the appliance model cheap enough to work. This paper also carries the infrastructure-cost argument (it internally cites Malan's 2010 cloud-cost paper, so you get that lineage in one citation). While reading, note who inherits the problems at each architectural step — administrators, instructors, or students.</w:t>
      </w:r>
    </w:p>
    <w:p>
      <w:pPr>
        <w:pStyle w:val="Heading2"/>
      </w:pPr>
      <w:r>
        <w:rPr/>
        <w:t xml:space="preserve">7. Teaching Operating Systems Using Virtual Appliances and Distributed Version Control — Laadan, Nieh &amp; Viennot (SIGCSE 2010)</w:t>
      </w:r>
    </w:p>
    <w:p>
      <w:pPr>
        <w:pStyle w:val="Normal"/>
      </w:pPr>
      <w:r>
        <w:rPr>
          <w:b/>
        </w:rPr>
        <w:t xml:space="preserve">Read at: </w:t>
      </w:r>
      <w:hyperlink r:id="rIdHl6">
        <w:r>
          <w:rPr>
            <w:color w:val="0563C1"/>
            <w:u w:val="single"/>
          </w:rPr>
          <w:t xml:space="preserve">https://www.cs.columbia.edu/~orenl/papers/sigcse2010_os.pdf</w:t>
        </w:r>
      </w:hyperlink>
      <w:r>
        <w:rPr/>
        <w:t xml:space="preserve"> (free)</w:t>
      </w:r>
    </w:p>
    <w:p>
      <w:pPr>
        <w:pStyle w:val="Normal"/>
      </w:pPr>
      <w:r>
        <w:rPr>
          <w:b/>
        </w:rPr>
        <w:t xml:space="preserve">Why it matters: </w:t>
      </w:r>
      <w:r>
        <w:rPr/>
        <w:t xml:space="preserve">The foundational account of locally deployable course appliances — and your only source covering offline operation, intermittent connectivity, remote learners, and student-owned hardware, which directly backs your “offline-capable after the initial pull” contribution. Don't be put off by the 2010 date: it's cited as lineage, and its age is what proves the local-appliance idea has a track record. While reading, list which VM advantages still apply to your containers and which VM costs (image size, boot time, hypervisor setup) your containers eliminate.</w:t>
      </w:r>
    </w:p>
    <w:p>
      <w:pPr>
        <w:pStyle w:val="Heading1"/>
      </w:pPr>
      <w:r>
        <w:rPr/>
        <w:t xml:space="preserve">Phase 4 — The Contrast Class (read these last)</w:t>
      </w:r>
    </w:p>
    <w:p>
      <w:pPr>
        <w:pStyle w:val="Normal"/>
      </w:pPr>
      <w:r>
        <w:rPr/>
        <w:t xml:space="preserve">These two define what your design deliberately is not — centralized monitoring, and editor-embedded AI.</w:t>
      </w:r>
    </w:p>
    <w:p>
      <w:pPr>
        <w:pStyle w:val="Heading2"/>
      </w:pPr>
      <w:r>
        <w:rPr/>
        <w:t xml:space="preserve">8. CodeDive: A Web-Based IDE with Real-Time Code Activity Monitoring for Programming Education — Park et al. (Applied Sciences, 2025)</w:t>
      </w:r>
    </w:p>
    <w:p>
      <w:pPr>
        <w:pStyle w:val="Normal"/>
      </w:pPr>
      <w:r>
        <w:rPr>
          <w:b/>
        </w:rPr>
        <w:t xml:space="preserve">Read at: </w:t>
      </w:r>
      <w:hyperlink r:id="rIdHl7">
        <w:r>
          <w:rPr>
            <w:color w:val="0563C1"/>
            <w:u w:val="single"/>
          </w:rPr>
          <w:t xml:space="preserve">https://doi.org/10.3390/app151910403</w:t>
        </w:r>
      </w:hyperlink>
      <w:r>
        <w:rPr/>
        <w:t xml:space="preserve"> (MDPI — fully open access)</w:t>
      </w:r>
    </w:p>
    <w:p>
      <w:pPr>
        <w:pStyle w:val="Normal"/>
      </w:pPr>
      <w:r>
        <w:rPr>
          <w:b/>
        </w:rPr>
        <w:t xml:space="preserve">Why it matters: </w:t>
      </w:r>
      <w:r>
        <w:rPr/>
        <w:t xml:space="preserve">The modern centralized alternative: browser VS Code on institutional Kubernetes, persistent server volumes, and fine-grained monitoring of every student edit and execution. It is the architectural and privacy foil to your design — where CodeDive gains pedagogical visibility through telemetry, you gain privacy and independence by keeping files and execution on student hardware with no logging at all. While reading, catalogue what instructors learn from their monitoring and what infrastructure and privacy costs it demands; your discussion section weighs this trade honestly.</w:t>
      </w:r>
    </w:p>
    <w:p>
      <w:pPr>
        <w:pStyle w:val="Heading2"/>
      </w:pPr>
      <w:r>
        <w:rPr/>
        <w:t xml:space="preserve">9. Teaching CS50 with AI — Liu et al. (SIGCSE 2024)</w:t>
      </w:r>
    </w:p>
    <w:p>
      <w:pPr>
        <w:pStyle w:val="Normal"/>
      </w:pPr>
      <w:r>
        <w:rPr>
          <w:b/>
        </w:rPr>
        <w:t xml:space="preserve">Read at: </w:t>
      </w:r>
      <w:hyperlink r:id="rIdHl8">
        <w:r>
          <w:rPr>
            <w:color w:val="0563C1"/>
            <w:u w:val="single"/>
          </w:rPr>
          <w:t xml:space="preserve">https://doi.org/10.1145/3626252.3630938</w:t>
        </w:r>
      </w:hyperlink>
      <w:r>
        <w:rPr/>
        <w:t xml:space="preserve"> (ACM Digital Library) — also saved locally as papers/TeachingCS50withAI.pdf</w:t>
      </w:r>
    </w:p>
    <w:p>
      <w:pPr>
        <w:pStyle w:val="Normal"/>
      </w:pPr>
      <w:r>
        <w:rPr>
          <w:b/>
        </w:rPr>
        <w:t xml:space="preserve">Why it matters: </w:t>
      </w:r>
      <w:r>
        <w:rPr/>
        <w:t xml:space="preserve">This paper describes cs50.ai — the exact chatbot your own x86 Design Document links students to. It lets you state your AI position precisely: every AI feature inside the editor is disabled, while course-sanctioned external AI is governed by course policy. That is a deliberate design choice, not an anti-AI stance, and this paper is the evidence that a policy-managed AI resource can coexist with a controlled instructional environment. While reading, note how CS50 constrains its AI (guardrails, no full solutions) and how that maps to CS 218's policy.</w:t>
      </w:r>
    </w:p>
    <w:p>
      <w:pPr>
        <w:pStyle w:val="Heading1"/>
      </w:pPr>
      <w:r>
        <w:rPr/>
        <w:t xml:space="preserve">After Reading</w:t>
      </w:r>
    </w:p>
    <w:p>
      <w:pPr>
        <w:pStyle w:val="Normal"/>
      </w:pPr>
      <w:r>
        <w:rPr/>
        <w:t xml:space="preserve">When all 9 note sets are done, complete the literature synthesis matrix in papers/RESEARCH_PAPER_ASSIGNMENT.md, then draft the related-work section organized by design approach (cloud IDEs → appliances → local containers → VMs/assembly → browser IDEs → AI policy) — not one paragraph per paper. The poster cites only papers 1–5 and 9.</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szCs w:val="22"/>
      </w:rPr>
    </w:rPrDefault>
    <w:pPrDefault>
      <w:pPr>
        <w:spacing w:after="160" w:line="276" w:lineRule="auto"/>
      </w:pPr>
    </w:pPrDefault>
  </w:docDefaults>
  <w:style w:type="paragraph" w:styleId="Normal">
    <w:name w:val="Normal"/>
    <w:pPr>
      <w:spacing w:before="0" w:after="160"/>
    </w:pPr>
    <w:rPr>
      <w:color w:val="000000"/>
      <w:sz w:val="22"/>
      <w:szCs w:val="22"/>
    </w:rPr>
  </w:style>
  <w:style w:type="paragraph" w:styleId="Title">
    <w:name w:val="Title"/>
    <w:pPr>
      <w:spacing w:before="0" w:after="240"/>
    </w:pPr>
    <w:rPr>
      <w:b/>
      <w:color w:val="000000"/>
      <w:sz w:val="40"/>
      <w:szCs w:val="40"/>
    </w:rPr>
  </w:style>
  <w:style w:type="paragraph" w:styleId="Heading1">
    <w:name w:val="heading 1"/>
    <w:pPr>
      <w:spacing w:before="360" w:after="120"/>
    </w:pPr>
    <w:rPr>
      <w:b/>
      <w:color w:val="8B0000"/>
      <w:sz w:val="30"/>
      <w:szCs w:val="30"/>
    </w:rPr>
  </w:style>
  <w:style w:type="paragraph" w:styleId="Heading2">
    <w:name w:val="heading 2"/>
    <w:pPr>
      <w:spacing w:before="280" w:after="120"/>
    </w:pPr>
    <w:rPr>
      <w:b/>
      <w:color w:val="333333"/>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Hl0" Type="http://schemas.openxmlformats.org/officeDocument/2006/relationships/hyperlink" Target="https://cs.harvard.edu/malan/publications/V1fp0310-malan.pdf" TargetMode="External"/><Relationship Id="rIdHl1" Type="http://schemas.openxmlformats.org/officeDocument/2006/relationships/hyperlink" Target="https://dl.acm.org/doi/10.1145/3341525.3387424" TargetMode="External"/><Relationship Id="rIdHl2" Type="http://schemas.openxmlformats.org/officeDocument/2006/relationships/hyperlink" Target="https://dl.acm.org/doi/10.1145/3585059.3611432" TargetMode="External"/><Relationship Id="rIdHl3" Type="http://schemas.openxmlformats.org/officeDocument/2006/relationships/hyperlink" Target="https://centaur.reading.ac.uk/39692/1/qemu-Centaur.pdf" TargetMode="External"/><Relationship Id="rIdHl4" Type="http://schemas.openxmlformats.org/officeDocument/2006/relationships/hyperlink" Target="https://dl.acm.org/doi/10.1145/3349266.3351401" TargetMode="External"/><Relationship Id="rIdHl5" Type="http://schemas.openxmlformats.org/officeDocument/2006/relationships/hyperlink" Target="https://cs.harvard.edu/malan/publications/itc218s-malan.pdf" TargetMode="External"/><Relationship Id="rIdHl6" Type="http://schemas.openxmlformats.org/officeDocument/2006/relationships/hyperlink" Target="https://www.cs.columbia.edu/~orenl/papers/sigcse2010_os.pdf" TargetMode="External"/><Relationship Id="rIdHl7" Type="http://schemas.openxmlformats.org/officeDocument/2006/relationships/hyperlink" Target="https://doi.org/10.3390/app151910403" TargetMode="External"/><Relationship Id="rIdHl8" Type="http://schemas.openxmlformats.org/officeDocument/2006/relationships/hyperlink" Target="https://doi.org/10.1145/3626252.3630938" TargetMode="External"/></Relationships>
</file>