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Metrics across the lifecycle: a framework for evaluating NIH biomedical data ecosystems</w:t>
      </w:r>
    </w:p>
    <w:p>
      <w:pPr>
        <w:pStyle w:val="Author"/>
      </w:pPr>
      <w:r>
        <w:t xml:space="preserve">Ethan M. Lange</w:t>
      </w:r>
    </w:p>
    <w:p>
      <w:pPr>
        <w:pStyle w:val="Author"/>
      </w:pPr>
      <w:r>
        <w:t xml:space="preserve">Vikram Adithya Ganesh</w:t>
      </w:r>
    </w:p>
    <w:p>
      <w:pPr>
        <w:pStyle w:val="Author"/>
      </w:pPr>
      <w:r>
        <w:t xml:space="preserve">Faisal Alquaddoomi</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The U.S. National Institutes of Health has invested billions of dollars in</w:t>
      </w:r>
      <w:r>
        <w:t xml:space="preserve"> </w:t>
      </w:r>
      <w:r>
        <w:t xml:space="preserve">large-scale biomedical data resources, yet evaluation of these investments</w:t>
      </w:r>
      <w:r>
        <w:t xml:space="preserve"> </w:t>
      </w:r>
      <w:r>
        <w:t xml:space="preserve">has historically been fragmented — each program tracks different metrics in</w:t>
      </w:r>
      <w:r>
        <w:t xml:space="preserve"> </w:t>
      </w:r>
      <w:r>
        <w:t xml:space="preserve">different ways, preventing portfolio-level comparison and informed</w:t>
      </w:r>
      <w:r>
        <w:t xml:space="preserve"> </w:t>
      </w:r>
      <w:r>
        <w:t xml:space="preserve">decision-making. We construct a structured approach built on three</w:t>
      </w:r>
      <w:r>
        <w:t xml:space="preserve"> </w:t>
      </w:r>
      <w:r>
        <w:t xml:space="preserve">complementary prioritization frameworks:</w:t>
      </w:r>
      <w:r>
        <w:t xml:space="preserve"> </w:t>
      </w:r>
      <w:r>
        <w:rPr>
          <w:i/>
          <w:iCs/>
        </w:rPr>
        <w:t xml:space="preserve">public value</w:t>
      </w:r>
      <w:r>
        <w:t xml:space="preserve"> </w:t>
      </w:r>
      <w:r>
        <w:t xml:space="preserve">(user engagement,</w:t>
      </w:r>
      <w:r>
        <w:t xml:space="preserve"> </w:t>
      </w:r>
      <w:r>
        <w:t xml:space="preserve">citations, funded grants),</w:t>
      </w:r>
      <w:r>
        <w:t xml:space="preserve"> </w:t>
      </w:r>
      <w:r>
        <w:rPr>
          <w:i/>
          <w:iCs/>
        </w:rPr>
        <w:t xml:space="preserve">scientific data quality</w:t>
      </w:r>
      <w:r>
        <w:t xml:space="preserve"> </w:t>
      </w:r>
      <w:r>
        <w:t xml:space="preserve">(metadata completeness,</w:t>
      </w:r>
      <w:r>
        <w:t xml:space="preserve"> </w:t>
      </w:r>
      <w:r>
        <w:t xml:space="preserve">FAIR compliance, data dictionaries), and</w:t>
      </w:r>
      <w:r>
        <w:t xml:space="preserve"> </w:t>
      </w:r>
      <w:r>
        <w:rPr>
          <w:i/>
          <w:iCs/>
        </w:rPr>
        <w:t xml:space="preserve">operations and finance</w:t>
      </w:r>
      <w:r>
        <w:t xml:space="preserve"> </w:t>
      </w:r>
      <w:r>
        <w:t xml:space="preserve">(infrastructure reliability, cost sustainability). Critically, we note that</w:t>
      </w:r>
      <w:r>
        <w:t xml:space="preserve"> </w:t>
      </w:r>
      <w:r>
        <w:t xml:space="preserve">the relative importance of each framework shifts predictably across a data</w:t>
      </w:r>
      <w:r>
        <w:t xml:space="preserve"> </w:t>
      </w:r>
      <w:r>
        <w:t xml:space="preserve">resource’s lifecycle — from early infrastructure-building, through active</w:t>
      </w:r>
      <w:r>
        <w:t xml:space="preserve"> </w:t>
      </w:r>
      <w:r>
        <w:t xml:space="preserve">use and impact, to long-term sustainability. Drawing on data from the NIH</w:t>
      </w:r>
      <w:r>
        <w:t xml:space="preserve"> </w:t>
      </w:r>
      <w:r>
        <w:t xml:space="preserve">Common Fund Data Ecosystem (CFDE), we identify gaps in current measurement</w:t>
      </w:r>
      <w:r>
        <w:t xml:space="preserve"> </w:t>
      </w:r>
      <w:r>
        <w:t xml:space="preserve">practice and describe the ICC’s ongoing effort to close them through a</w:t>
      </w:r>
      <w:r>
        <w:t xml:space="preserve"> </w:t>
      </w:r>
      <w:r>
        <w:t xml:space="preserve">centralized dashboard that integrates publication, citation, GitHub, and</w:t>
      </w:r>
      <w:r>
        <w:t xml:space="preserve"> </w:t>
      </w:r>
      <w:r>
        <w:t xml:space="preserve">web analytics data across the portfolio.</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t xml:space="preserve">[5]</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[6,7]</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Embedding this lifecycle logic into evaluation design, rather than applying uniform metrics across all phases, is the key practical contribution we describe.</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[8,9]</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[10]</w:t>
      </w:r>
      <w:r>
        <w:t xml:space="preserve">.</w:t>
      </w:r>
      <w:r>
        <w:t xml:space="preserve"> </w:t>
      </w:r>
      <w:r>
        <w:t xml:space="preserve">Citation counts lag actual use by months to years</w:t>
      </w:r>
      <w:r>
        <w:t xml:space="preserve"> </w:t>
      </w:r>
      <w:r>
        <w:t xml:space="preserve">[11]</w:t>
      </w:r>
      <w:r>
        <w:t xml:space="preserve">, and journal-scoring alternatives that weight by citing-paper properties better capture subject-specific repository impact than raw counts</w:t>
      </w:r>
      <w:r>
        <w:t xml:space="preserve"> </w:t>
      </w:r>
      <w:r>
        <w:t xml:space="preserve">[12]</w:t>
      </w:r>
      <w:r>
        <w:t xml:space="preserve">.</w:t>
      </w:r>
      <w:r>
        <w:t xml:space="preserve"> </w:t>
      </w:r>
      <w:r>
        <w:t xml:space="preserve">The deeper problem is the citation gap: fewer than 30% of secondary analyses formally cite their source data</w:t>
      </w:r>
      <w:r>
        <w:t xml:space="preserve"> </w:t>
      </w:r>
      <w:r>
        <w:t xml:space="preserve">[13]</w:t>
      </w:r>
      <w:r>
        <w:t xml:space="preserve">.</w:t>
      </w:r>
      <w:r>
        <w:t xml:space="preserve"> </w:t>
      </w:r>
      <w:r>
        <w:t xml:space="preserve">Standard bibliometrics therefore systematically understate reuse.</w:t>
      </w:r>
      <w:r>
        <w:t xml:space="preserve"> </w:t>
      </w:r>
      <w:r>
        <w:t xml:space="preserve">Closing the gap likely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[13]</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[14]</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[15]</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p>
    <w:bookmarkEnd w:id="14"/>
    <w:bookmarkStart w:id="15" w:name="scientific-quality"/>
    <w:p>
      <w:pPr>
        <w:pStyle w:val="Heading3"/>
      </w:pPr>
      <w:r>
        <w:t xml:space="preserve">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[16]</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[17]</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[18]</w:t>
      </w:r>
      <w:r>
        <w:t xml:space="preserve">, and inclusion in curated ecosystems like Bioconductor</w:t>
      </w:r>
      <w:r>
        <w:t xml:space="preserve"> </w:t>
      </w:r>
      <w:r>
        <w:t xml:space="preserve">[19]</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[20]</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[20]</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[9]</w:t>
      </w:r>
      <w:r>
        <w:t xml:space="preserve"> </w:t>
      </w:r>
      <w:r>
        <w:t xml:space="preserve">is essential for the CFDE, where the volume of metadata prevents manual audit.</w:t>
      </w:r>
      <w:r>
        <w:t xml:space="preserve"> </w:t>
      </w:r>
      <w:r>
        <w:t xml:space="preserve">The FAIRplus Dataset Maturity (FAIRplus-DSM) model</w:t>
      </w:r>
      <w:r>
        <w:t xml:space="preserve"> </w:t>
      </w:r>
      <w:r>
        <w:t xml:space="preserve">[21]</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[9]</w:t>
      </w:r>
      <w:r>
        <w:t xml:space="preserve">.</w:t>
      </w:r>
    </w:p>
    <w:bookmarkEnd w:id="15"/>
    <w:bookmarkStart w:id="17" w:name="operations-and-finance"/>
    <w:p>
      <w:pPr>
        <w:pStyle w:val="Heading3"/>
      </w:pPr>
      <w:r>
        <w:t xml:space="preserve">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t xml:space="preserve">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w:t>
      </w:r>
      <w:r>
        <w:t xml:space="preserve">— and compute-level metrics —</w:t>
      </w:r>
      <w:r>
        <w:t xml:space="preserve">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t xml:space="preserve">[5]</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t xml:space="preserve">[22]</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[23]</w:t>
      </w:r>
      <w:r>
        <w:t xml:space="preserve">.</w:t>
      </w:r>
    </w:p>
    <w:p>
      <w:pPr>
        <w:pStyle w:val="BodyText"/>
      </w:pPr>
      <w:r>
        <w:t xml:space="preserve">The harder sustainability question is the break-even point for data sharing: mathematical models suggest aggregate research-community gains from reuse do not always outweigh the curation costs borne by data generators, which argues for selective investment in high-value datasets rather than uniform support.</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Table</w:t>
      </w:r>
      <w:r>
        <w:t xml:space="preserve"> </w:t>
      </w: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[24]</w:t>
      </w:r>
      <w:r>
        <w:t xml:space="preserve"> </w:t>
      </w:r>
      <w:r>
        <w:t xml:space="preserve">add the qualitative dimension that usage statistics cannot capture.</w:t>
      </w:r>
      <w:r>
        <w:t xml:space="preserve"> </w:t>
      </w:r>
      <w:r>
        <w:t xml:space="preserve">What the implementation demonstrates is not that the metric set is final — it is that lifecycle-aware portfolio evaluation is operationally tractable at NIH scale, in near real time, with the burden on individual projects manageable.</w:t>
      </w:r>
    </w:p>
    <w:bookmarkEnd w:id="23"/>
    <w:bookmarkStart w:id="24" w:name="concluding-remarks"/>
    <w:p>
      <w:pPr>
        <w:pStyle w:val="Heading2"/>
      </w:pPr>
      <w:r>
        <w:t xml:space="preserve">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t xml:space="preserve">[25]</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[26]</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[27]</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t xml:space="preserve">[28]</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[29]</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[30]</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t xml:space="preserve">[31]</w:t>
      </w:r>
      <w:r>
        <w:t xml:space="preserve">, and the 2023 Data Management and Sharing Policy creates a structural opportunity to establish pre-policy baselines for sharing and reuse — a rare chance to test rigorously whether mandates translate into measurable ecosystem improvements.</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t xml:space="preserve">[32]</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26" w:name="author-contributions"/>
    <w:p>
      <w:pPr>
        <w:pStyle w:val="Heading2"/>
      </w:pPr>
      <w:r>
        <w:t xml:space="preserve">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Faisal Alquaddoomi,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26"/>
    <w:bookmarkStart w:id="36"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Significance statement</w:t>
            </w:r>
          </w:p>
        </w:tc>
      </w:tr>
      <w:tr>
        <w:trPr>
          <w:cantSplit/>
        </w:trPr>
        <w:tc>
          <w:tcPr>
            <w:tcMar>
              <w:top w:w="108" w:type="dxa"/>
              <w:bottom w:w="108" w:type="dxa"/>
            </w:tcMar>
          </w:tcPr>
          <w:p>
            <w:pPr>
              <w:pStyle w:val="BodyText"/>
            </w:pPr>
            <w:pPr>
              <w:spacing w:before="16" w:after="16"/>
            </w:pPr>
            <w:r>
              <w:t xml:space="preserve">Public biomedical data ecosystems are now core scientific infrastructure, but each funded program tracks its own metrics differently, so portfolio-level comparison is effectively impossible.</w:t>
            </w:r>
            <w:r>
              <w:t xml:space="preserve"> </w:t>
            </w:r>
            <w:r>
              <w:t xml:space="preserve">We argue that three product-strategy frameworks — public value, scientific quality, operations and finance — map onto research data resources, that their weight shifts predictably across a resource’s lifecycle, and that ignoring this shift misallocates funding.</w:t>
            </w:r>
            <w:r>
              <w:t xml:space="preserve"> </w:t>
            </w:r>
            <w:r>
              <w:t xml:space="preserve">The NIH Common Fund Data Ecosystem operationalizes the model across 19 programs in real time.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Outstanding Questions</w:t>
            </w:r>
          </w:p>
        </w:tc>
      </w:tr>
      <w:tr>
        <w:trPr>
          <w:cantSplit/>
        </w:trPr>
        <w:tc>
          <w:tcPr>
            <w:tcMar>
              <w:top w:w="108" w:type="dxa"/>
              <w:bottom w:w="108" w:type="dxa"/>
            </w:tcMar>
          </w:tcPr>
          <w:p>
            <w:pPr>
              <w:numPr>
                <w:ilvl w:val="0"/>
                <w:numId w:val="1001"/>
              </w:numPr>
            </w:pPr>
            <w:r>
              <w:t xml:space="preserve">At what break-even point does the curation cost of a shared dataset get recovered by downstream reuse, and how should that point inform the decision to invest in further sharing versus letting a resource sunset?</w:t>
            </w:r>
          </w:p>
          <w:p>
            <w:pPr>
              <w:numPr>
                <w:ilvl w:val="0"/>
                <w:numId w:val="1001"/>
              </w:numPr>
            </w:pPr>
            <w:r>
              <w:t xml:space="preserve">As the data-citation gap persists, what KPI should replace raw citation counts as the primary measure of data-resource impact, and how do we collect it at portfolio scale without burdening individual projects?</w:t>
            </w:r>
          </w:p>
          <w:p>
            <w:pPr>
              <w:numPr>
                <w:ilvl w:val="0"/>
                <w:numId w:val="1001"/>
              </w:numPr>
            </w:pPr>
            <w:r>
              <w:t xml:space="preserve">How should cross-disciplinary co-authorship arising from a shared dataset be weighted relative to direct citation when evaluating a resource’s scientific influence?</w:t>
            </w:r>
          </w:p>
          <w:p>
            <w:pPr>
              <w:numPr>
                <w:ilvl w:val="0"/>
                <w:numId w:val="1001"/>
              </w:numPr>
            </w:pPr>
            <w:r>
              <w:t xml:space="preserve">What is the right cadence for re-assessing the FAIR maturity of an active data resource, who owns the re-assessment, and how do we keep the process tractable as portfolios grow?</w:t>
            </w:r>
          </w:p>
          <w:p>
            <w:pPr>
              <w:numPr>
                <w:ilvl w:val="0"/>
                <w:numId w:val="1001"/>
              </w:numPr>
            </w:pPr>
            <w:r>
              <w:t xml:space="preserve">As AI-driven and agent-based traffic on data portals continues to grow, how do we partition it into noise to remove versus signal to interpret as evidence of resource value?</w:t>
            </w:r>
          </w:p>
          <w:p>
            <w:pPr>
              <w:numPr>
                <w:ilvl w:val="0"/>
                <w:numId w:val="1001"/>
              </w:numPr>
            </w:pPr>
            <w:r>
              <w:t xml:space="preserve">What governance structures keep federated evaluation frameworks honest as they evolve, so that metrics continue to serve funders’ strategic questions rather than drifting toward data managers’ reporting convenience?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References</w:t>
            </w:r>
          </w:p>
        </w:tc>
      </w:tr>
      <w:tr>
        <w:trPr>
          <w:cantSplit/>
        </w:trPr>
        <w:tc>
          <w:tcPr>
            <w:tcMar>
              <w:top w:w="108" w:type="dxa"/>
              <w:bottom w:w="108" w:type="dxa"/>
            </w:tcMar>
          </w:tcPr>
          <w:p>
            <w:pPr>
              <w:numPr>
                <w:ilvl w:val="0"/>
                <w:numId w:val="1002"/>
              </w:numPr>
            </w:pPr>
            <w:r>
              <w:t xml:space="preserve">Wilkinson MD et al. The FAIR Guiding Principles for scientific data management and stewardship.</w:t>
            </w:r>
            <w:r>
              <w:t xml:space="preserve"> </w:t>
            </w:r>
            <w:r>
              <w:rPr>
                <w:i/>
                <w:iCs/>
              </w:rPr>
              <w:t xml:space="preserve">Scientific Data</w:t>
            </w:r>
            <w:r>
              <w:t xml:space="preserve">, 2016</w:t>
            </w:r>
            <w:r>
              <w:t xml:space="preserve"> </w:t>
            </w:r>
            <w:r>
              <w:t xml:space="preserve">[8]</w:t>
            </w:r>
            <w:r>
              <w:t xml:space="preserve">. The foundational definition of the principles that anchor the scientific-quality framework throughout this paper.</w:t>
            </w:r>
          </w:p>
          <w:p>
            <w:pPr>
              <w:numPr>
                <w:ilvl w:val="0"/>
                <w:numId w:val="1002"/>
              </w:numPr>
            </w:pPr>
            <w:r>
              <w:t xml:space="preserve">Wilkinson MD et al. A design framework and exemplar metrics for FAIRness.</w:t>
            </w:r>
            <w:r>
              <w:t xml:space="preserve"> </w:t>
            </w:r>
            <w:r>
              <w:rPr>
                <w:i/>
                <w:iCs/>
              </w:rPr>
              <w:t xml:space="preserve">Scientific Data</w:t>
            </w:r>
            <w:r>
              <w:t xml:space="preserve">, 2018</w:t>
            </w:r>
            <w:r>
              <w:t xml:space="preserve"> </w:t>
            </w:r>
            <w:r>
              <w:t xml:space="preserve">[9]</w:t>
            </w:r>
            <w:r>
              <w:t xml:space="preserve">. Operationalizes FAIR as machine-measurable indicators, which is what makes automated FAIR-compliance monitoring tractable at the portfolio scale we describe.</w:t>
            </w:r>
          </w:p>
          <w:p>
            <w:pPr>
              <w:numPr>
                <w:ilvl w:val="0"/>
                <w:numId w:val="1002"/>
              </w:numPr>
            </w:pPr>
            <w:r>
              <w:t xml:space="preserve">Tedersoo L et al. Data sharing practices and data availability upon request differ across scientific disciplines</w:t>
            </w:r>
            <w:r>
              <w:t xml:space="preserve"> </w:t>
            </w:r>
            <w:r>
              <w:t xml:space="preserve">[13]</w:t>
            </w:r>
            <w:r>
              <w:t xml:space="preserve">. Provides the bibliometric evidence that fewer than 30% of secondary analyses formally cite source data, the core empirical basis for our argument that citation-count KPIs systematically understate reuse.</w:t>
            </w:r>
          </w:p>
          <w:p>
            <w:pPr>
              <w:numPr>
                <w:ilvl w:val="0"/>
                <w:numId w:val="1002"/>
              </w:numPr>
            </w:pPr>
            <w:r>
              <w:t xml:space="preserve">The GTEx Consortium. The Genotype-Tissue Expression (GTEx) project.</w:t>
            </w:r>
            <w:r>
              <w:t xml:space="preserve"> </w:t>
            </w:r>
            <w:r>
              <w:rPr>
                <w:i/>
                <w:iCs/>
              </w:rPr>
              <w:t xml:space="preserve">Nature Genetics</w:t>
            </w:r>
            <w:r>
              <w:t xml:space="preserve">, 2013</w:t>
            </w:r>
            <w:r>
              <w:t xml:space="preserve"> </w:t>
            </w:r>
            <w:r>
              <w:t xml:space="preserve">[2]</w:t>
            </w:r>
            <w:r>
              <w:t xml:space="preserve">. The paradigmatic example of a high-reuse public biomedical data resource (8,630 citations as of January 2026), used here to anchor the public-value framework with a concrete case.</w:t>
            </w:r>
          </w:p>
          <w:p>
            <w:pPr>
              <w:numPr>
                <w:ilvl w:val="0"/>
                <w:numId w:val="1002"/>
              </w:numPr>
            </w:pPr>
            <w:r>
              <w:t xml:space="preserve">Centers for Disease Control and Prevention. Standard Evaluation Framework for Large Health Care Data</w:t>
            </w:r>
            <w:r>
              <w:t xml:space="preserve"> </w:t>
            </w:r>
            <w:r>
              <w:t xml:space="preserve">[17]</w:t>
            </w:r>
            <w:r>
              <w:t xml:space="preserve">. The 49-attribute fitness-for-purpose framework whose representativeness and linkability attributes are particularly load-bearing for federated ecosystems like the CFDE.</w:t>
            </w:r>
          </w:p>
          <w:p/>
        </w:tc>
      </w:tr>
    </w:tbl>
    <w:bookmarkEnd w:id="36"/>
    <w:bookmarkStart w:id="100" w:name="references"/>
    <w:p>
      <w:pPr>
        <w:pStyle w:val="Heading1"/>
      </w:pPr>
      <w:r>
        <w:t xml:space="preserve">References</w:t>
      </w:r>
    </w:p>
    <w:bookmarkStart w:id="99" w:name="refs"/>
    <w:bookmarkStart w:id="38"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37">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38"/>
    <w:bookmarkStart w:id="40"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39">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0"/>
    <w:bookmarkStart w:id="42" w:name="ref-doi:10.1056/NEJMsr1809937"/>
    <w:p>
      <w:pPr>
        <w:pStyle w:val="Bibliography"/>
      </w:pPr>
      <w:r>
        <w:t xml:space="preserve">3.</w:t>
      </w:r>
      <w:r>
        <w:t xml:space="preserve"> </w:t>
      </w:r>
      <w:r>
        <w:t xml:space="preserve">	</w:t>
      </w:r>
      <w:r>
        <w:t xml:space="preserve">(2019)</w:t>
      </w:r>
      <w:r>
        <w:t xml:space="preserve"> </w:t>
      </w:r>
      <w:hyperlink r:id="rId41">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42"/>
    <w:bookmarkStart w:id="44"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43">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44"/>
    <w:bookmarkStart w:id="46" w:name="X7a93631224c49a632e3119c84b1b3a6b629c733"/>
    <w:p>
      <w:pPr>
        <w:pStyle w:val="Bibliography"/>
      </w:pPr>
      <w:r>
        <w:t xml:space="preserve">5.</w:t>
      </w:r>
      <w:r>
        <w:t xml:space="preserve"> </w:t>
      </w:r>
      <w:r>
        <w:t xml:space="preserve">	</w:t>
      </w:r>
      <w:r>
        <w:t xml:space="preserve">[Online]. Available:</w:t>
      </w:r>
      <w:r>
        <w:t xml:space="preserve"> </w:t>
      </w:r>
      <w:hyperlink r:id="rId45">
        <w:r>
          <w:rPr>
            <w:rStyle w:val="Hyperlink"/>
          </w:rPr>
          <w:t xml:space="preserve">https://dpcpsi.nih.gov/sites/default/files/Day2-1225PM-Final-Report-CFDE-CoC-WG-HorwitzWilder_.pdf</w:t>
        </w:r>
      </w:hyperlink>
    </w:p>
    <w:bookmarkEnd w:id="46"/>
    <w:bookmarkStart w:id="47" w:name="ref-isbn:9780471465102"/>
    <w:p>
      <w:pPr>
        <w:pStyle w:val="Bibliography"/>
      </w:pPr>
      <w:r>
        <w:t xml:space="preserve">6.</w:t>
      </w:r>
      <w:r>
        <w:t xml:space="preserve"> </w:t>
      </w:r>
      <w:r>
        <w:t xml:space="preserve">	</w:t>
      </w:r>
      <w:r>
        <w:t xml:space="preserve">Keeney, R.L. and Raiffa, H. (1976)</w:t>
      </w:r>
      <w:r>
        <w:t xml:space="preserve"> </w:t>
      </w:r>
      <w:r>
        <w:rPr>
          <w:i/>
          <w:iCs/>
        </w:rPr>
        <w:t xml:space="preserve">Decisions with multiple objectives: preferences and value tradeoffs</w:t>
      </w:r>
      <w:r>
        <w:t xml:space="preserve">, Wiley</w:t>
      </w:r>
    </w:p>
    <w:bookmarkEnd w:id="47"/>
    <w:bookmarkStart w:id="48" w:name="ref-isbn:9780792375067"/>
    <w:p>
      <w:pPr>
        <w:pStyle w:val="Bibliography"/>
      </w:pPr>
      <w:r>
        <w:t xml:space="preserve">7.</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48"/>
    <w:bookmarkStart w:id="50" w:name="ref-doi:10.1038/sdata.2016.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49">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0"/>
    <w:bookmarkStart w:id="52" w:name="ref-doi:10.1038/sdata.2018.118"/>
    <w:p>
      <w:pPr>
        <w:pStyle w:val="Bibliography"/>
      </w:pPr>
      <w:r>
        <w:t xml:space="preserve">9.</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1">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2"/>
    <w:bookmarkStart w:id="54" w:name="ref-doi:10.1371/journal.pone.0311493"/>
    <w:p>
      <w:pPr>
        <w:pStyle w:val="Bibliography"/>
      </w:pPr>
      <w:r>
        <w:t xml:space="preserve">10.</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3">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54"/>
    <w:bookmarkStart w:id="56" w:name="ref-doi:10.1038/520429a"/>
    <w:p>
      <w:pPr>
        <w:pStyle w:val="Bibliography"/>
      </w:pPr>
      <w:r>
        <w:t xml:space="preserve">11.</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55">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56"/>
    <w:bookmarkStart w:id="58" w:name="ref-doi:10.4103/1008-682X.171582"/>
    <w:p>
      <w:pPr>
        <w:pStyle w:val="Bibliography"/>
      </w:pPr>
      <w:r>
        <w:t xml:space="preserve">12.</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57">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58"/>
    <w:bookmarkStart w:id="60" w:name="ref-doi:10.1101/2023.09.12.557386"/>
    <w:p>
      <w:pPr>
        <w:pStyle w:val="Bibliography"/>
      </w:pPr>
      <w:r>
        <w:t xml:space="preserve">13.</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59">
        <w:r>
          <w:rPr>
            <w:rStyle w:val="Hyperlink"/>
          </w:rPr>
          <w:t xml:space="preserve">Bibliometric analysis of neuroscience publications quantifies the impact of data sharing</w:t>
        </w:r>
      </w:hyperlink>
      <w:r>
        <w:t xml:space="preserve">openRxiv</w:t>
      </w:r>
    </w:p>
    <w:bookmarkEnd w:id="60"/>
    <w:bookmarkStart w:id="62" w:name="ref-doi:10.2196/63544"/>
    <w:p>
      <w:pPr>
        <w:pStyle w:val="Bibliography"/>
      </w:pPr>
      <w:r>
        <w:t xml:space="preserve">14.</w:t>
      </w:r>
      <w:r>
        <w:t xml:space="preserve"> </w:t>
      </w:r>
      <w:r>
        <w:t xml:space="preserve">	</w:t>
      </w:r>
      <w:r>
        <w:t xml:space="preserve">Wang, D. and Liu, Y. (2025)</w:t>
      </w:r>
      <w:r>
        <w:t xml:space="preserve"> </w:t>
      </w:r>
      <w:hyperlink r:id="rId61">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2"/>
    <w:bookmarkStart w:id="64" w:name="ref-doi:10.15265/IY-2014-0020"/>
    <w:p>
      <w:pPr>
        <w:pStyle w:val="Bibliography"/>
      </w:pPr>
      <w:r>
        <w:t xml:space="preserve">15.</w:t>
      </w:r>
      <w:r>
        <w:t xml:space="preserve"> </w:t>
      </w:r>
      <w:r>
        <w:t xml:space="preserve">	</w:t>
      </w:r>
      <w:r>
        <w:t xml:space="preserve">Verspoor, K. and Martin-Sanchez, F. (2014)</w:t>
      </w:r>
      <w:r>
        <w:t xml:space="preserve"> </w:t>
      </w:r>
      <w:hyperlink r:id="rId63">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64"/>
    <w:bookmarkStart w:id="66" w:name="ref-doi:10.1371/journal.pone.0229003"/>
    <w:p>
      <w:pPr>
        <w:pStyle w:val="Bibliography"/>
      </w:pPr>
      <w:r>
        <w:t xml:space="preserve">16.</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65">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66"/>
    <w:bookmarkStart w:id="68" w:name="ref-doi:10.15585/mmwr.su7303a1"/>
    <w:p>
      <w:pPr>
        <w:pStyle w:val="Bibliography"/>
      </w:pPr>
      <w:r>
        <w:t xml:space="preserve">17.</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67">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68"/>
    <w:bookmarkStart w:id="70" w:name="ref-doi:10.1038/nbt.3780"/>
    <w:p>
      <w:pPr>
        <w:pStyle w:val="Bibliography"/>
      </w:pPr>
      <w:r>
        <w:t xml:space="preserve">18.</w:t>
      </w:r>
      <w:r>
        <w:t xml:space="preserve"> </w:t>
      </w:r>
      <w:r>
        <w:t xml:space="preserve">	</w:t>
      </w:r>
      <w:r>
        <w:t xml:space="preserve">Beaulieu-Jones, B.K. and Greene, C.S. (2017)</w:t>
      </w:r>
      <w:r>
        <w:t xml:space="preserve"> </w:t>
      </w:r>
      <w:hyperlink r:id="rId69">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0"/>
    <w:bookmarkStart w:id="72" w:name="ref-doi:10.1186/gb-2004-5-10-r80"/>
    <w:p>
      <w:pPr>
        <w:pStyle w:val="Bibliography"/>
      </w:pPr>
      <w:r>
        <w:t xml:space="preserve">19.</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1">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2"/>
    <w:bookmarkStart w:id="74" w:name="ref-doi:10.12688/f1000research.9206.1"/>
    <w:p>
      <w:pPr>
        <w:pStyle w:val="Bibliography"/>
      </w:pPr>
      <w:r>
        <w:t xml:space="preserve">20.</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73">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74"/>
    <w:bookmarkStart w:id="76" w:name="X2b10f9b9a4270be0d96aba4cc529b1548cdbabe"/>
    <w:p>
      <w:pPr>
        <w:pStyle w:val="Bibliography"/>
      </w:pPr>
      <w:r>
        <w:t xml:space="preserve">21.</w:t>
      </w:r>
      <w:r>
        <w:t xml:space="preserve"> </w:t>
      </w:r>
      <w:r>
        <w:t xml:space="preserve">	</w:t>
      </w:r>
      <w:r>
        <w:t xml:space="preserve">Indicators.</w:t>
      </w:r>
      <w:r>
        <w:t xml:space="preserve"> </w:t>
      </w:r>
      <w:r>
        <w:rPr>
          <w:i/>
          <w:iCs/>
        </w:rPr>
        <w:t xml:space="preserve">FAIRplus Data Maturity</w:t>
      </w:r>
      <w:r>
        <w:t xml:space="preserve">. [Online]. Available:</w:t>
      </w:r>
      <w:r>
        <w:t xml:space="preserve"> </w:t>
      </w:r>
      <w:hyperlink r:id="rId75">
        <w:r>
          <w:rPr>
            <w:rStyle w:val="Hyperlink"/>
          </w:rPr>
          <w:t xml:space="preserve">https://fairplus.github.io/Data-Maturity/docs/Indicators/</w:t>
        </w:r>
      </w:hyperlink>
      <w:r>
        <w:t xml:space="preserve">. [Accessed: 16-May-2026]</w:t>
      </w:r>
    </w:p>
    <w:bookmarkEnd w:id="76"/>
    <w:bookmarkStart w:id="78" w:name="X7ad42e4ba87689c7356ff47da0c3a62acb6be13"/>
    <w:p>
      <w:pPr>
        <w:pStyle w:val="Bibliography"/>
      </w:pPr>
      <w:r>
        <w:t xml:space="preserve">22.</w:t>
      </w:r>
      <w:r>
        <w:t xml:space="preserve"> </w:t>
      </w:r>
      <w:r>
        <w:t xml:space="preserve">	</w:t>
      </w:r>
      <w:r>
        <w:t xml:space="preserve">National Academies of Sciences, E.</w:t>
      </w:r>
      <w:r>
        <w:t xml:space="preserve"> </w:t>
      </w:r>
      <w:r>
        <w:rPr>
          <w:i/>
          <w:iCs/>
        </w:rPr>
        <w:t xml:space="preserve">et al.</w:t>
      </w:r>
      <w:r>
        <w:t xml:space="preserve"> </w:t>
      </w:r>
      <w:r>
        <w:t xml:space="preserve">(2020)</w:t>
      </w:r>
      <w:r>
        <w:t xml:space="preserve"> </w:t>
      </w:r>
      <w:hyperlink r:id="rId77">
        <w:r>
          <w:rPr>
            <w:rStyle w:val="Hyperlink"/>
          </w:rPr>
          <w:t xml:space="preserve">The Cost-Forecasting Framework: Identifying Cost Drivers in the Biomedical Data Life Cycle</w:t>
        </w:r>
      </w:hyperlink>
      <w:r>
        <w:t xml:space="preserve">. In</w:t>
      </w:r>
      <w:r>
        <w:t xml:space="preserve"> </w:t>
      </w:r>
      <w:r>
        <w:rPr>
          <w:i/>
          <w:iCs/>
        </w:rPr>
        <w:t xml:space="preserve">Life-Cycle Decisions for Biomedical Data: The Challenge of Forecasting Costs</w:t>
      </w:r>
      <w:r>
        <w:t xml:space="preserve">, National Academies Press (US)</w:t>
      </w:r>
    </w:p>
    <w:bookmarkEnd w:id="78"/>
    <w:bookmarkStart w:id="80" w:name="ref-doi:10.1093/jamia/ocab278"/>
    <w:p>
      <w:pPr>
        <w:pStyle w:val="Bibliography"/>
      </w:pPr>
      <w:r>
        <w:t xml:space="preserve">23.</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79">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80"/>
    <w:bookmarkStart w:id="82" w:name="ref-doi:10.48550/arXiv.2509.12709"/>
    <w:p>
      <w:pPr>
        <w:pStyle w:val="Bibliography"/>
      </w:pPr>
      <w:r>
        <w:t xml:space="preserve">24.</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81">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82"/>
    <w:bookmarkStart w:id="84" w:name="Xc1554ee4988a5c64dd2a8bc05a8ce444d54a496"/>
    <w:p>
      <w:pPr>
        <w:pStyle w:val="Bibliography"/>
      </w:pPr>
      <w:r>
        <w:t xml:space="preserve">25.</w:t>
      </w:r>
      <w:r>
        <w:t xml:space="preserve"> </w:t>
      </w:r>
      <w:r>
        <w:t xml:space="preserve">	</w:t>
      </w:r>
      <w:r>
        <w:t xml:space="preserve">Common Fund Data Ecosystem (CFDE) | NIH Common Fund[Online]. Available:</w:t>
      </w:r>
      <w:r>
        <w:t xml:space="preserve"> </w:t>
      </w:r>
      <w:hyperlink r:id="rId83">
        <w:r>
          <w:rPr>
            <w:rStyle w:val="Hyperlink"/>
          </w:rPr>
          <w:t xml:space="preserve">https://commonfund.nih.gov/dataecosystem</w:t>
        </w:r>
      </w:hyperlink>
      <w:r>
        <w:t xml:space="preserve">. [Accessed: 16-May-2026]</w:t>
      </w:r>
    </w:p>
    <w:bookmarkEnd w:id="84"/>
    <w:bookmarkStart w:id="86" w:name="ref-doi:10.1007/s10488-013-0528-y"/>
    <w:p>
      <w:pPr>
        <w:pStyle w:val="Bibliography"/>
      </w:pPr>
      <w:r>
        <w:t xml:space="preserve">26.</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85">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6"/>
    <w:bookmarkStart w:id="88" w:name="ref-doi:10.1002/jgf2.736"/>
    <w:p>
      <w:pPr>
        <w:pStyle w:val="Bibliography"/>
      </w:pPr>
      <w:r>
        <w:t xml:space="preserve">27.</w:t>
      </w:r>
      <w:r>
        <w:t xml:space="preserve"> </w:t>
      </w:r>
      <w:r>
        <w:t xml:space="preserve">	</w:t>
      </w:r>
      <w:r>
        <w:t xml:space="preserve">Creswell, J.W. and Inoue, M. (2024)</w:t>
      </w:r>
      <w:r>
        <w:t xml:space="preserve"> </w:t>
      </w:r>
      <w:hyperlink r:id="rId87">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88"/>
    <w:bookmarkStart w:id="90" w:name="X76ee81cf61288aec0f48b9d17d5a06038eee18d"/>
    <w:p>
      <w:pPr>
        <w:pStyle w:val="Bibliography"/>
      </w:pPr>
      <w:r>
        <w:t xml:space="preserve">28.</w:t>
      </w:r>
      <w:r>
        <w:t xml:space="preserve"> </w:t>
      </w:r>
      <w:r>
        <w:t xml:space="preserve">	</w:t>
      </w:r>
      <w:r>
        <w:t xml:space="preserve">[Online]. Available:</w:t>
      </w:r>
      <w:r>
        <w:t xml:space="preserve"> </w:t>
      </w:r>
      <w:hyperlink r:id="rId89">
        <w:r>
          <w:rPr>
            <w:rStyle w:val="Hyperlink"/>
          </w:rPr>
          <w:t xml:space="preserve">https://www.wkkf.org/resource-directory/resources/2004/01/logic-model-development-guide</w:t>
        </w:r>
      </w:hyperlink>
    </w:p>
    <w:bookmarkEnd w:id="90"/>
    <w:bookmarkStart w:id="92" w:name="ref-pmid:30861395"/>
    <w:p>
      <w:pPr>
        <w:pStyle w:val="Bibliography"/>
      </w:pPr>
      <w:r>
        <w:t xml:space="preserve">29.</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91">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92"/>
    <w:bookmarkStart w:id="94" w:name="ref-doi:10.1016/j.socscimed.2017.03.041"/>
    <w:p>
      <w:pPr>
        <w:pStyle w:val="Bibliography"/>
      </w:pPr>
      <w:r>
        <w:t xml:space="preserve">30.</w:t>
      </w:r>
      <w:r>
        <w:t xml:space="preserve"> </w:t>
      </w:r>
      <w:r>
        <w:t xml:space="preserve">	</w:t>
      </w:r>
      <w:r>
        <w:t xml:space="preserve">Leonard, K.L. and Masatu, M.C. (2017)</w:t>
      </w:r>
      <w:r>
        <w:t xml:space="preserve"> </w:t>
      </w:r>
      <w:hyperlink r:id="rId93">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94"/>
    <w:bookmarkStart w:id="96" w:name="X95f22a201431050b3e5367321fb4ecc35cbc91c"/>
    <w:p>
      <w:pPr>
        <w:pStyle w:val="Bibliography"/>
      </w:pPr>
      <w:r>
        <w:t xml:space="preserve">31.</w:t>
      </w:r>
      <w:r>
        <w:t xml:space="preserve"> </w:t>
      </w:r>
      <w:r>
        <w:t xml:space="preserve">	</w:t>
      </w:r>
      <w:r>
        <w:t xml:space="preserve">NOT-OD-21-013: Final NIH Policy for Data Management and Sharing[Online]. Available:</w:t>
      </w:r>
      <w:r>
        <w:t xml:space="preserve"> </w:t>
      </w:r>
      <w:hyperlink r:id="rId95">
        <w:r>
          <w:rPr>
            <w:rStyle w:val="Hyperlink"/>
          </w:rPr>
          <w:t xml:space="preserve">https://grants.nih.gov/grants/guide/notice-files/NOT-OD-21-013.html</w:t>
        </w:r>
      </w:hyperlink>
      <w:r>
        <w:t xml:space="preserve">. [Accessed: 16-May-2026]</w:t>
      </w:r>
    </w:p>
    <w:bookmarkEnd w:id="96"/>
    <w:bookmarkStart w:id="98" w:name="X999055200295ead81fddf881b6ef724ff612aa1"/>
    <w:p>
      <w:pPr>
        <w:pStyle w:val="Bibliography"/>
      </w:pPr>
      <w:r>
        <w:t xml:space="preserve">32.</w:t>
      </w:r>
      <w:r>
        <w:t xml:space="preserve"> </w:t>
      </w:r>
      <w:r>
        <w:t xml:space="preserve">	</w:t>
      </w:r>
      <w:r>
        <w:t xml:space="preserve">Strategic Road Map[Online]. Available:</w:t>
      </w:r>
      <w:r>
        <w:t xml:space="preserve"> </w:t>
      </w:r>
      <w:hyperlink r:id="rId97">
        <w:r>
          <w:rPr>
            <w:rStyle w:val="Hyperlink"/>
          </w:rPr>
          <w:t xml:space="preserve">https://www.ga4gh.org/about-us/strategic-road-map/</w:t>
        </w:r>
      </w:hyperlink>
      <w:r>
        <w:t xml:space="preserve">. [Accessed: 16-May-2026]</w:t>
      </w:r>
    </w:p>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83" Target="https://commonfund.nih.gov/dataecosystem" TargetMode="External" /><Relationship Type="http://schemas.openxmlformats.org/officeDocument/2006/relationships/hyperlink" Id="rId87" Target="https://doi.org/10.1002/jgf2.736" TargetMode="External" /><Relationship Type="http://schemas.openxmlformats.org/officeDocument/2006/relationships/hyperlink" Id="rId85" Target="https://doi.org/10.1007/s10488-013-0528-y" TargetMode="External" /><Relationship Type="http://schemas.openxmlformats.org/officeDocument/2006/relationships/hyperlink" Id="rId91" Target="https://doi.org/10.1016/j.evalprogplan.2019.02.011" TargetMode="External" /><Relationship Type="http://schemas.openxmlformats.org/officeDocument/2006/relationships/hyperlink" Id="rId93"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39" Target="https://doi.org/10.1038/ng.2653" TargetMode="External" /><Relationship Type="http://schemas.openxmlformats.org/officeDocument/2006/relationships/hyperlink" Id="rId37"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1" Target="https://doi.org/10.1056/nejmsr1809937" TargetMode="External" /><Relationship Type="http://schemas.openxmlformats.org/officeDocument/2006/relationships/hyperlink" Id="rId43" Target="https://doi.org/10.1093/gigascience/giac105" TargetMode="External" /><Relationship Type="http://schemas.openxmlformats.org/officeDocument/2006/relationships/hyperlink" Id="rId79"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81" Target="https://doi.org/10.48550/arxiv.2509.12709" TargetMode="External" /><Relationship Type="http://schemas.openxmlformats.org/officeDocument/2006/relationships/hyperlink" Id="rId45" Target="https://dpcpsi.nih.gov/sites/default/files/Day2-1225PM-Final-Report-CFDE-CoC-WG-HorwitzWilder_.pdf" TargetMode="External" /><Relationship Type="http://schemas.openxmlformats.org/officeDocument/2006/relationships/hyperlink" Id="rId75" Target="https://fairplus.github.io/Data-Maturity/docs/Indicators/" TargetMode="External" /><Relationship Type="http://schemas.openxmlformats.org/officeDocument/2006/relationships/hyperlink" Id="rId95" Target="https://grants.nih.gov/grants/guide/notice-files/NOT-OD-21-013.html" TargetMode="External" /><Relationship Type="http://schemas.openxmlformats.org/officeDocument/2006/relationships/hyperlink" Id="rId97" Target="https://www.ga4gh.org/about-us/strategic-road-map/" TargetMode="External" /><Relationship Type="http://schemas.openxmlformats.org/officeDocument/2006/relationships/hyperlink" Id="rId77" Target="https://www.ncbi.nlm.nih.gov/books/NBK562708/" TargetMode="External" /><Relationship Type="http://schemas.openxmlformats.org/officeDocument/2006/relationships/hyperlink" Id="rId89"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83" Target="https://commonfund.nih.gov/dataecosystem" TargetMode="External" /><Relationship Type="http://schemas.openxmlformats.org/officeDocument/2006/relationships/hyperlink" Id="rId87" Target="https://doi.org/10.1002/jgf2.736" TargetMode="External" /><Relationship Type="http://schemas.openxmlformats.org/officeDocument/2006/relationships/hyperlink" Id="rId85" Target="https://doi.org/10.1007/s10488-013-0528-y" TargetMode="External" /><Relationship Type="http://schemas.openxmlformats.org/officeDocument/2006/relationships/hyperlink" Id="rId91" Target="https://doi.org/10.1016/j.evalprogplan.2019.02.011" TargetMode="External" /><Relationship Type="http://schemas.openxmlformats.org/officeDocument/2006/relationships/hyperlink" Id="rId93"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39" Target="https://doi.org/10.1038/ng.2653" TargetMode="External" /><Relationship Type="http://schemas.openxmlformats.org/officeDocument/2006/relationships/hyperlink" Id="rId37"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1" Target="https://doi.org/10.1056/nejmsr1809937" TargetMode="External" /><Relationship Type="http://schemas.openxmlformats.org/officeDocument/2006/relationships/hyperlink" Id="rId43" Target="https://doi.org/10.1093/gigascience/giac105" TargetMode="External" /><Relationship Type="http://schemas.openxmlformats.org/officeDocument/2006/relationships/hyperlink" Id="rId79"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81" Target="https://doi.org/10.48550/arxiv.2509.12709" TargetMode="External" /><Relationship Type="http://schemas.openxmlformats.org/officeDocument/2006/relationships/hyperlink" Id="rId45" Target="https://dpcpsi.nih.gov/sites/default/files/Day2-1225PM-Final-Report-CFDE-CoC-WG-HorwitzWilder_.pdf" TargetMode="External" /><Relationship Type="http://schemas.openxmlformats.org/officeDocument/2006/relationships/hyperlink" Id="rId75" Target="https://fairplus.github.io/Data-Maturity/docs/Indicators/" TargetMode="External" /><Relationship Type="http://schemas.openxmlformats.org/officeDocument/2006/relationships/hyperlink" Id="rId95" Target="https://grants.nih.gov/grants/guide/notice-files/NOT-OD-21-013.html" TargetMode="External" /><Relationship Type="http://schemas.openxmlformats.org/officeDocument/2006/relationships/hyperlink" Id="rId97" Target="https://www.ga4gh.org/about-us/strategic-road-map/" TargetMode="External" /><Relationship Type="http://schemas.openxmlformats.org/officeDocument/2006/relationships/hyperlink" Id="rId77" Target="https://www.ncbi.nlm.nih.gov/books/NBK562708/" TargetMode="External" /><Relationship Type="http://schemas.openxmlformats.org/officeDocument/2006/relationships/hyperlink" Id="rId89"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Metrics across the lifecycle: a framework for evaluating NIH biomedical data ecosystems</dc:title>
  <dc:creator>Ethan M. Lange; Vikram Adithya Ganesh; Faisal Alquaddoomi; David Mayer; Adriana Ivich; Vince Rubinetti; Casey Greene; Sean Davis</dc:creator>
  <dc:language>en-US</dc:language>
  <cp:keywords>biomedical data ecosystems, research evaluation, FAIR, bibliometrics, NIH Common Fund, data sharing, sustainability</cp:keywords>
  <dcterms:created xsi:type="dcterms:W3CDTF">2026-05-16T21:21:39Z</dcterms:created>
  <dcterms:modified xsi:type="dcterms:W3CDTF">2026-05-16T21:21:39Z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U.S. National Institutes of Health has invested billions of dollars in large-scale biomedical data resources, yet evaluation of these investments has historically been fragmented — each program tracks different metrics in different ways, preventing portfolio-level comparison and informed decision-making.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Critically, we note that the relative importance of each framework shifts predictably across a data resource’s lifecycle — from early infrastructure-building, through active use and impact, to long-term sustainability. Drawing on data from the NIH Common Fund Data Ecosystem (CFDE), we identify gaps in current measurement practice and describe the ICC’s ongoing effort to close them through a centralized dashboard that integrates publication, citation, GitHub, and web analytics data across the portfolio.</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