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Lifecycle-aware evaluation of biomedical data ecosystems</w:t>
      </w:r>
    </w:p>
    <w:p>
      <w:pPr>
        <w:pStyle w:val="Author"/>
      </w:pPr>
      <w:r>
        <w:t xml:space="preserve">Ethan M. Lange</w:t>
      </w:r>
    </w:p>
    <w:p>
      <w:pPr>
        <w:pStyle w:val="Author"/>
      </w:pPr>
      <w:r>
        <w:t xml:space="preserve">Vikram Adithya Ganesh</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Public biomedical data resources have become central scientific</w:t>
      </w:r>
      <w:r>
        <w:t xml:space="preserve"> </w:t>
      </w:r>
      <w:r>
        <w:t xml:space="preserve">infrastructure, but evaluation of these investments is fragmented: each</w:t>
      </w:r>
      <w:r>
        <w:t xml:space="preserve"> </w:t>
      </w:r>
      <w:r>
        <w:t xml:space="preserve">funded program tracks different metrics in different ways, preventing</w:t>
      </w:r>
      <w:r>
        <w:t xml:space="preserve"> </w:t>
      </w:r>
      <w:r>
        <w:t xml:space="preserve">portfolio-level comparison and evidence-driven funding decisions. We</w:t>
      </w:r>
      <w:r>
        <w:t xml:space="preserve"> </w:t>
      </w:r>
      <w:r>
        <w:t xml:space="preserve">construct a structured approach built on three complementary</w:t>
      </w:r>
      <w:r>
        <w:t xml:space="preserve"> </w:t>
      </w:r>
      <w:r>
        <w:t xml:space="preserve">prioritization frameworks:</w:t>
      </w:r>
      <w:r>
        <w:t xml:space="preserve"> </w:t>
      </w:r>
      <w:r>
        <w:rPr>
          <w:i/>
          <w:iCs/>
        </w:rPr>
        <w:t xml:space="preserve">public value</w:t>
      </w:r>
      <w:r>
        <w:t xml:space="preserve"> </w:t>
      </w:r>
      <w:r>
        <w:t xml:space="preserve">(user engagement, citations,</w:t>
      </w:r>
      <w:r>
        <w:t xml:space="preserve"> </w:t>
      </w:r>
      <w:r>
        <w:t xml:space="preserve">funded grants),</w:t>
      </w:r>
      <w:r>
        <w:t xml:space="preserve"> </w:t>
      </w:r>
      <w:r>
        <w:rPr>
          <w:i/>
          <w:iCs/>
        </w:rPr>
        <w:t xml:space="preserve">scientific data quality</w:t>
      </w:r>
      <w:r>
        <w:t xml:space="preserve"> </w:t>
      </w:r>
      <w:r>
        <w:t xml:space="preserve">(metadata completeness, FAIR</w:t>
      </w:r>
      <w:r>
        <w:t xml:space="preserve"> </w:t>
      </w:r>
      <w:r>
        <w:t xml:space="preserve">compliance, data dictionaries), and</w:t>
      </w:r>
      <w:r>
        <w:t xml:space="preserve"> </w:t>
      </w:r>
      <w:r>
        <w:rPr>
          <w:i/>
          <w:iCs/>
        </w:rPr>
        <w:t xml:space="preserve">operations and finance</w:t>
      </w:r>
      <w:r>
        <w:t xml:space="preserve"> </w:t>
      </w:r>
      <w:r>
        <w:t xml:space="preserve">(infrastructure reliability, cost sustainability). The relative weight of</w:t>
      </w:r>
      <w:r>
        <w:t xml:space="preserve"> </w:t>
      </w:r>
      <w:r>
        <w:t xml:space="preserve">each framework shifts predictably across a resource’s lifecycle, and</w:t>
      </w:r>
      <w:r>
        <w:t xml:space="preserve"> </w:t>
      </w:r>
      <w:r>
        <w:t xml:space="preserve">uniform metric panels across phases misallocate funding as a result.</w:t>
      </w:r>
      <w:r>
        <w:t xml:space="preserve"> </w:t>
      </w:r>
      <w:r>
        <w:t xml:space="preserve">Drawing on the NIH Common Fund Data Ecosystem, we describe a</w:t>
      </w:r>
      <w:r>
        <w:t xml:space="preserve"> </w:t>
      </w:r>
      <w:r>
        <w:t xml:space="preserve">portfolio-wide dashboard that operationalizes the framework across 19</w:t>
      </w:r>
      <w:r>
        <w:t xml:space="preserve"> </w:t>
      </w:r>
      <w:r>
        <w:t xml:space="preserve">programs in near real time.</w:t>
      </w:r>
    </w:p>
    <w:p>
      <w:pPr>
        <w:pStyle w:val="FirstParagraph"/>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rPr>
          <w:vertAlign w:val="superscript"/>
        </w:rPr>
        <w:t xml:space="preserve">i</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3" w:name="three-frameworks-one-lifecycle"/>
    <w:p>
      <w:pPr>
        <w:pStyle w:val="Heading3"/>
      </w:pPr>
      <w:r>
        <w:t xml:space="preserve">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[5,6]</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Uniform metric panels across phases misallocate funding in predictable ways; lifecycle-aware weighting is the operating principle that fixes this, not a refinement on top.</w:t>
      </w:r>
    </w:p>
    <w:tbl>
      <w:tblPr>
        <w:tblStyle w:val="Table"/>
        <w:tblW w:type="pct" w:w="5000"/>
        <w:tblLayout w:type="fixed"/>
        <w:tblLook w:firstRow="0" w:lastRow="0" w:firstColumn="0" w:lastColumn="0" w:noHBand="0" w:noVBand="0" w:val="0000"/>
      </w:tblPr>
      <w:tblGrid>
        <w:gridCol w:w="7920"/>
      </w:tblGrid>
      <w:tr>
        <w:tc>
          <w:tcPr/>
          <w:bookmarkStart w:id="12" w:name="fig-lifecycle_curves"/>
          <w:p>
            <w:pPr>
              <w:pStyle w:val="Compact"/>
              <w:jc w:val="center"/>
            </w:pPr>
            <w:r>
              <w:drawing>
                <wp:inline>
                  <wp:extent cx="5334000" cy="3403035"/>
                  <wp:effectExtent b="0" l="0" r="0" t="0"/>
                  <wp:docPr descr="" title="" id="10" name="Picture"/>
                  <a:graphic>
                    <a:graphicData uri="http://schemas.openxmlformats.org/drawingml/2006/picture">
                      <pic:pic>
                        <pic:nvPicPr>
                          <pic:cNvPr descr="content/images/figure1_lifecycle_curves.png" id="11" name="Picture"/>
                          <pic:cNvPicPr>
                            <a:picLocks noChangeArrowheads="1" noChangeAspect="1"/>
                          </pic:cNvPicPr>
                        </pic:nvPicPr>
                        <pic:blipFill>
                          <a:blip r:embed="rId9"/>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2"/>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[7,8]</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3"/>
    <w:bookmarkStart w:id="14" w:name="public-value"/>
    <w:p>
      <w:pPr>
        <w:pStyle w:val="Heading3"/>
      </w:pPr>
      <w:r>
        <w:t xml:space="preserve">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[9]</w:t>
      </w:r>
      <w:r>
        <w:t xml:space="preserve">.</w:t>
      </w:r>
      <w:r>
        <w:t xml:space="preserve"> </w:t>
      </w:r>
      <w:r>
        <w:t xml:space="preserve">Citation counts lag actual use by months to years</w:t>
      </w:r>
      <w:r>
        <w:t xml:space="preserve"> </w:t>
      </w:r>
      <w:r>
        <w:t xml:space="preserve">[10]</w:t>
      </w:r>
      <w:r>
        <w:t xml:space="preserve">, and journal-scoring alternatives that weight by citing-paper properties better capture subject-specific repository impact than raw counts</w:t>
      </w:r>
      <w:r>
        <w:t xml:space="preserve"> </w:t>
      </w:r>
      <w:r>
        <w:t xml:space="preserve">[11]</w:t>
      </w:r>
      <w:r>
        <w:t xml:space="preserve">.</w:t>
      </w:r>
      <w:r>
        <w:t xml:space="preserve"> </w:t>
      </w:r>
      <w:r>
        <w:t xml:space="preserve">The deeper problem is the citation gap: fewer than 30% of secondary analyses formally cite their source data</w:t>
      </w:r>
      <w:r>
        <w:t xml:space="preserve"> </w:t>
      </w:r>
      <w:r>
        <w:t xml:space="preserve">[12]</w:t>
      </w:r>
      <w:r>
        <w:t xml:space="preserve">.</w:t>
      </w:r>
      <w:r>
        <w:t xml:space="preserve"> </w:t>
      </w:r>
      <w:r>
        <w:t xml:space="preserve">Standard bibliometrics therefore systematically understate reuse, and programs that lean on citation counts as their primary impact key performance indicator (KPI) are measuring reach rather than influence.</w:t>
      </w:r>
      <w:r>
        <w:t xml:space="preserve"> </w:t>
      </w:r>
      <w:r>
        <w:t xml:space="preserve">Closing the gap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[12]</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[13]</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[14]</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r>
        <w:t xml:space="preserve"> </w:t>
      </w:r>
      <w:r>
        <w:t xml:space="preserve">Until practice change is measurable, every other public-value metric is at best a leading indicator.</w:t>
      </w:r>
    </w:p>
    <w:bookmarkEnd w:id="14"/>
    <w:bookmarkStart w:id="15" w:name="scientific-quality"/>
    <w:p>
      <w:pPr>
        <w:pStyle w:val="Heading3"/>
      </w:pPr>
      <w:r>
        <w:t xml:space="preserve">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[15]</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[16]</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[17]</w:t>
      </w:r>
      <w:r>
        <w:t xml:space="preserve">, and inclusion in curated ecosystems like Bioconductor</w:t>
      </w:r>
      <w:r>
        <w:t xml:space="preserve"> </w:t>
      </w:r>
      <w:r>
        <w:t xml:space="preserve">[18]</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[19]</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[19]</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[8]</w:t>
      </w:r>
      <w:r>
        <w:t xml:space="preserve"> </w:t>
      </w:r>
      <w:r>
        <w:t xml:space="preserve">is essential for the CFDE, where the volume of metadata prevents manual audit.</w:t>
      </w:r>
      <w:r>
        <w:t xml:space="preserve"> </w:t>
      </w:r>
      <w:r>
        <w:t xml:space="preserve">The FAIRplus Dataset Maturity (FAIRplus-DSM) model</w:t>
      </w:r>
      <w:r>
        <w:t xml:space="preserve"> </w:t>
      </w:r>
      <w:r>
        <w:rPr>
          <w:vertAlign w:val="superscript"/>
        </w:rPr>
        <w:t xml:space="preserve">ii</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[8]</w:t>
      </w:r>
      <w:r>
        <w:t xml:space="preserve">.</w:t>
      </w:r>
      <w:r>
        <w:t xml:space="preserve"> </w:t>
      </w:r>
      <w:r>
        <w:t xml:space="preserve">Manual FAIR audits do not scale to CFDE-sized portfolios; automated second-generation indicators are the difference between a stated FAIR commitment and an inspectable one.</w:t>
      </w:r>
    </w:p>
    <w:bookmarkEnd w:id="15"/>
    <w:bookmarkStart w:id="17" w:name="operations-and-finance"/>
    <w:p>
      <w:pPr>
        <w:pStyle w:val="Heading3"/>
      </w:pPr>
      <w:r>
        <w:t xml:space="preserve">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and 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rPr>
          <w:vertAlign w:val="superscript"/>
        </w:rPr>
        <w:t xml:space="preserve">i</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rPr>
          <w:vertAlign w:val="superscript"/>
        </w:rPr>
        <w:t xml:space="preserve">iii</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[20]</w:t>
      </w:r>
      <w:r>
        <w:t xml:space="preserve">.</w:t>
      </w:r>
    </w:p>
    <w:p>
      <w:pPr>
        <w:pStyle w:val="BodyText"/>
      </w:pPr>
      <w:r>
        <w:t xml:space="preserve">The harder sustainability question is the break-even point for data sharing.</w:t>
      </w:r>
      <w:r>
        <w:t xml:space="preserve"> </w:t>
      </w:r>
      <w:r>
        <w:t xml:space="preserve">Curation costs are borne by data generators while reuse benefits accrue elsewhere — an asymmetry that means aggregate gains can fail to cover aggregate costs even when both are positive.</w:t>
      </w:r>
      <w:r>
        <w:t xml:space="preserve"> </w:t>
      </w:r>
      <w:r>
        <w:t xml:space="preserve">This argues for selective investment in high-value datasets rather than uniform support across the portfolio.</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r>
        <w:t xml:space="preserve">Table</w:t>
      </w:r>
      <w:r>
        <w:t xml:space="preserve"> </w:t>
      </w:r>
      <w:hyperlink w:anchor="tbl-metrics-summary">
        <w:r>
          <w:rPr>
            <w:rStyle w:val="Hyperlink"/>
          </w:rPr>
          <w:t xml:space="preserve">Table 1</w:t>
        </w:r>
      </w:hyperlink>
      <w:r>
        <w:t xml:space="preserve"> </w:t>
      </w:r>
      <w:r>
        <w:t xml:space="preserve">catalogs the metrics across the three frameworks, with collection difficulty, evaluation value, lifecycle phase, and interpretive notes.</w:t>
      </w:r>
    </w:p>
    <w:tbl>
      <w:tblPr>
        <w:tblStyle w:val="Table"/>
        <w:tblW w:type="pct" w:w="5000"/>
        <w:tblLayout w:type="fixed"/>
        <w:tblLook w:firstRow="0" w:lastRow="0" w:firstColumn="0" w:lastColumn="0" w:noHBand="0" w:noVBand="0" w:val="0000"/>
      </w:tblPr>
      <w:tblGrid>
        <w:gridCol w:w="7920"/>
      </w:tblGrid>
      <w:tr>
        <w:tc>
          <w:tcPr/>
          <w:bookmarkStart w:id="16" w:name="tbl-metrics-summary"/>
          <w:p>
            <w:pPr>
              <w:jc w:val="center"/>
            </w:pPr>
            <w:pPr>
              <w:jc w:val="left"/>
              <w:spacing w:before="200"/>
              <w:pStyle w:val="ImageCaption"/>
            </w:pPr>
            <w:r>
              <w:t xml:space="preserve">Table 1: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6"/>
          <w:p/>
        </w:tc>
      </w:tr>
    </w:tbl>
    <w:bookmarkEnd w:id="17"/>
    <w:bookmarkStart w:id="23" w:name="implementation-in-practice"/>
    <w:p>
      <w:pPr>
        <w:pStyle w:val="Heading2"/>
      </w:pPr>
      <w:r>
        <w:t xml:space="preserve">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(Table</w:t>
      </w:r>
      <w:r>
        <w:t xml:space="preserve"> </w:t>
      </w:r>
      <w:hyperlink w:anchor="tbl-metrics-cfde">
        <w:r>
          <w:rPr>
            <w:rStyle w:val="Hyperlink"/>
          </w:rPr>
          <w:t xml:space="preserve">Table 2</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18" w:name="tbl-metrics-cfde"/>
          <w:p>
            <w:pPr>
              <w:jc w:val="center"/>
            </w:pPr>
            <w:pPr>
              <w:jc w:val="left"/>
              <w:spacing w:before="200"/>
              <w:pStyle w:val="ImageCaption"/>
            </w:pPr>
            <w:r>
              <w:t xml:space="preserve">Table 2: Data sources and metrics collected by the CFDE ICC dashboard as of January 2026. This is the subset of the catalog above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18"/>
          <w:p/>
        </w:tc>
      </w:tr>
    </w:tbl>
    <w:p>
      <w:pPr>
        <w:pStyle w:val="BodyText"/>
      </w:pPr>
      <w:r>
        <w:t xml:space="preserve">The dashboard supports project- and portfolio-level views with ORCID-based authentication and role-based access, so teams see their own data while program managers see the full portfolio (Figure</w:t>
      </w:r>
      <w:r>
        <w:t xml:space="preserve">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2" w:name="fig-dashboard"/>
          <w:p>
            <w:pPr>
              <w:pStyle w:val="Compact"/>
              <w:jc w:val="center"/>
            </w:pPr>
            <w:r>
              <w:drawing>
                <wp:inline>
                  <wp:extent cx="5334000" cy="2147548"/>
                  <wp:effectExtent b="0" l="0" r="0" t="0"/>
                  <wp:docPr descr="" title="" id="20" name="Picture"/>
                  <a:graphic>
                    <a:graphicData uri="http://schemas.openxmlformats.org/drawingml/2006/picture">
                      <pic:pic>
                        <pic:nvPicPr>
                          <pic:cNvPr descr="content/images/dashboard_screenshot.png" id="21" name="Picture"/>
                          <pic:cNvPicPr>
                            <a:picLocks noChangeArrowheads="1" noChangeAspect="1"/>
                          </pic:cNvPicPr>
                        </pic:nvPicPr>
                        <pic:blipFill>
                          <a:blip r:embed="rId19"/>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2"/>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[21]</w:t>
      </w:r>
      <w:r>
        <w:t xml:space="preserve"> </w:t>
      </w:r>
      <w:r>
        <w:t xml:space="preserve">add the qualitative dimension that usage statistics cannot capture.</w:t>
      </w:r>
      <w:r>
        <w:t xml:space="preserve"> </w:t>
      </w:r>
      <w:r>
        <w:t xml:space="preserve">The implementation demonstrates that lifecycle-aware portfolio evaluation is operationally tractable at NIH scale, in near real time, with manageable burden on individual projects.</w:t>
      </w:r>
      <w:r>
        <w:t xml:space="preserve"> </w:t>
      </w:r>
      <w:r>
        <w:t xml:space="preserve">The metric set itself is not final, and the working-group structure described below is the mechanism by which it continues to evolve.</w:t>
      </w:r>
    </w:p>
    <w:bookmarkEnd w:id="23"/>
    <w:bookmarkStart w:id="24" w:name="concluding-remarks"/>
    <w:p>
      <w:pPr>
        <w:pStyle w:val="Heading2"/>
      </w:pPr>
      <w:r>
        <w:t xml:space="preserve">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rPr>
          <w:vertAlign w:val="superscript"/>
        </w:rPr>
        <w:t xml:space="preserve">iv</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[22]</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[23]</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rPr>
          <w:vertAlign w:val="superscript"/>
        </w:rPr>
        <w:t xml:space="preserve">v</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[24]</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[25]</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rPr>
          <w:vertAlign w:val="superscript"/>
        </w:rPr>
        <w:t xml:space="preserve">vi</w:t>
      </w:r>
      <w:r>
        <w:t xml:space="preserve">, and the 2023 Data Management and Sharing Policy creates a structural opportunity to establish pre-policy baselines for sharing and reuse — a rare chance to test rigorously whether mandates translate into measurable ecosystem improvements.</w:t>
      </w:r>
      <w:r>
        <w:t xml:space="preserve"> </w:t>
      </w:r>
      <w:r>
        <w:t xml:space="preserve">This window will not last; without pre-policy baselines captured now, the policy’s effect on sharing and reuse can be inferred but not measured.</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rPr>
          <w:vertAlign w:val="superscript"/>
        </w:rPr>
        <w:t xml:space="preserve">vii</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4"/>
    <w:bookmarkStart w:id="25"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5"/>
    <w:bookmarkStart w:id="33" w:name="resources"/>
    <w:p>
      <w:pPr>
        <w:pStyle w:val="Heading2"/>
      </w:pPr>
      <w:r>
        <w:t xml:space="preserve">Resources</w:t>
      </w:r>
    </w:p>
    <w:p>
      <w:pPr>
        <w:pStyle w:val="FirstParagraph"/>
      </w:pPr>
      <w:r>
        <w:rPr>
          <w:vertAlign w:val="superscript"/>
        </w:rPr>
        <w:t xml:space="preserve">i</w:t>
      </w:r>
      <w:r>
        <w:t xml:space="preserve"> </w:t>
      </w:r>
      <w:r>
        <w:t xml:space="preserve">Council of Councils CFDE Working Group, Final Report:</w:t>
      </w:r>
      <w:r>
        <w:t xml:space="preserve"> </w:t>
      </w:r>
      <w:hyperlink r:id="rId26">
        <w:r>
          <w:rPr>
            <w:rStyle w:val="Hyperlink"/>
          </w:rPr>
          <w:t xml:space="preserve">https://dpcpsi.nih.gov/sites/default/files/Day2-1225PM-Final-Report-CFDE-CoC-WG-HorwitzWilder_.pdf</w:t>
        </w:r>
      </w:hyperlink>
    </w:p>
    <w:p>
      <w:pPr>
        <w:pStyle w:val="BodyText"/>
      </w:pPr>
      <w:r>
        <w:rPr>
          <w:vertAlign w:val="superscript"/>
        </w:rPr>
        <w:t xml:space="preserve">ii</w:t>
      </w:r>
      <w:r>
        <w:t xml:space="preserve"> </w:t>
      </w:r>
      <w:r>
        <w:t xml:space="preserve">FAIRplus Dataset Maturity (FAIRplus-DSM) Indicators:</w:t>
      </w:r>
      <w:r>
        <w:t xml:space="preserve"> </w:t>
      </w:r>
      <w:hyperlink r:id="rId27">
        <w:r>
          <w:rPr>
            <w:rStyle w:val="Hyperlink"/>
          </w:rPr>
          <w:t xml:space="preserve">https://fairplus.github.io/Data-Maturity/docs/Indicators</w:t>
        </w:r>
      </w:hyperlink>
    </w:p>
    <w:p>
      <w:pPr>
        <w:pStyle w:val="BodyText"/>
      </w:pPr>
      <w:r>
        <w:rPr>
          <w:vertAlign w:val="superscript"/>
        </w:rPr>
        <w:t xml:space="preserve">iii</w:t>
      </w:r>
      <w:r>
        <w:t xml:space="preserve"> </w:t>
      </w:r>
      <w:r>
        <w:t xml:space="preserve">National Academies, Open Science by Design: Realizing a Vision for 21st Century Research:</w:t>
      </w:r>
      <w:r>
        <w:t xml:space="preserve"> </w:t>
      </w:r>
      <w:hyperlink r:id="rId28">
        <w:r>
          <w:rPr>
            <w:rStyle w:val="Hyperlink"/>
          </w:rPr>
          <w:t xml:space="preserve">https://www.ncbi.nlm.nih.gov/books/NBK562708</w:t>
        </w:r>
      </w:hyperlink>
    </w:p>
    <w:p>
      <w:pPr>
        <w:pStyle w:val="BodyText"/>
      </w:pPr>
      <w:r>
        <w:rPr>
          <w:vertAlign w:val="superscript"/>
        </w:rPr>
        <w:t xml:space="preserve">iv</w:t>
      </w:r>
      <w:r>
        <w:t xml:space="preserve"> </w:t>
      </w:r>
      <w:r>
        <w:t xml:space="preserve">NIH Common Fund Data Ecosystem:</w:t>
      </w:r>
      <w:r>
        <w:t xml:space="preserve"> </w:t>
      </w:r>
      <w:hyperlink r:id="rId29">
        <w:r>
          <w:rPr>
            <w:rStyle w:val="Hyperlink"/>
          </w:rPr>
          <w:t xml:space="preserve">https://commonfund.nih.gov/dataecosystem</w:t>
        </w:r>
      </w:hyperlink>
    </w:p>
    <w:p>
      <w:pPr>
        <w:pStyle w:val="BodyText"/>
      </w:pPr>
      <w:r>
        <w:rPr>
          <w:vertAlign w:val="superscript"/>
        </w:rPr>
        <w:t xml:space="preserve">v</w:t>
      </w:r>
      <w:r>
        <w:t xml:space="preserve"> </w:t>
      </w:r>
      <w:r>
        <w:t xml:space="preserve">W. K. Kellogg Foundation, Logic Model Development Guide:</w:t>
      </w:r>
      <w:r>
        <w:t xml:space="preserve"> </w:t>
      </w:r>
      <w:hyperlink r:id="rId30">
        <w:r>
          <w:rPr>
            <w:rStyle w:val="Hyperlink"/>
          </w:rPr>
          <w:t xml:space="preserve">https://www.wkkf.org/resource-directory/resources/2004/01/logic-model-development-guide</w:t>
        </w:r>
      </w:hyperlink>
    </w:p>
    <w:p>
      <w:pPr>
        <w:pStyle w:val="BodyText"/>
      </w:pPr>
      <w:r>
        <w:rPr>
          <w:vertAlign w:val="superscript"/>
        </w:rPr>
        <w:t xml:space="preserve">vi</w:t>
      </w:r>
      <w:r>
        <w:t xml:space="preserve"> </w:t>
      </w:r>
      <w:r>
        <w:t xml:space="preserve">NIH NOT-OD-21-013 (Final NIH Policy for Data Management and Sharing):</w:t>
      </w:r>
      <w:r>
        <w:t xml:space="preserve"> </w:t>
      </w:r>
      <w:hyperlink r:id="rId31">
        <w:r>
          <w:rPr>
            <w:rStyle w:val="Hyperlink"/>
          </w:rPr>
          <w:t xml:space="preserve">https://grants.nih.gov/grants/guide/notice-files/NOT-OD-21-013.html</w:t>
        </w:r>
      </w:hyperlink>
    </w:p>
    <w:p>
      <w:pPr>
        <w:pStyle w:val="BodyText"/>
      </w:pPr>
      <w:r>
        <w:rPr>
          <w:vertAlign w:val="superscript"/>
        </w:rPr>
        <w:t xml:space="preserve">vii</w:t>
      </w:r>
      <w:r>
        <w:t xml:space="preserve"> </w:t>
      </w:r>
      <w:r>
        <w:t xml:space="preserve">GA4GH Strategic Roadmap:</w:t>
      </w:r>
      <w:r>
        <w:t xml:space="preserve"> </w:t>
      </w:r>
      <w:hyperlink r:id="rId32">
        <w:r>
          <w:rPr>
            <w:rStyle w:val="Hyperlink"/>
          </w:rPr>
          <w:t xml:space="preserve">https://www.ga4gh.org/about-us/strategic-road-map</w:t>
        </w:r>
      </w:hyperlink>
    </w:p>
    <w:bookmarkEnd w:id="33"/>
    <w:bookmarkStart w:id="34" w:name="author-contributions"/>
    <w:p>
      <w:pPr>
        <w:pStyle w:val="Heading2"/>
      </w:pPr>
      <w:r>
        <w:t xml:space="preserve">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4"/>
    <w:bookmarkStart w:id="3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 (Common Fund Data Ecosystem)</w:t>
            </w:r>
            <w:r>
              <w:t xml:space="preserve">: NIH cross-cutting initiative that harmonizes metadata and tooling across 19 Common Fund programs so researchers can find and reuse data across the portfolio.</w:t>
            </w:r>
          </w:p>
          <w:p>
            <w:pPr>
              <w:pStyle w:val="BodyText"/>
            </w:pPr>
            <w:r>
              <w:rPr>
                <w:b/>
                <w:bCs/>
              </w:rPr>
              <w:t xml:space="preserve">CWIC (Cloud Workspace Implementation Center)</w:t>
            </w:r>
            <w:r>
              <w:t xml:space="preserve">: CFDE center providing computational infrastructure for in-place analysis of large-scale shared datasets.</w:t>
            </w:r>
          </w:p>
          <w:p>
            <w:pPr>
              <w:pStyle w:val="BodyText"/>
            </w:pPr>
            <w:r>
              <w:rPr>
                <w:b/>
                <w:bCs/>
              </w:rPr>
              <w:t xml:space="preserve">DMS Policy (NIH Data Management and Sharing Policy)</w:t>
            </w:r>
            <w:r>
              <w:t xml:space="preserve">: The 2023 NIH policy requiring grantees to plan for data sharing, which establishes a pre-policy baseline against which sharing and reuse improvements can be measured.</w:t>
            </w:r>
          </w:p>
          <w:p>
            <w:pPr>
              <w:pStyle w:val="BodyText"/>
            </w:pPr>
            <w:r>
              <w:rPr>
                <w:b/>
                <w:bCs/>
              </w:rPr>
              <w:t xml:space="preserve">DRC (Data Resource Center)</w:t>
            </w:r>
            <w:r>
              <w:t xml:space="preserve">: CFDE center enabling discovery of CFDE data and other resources.</w:t>
            </w:r>
          </w:p>
          <w:p>
            <w:pPr>
              <w:pStyle w:val="BodyText"/>
            </w:pPr>
            <w:r>
              <w:rPr>
                <w:b/>
                <w:bCs/>
              </w:rPr>
              <w:t xml:space="preserve">ELIXIR</w:t>
            </w:r>
            <w:r>
              <w:t xml:space="preserve">: European life-sciences research infrastructure that publishes a ten-metric framework for evaluating bioinformatics software, covering version control, discoverability, automated builds, test data, and documentation.</w:t>
            </w:r>
          </w:p>
          <w:p>
            <w:pPr>
              <w:pStyle w:val="BodyText"/>
            </w:pPr>
            <w:r>
              <w:rPr>
                <w:b/>
                <w:bCs/>
              </w:rPr>
              <w:t xml:space="preserve">FAIR</w:t>
            </w:r>
            <w:r>
              <w:t xml:space="preserve">: Findable, Accessible, Interoperable, Reusable — a widely adopted set of principles for making research data reliably reusable.</w:t>
            </w:r>
          </w:p>
          <w:p>
            <w:pPr>
              <w:pStyle w:val="BodyText"/>
            </w:pPr>
            <w:r>
              <w:rPr>
                <w:b/>
                <w:bCs/>
              </w:rPr>
              <w:t xml:space="preserve">FAIRplus-DSM (FAIRplus Dataset Maturity model)</w:t>
            </w:r>
            <w:r>
              <w:t xml:space="preserve">: Six-level maturity scale that operationalizes the FAIR principles for life-sciences data, from Level 0 (no identifiers, local storage) to Level 5 (enterprise-grade lifecycle management with cross-community provenance).</w:t>
            </w:r>
          </w:p>
          <w:p>
            <w:pPr>
              <w:pStyle w:val="BodyText"/>
            </w:pPr>
            <w:r>
              <w:rPr>
                <w:b/>
                <w:bCs/>
              </w:rPr>
              <w:t xml:space="preserve">GA4GH (Global Alliance for Genomics and Health)</w:t>
            </w:r>
            <w:r>
              <w:t xml:space="preserve">: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ICC (Integration and Coordination Center)</w:t>
            </w:r>
            <w:r>
              <w:t xml:space="preserve">: CFDE center responsible for cross-portfolio coordination, evaluation, and the centralized metrics dashboard described here.</w:t>
            </w:r>
          </w:p>
          <w:p>
            <w:pPr>
              <w:pStyle w:val="BodyText"/>
            </w:pPr>
            <w:r>
              <w:rPr>
                <w:b/>
                <w:bCs/>
              </w:rPr>
              <w:t xml:space="preserve">KC (Knowledge Center)</w:t>
            </w:r>
            <w:r>
              <w:t xml:space="preserve">: CFDE center supporting analyses that yield cross-cutting biological insights through applications and outreach.</w:t>
            </w:r>
          </w:p>
          <w:p>
            <w:pPr>
              <w:pStyle w:val="BodyText"/>
            </w:pPr>
            <w:r>
              <w:rPr>
                <w:b/>
                <w:bCs/>
              </w:rPr>
              <w:t xml:space="preserve">MCDA (Multi-Criteria Decision Analysis)</w:t>
            </w:r>
            <w:r>
              <w:t xml:space="preserve">: A decision-making approach that combines multiple weighted performance dimensions into a single composite score.</w:t>
            </w:r>
          </w:p>
          <w:p>
            <w:pPr>
              <w:pStyle w:val="BodyText"/>
            </w:pPr>
            <w:r>
              <w:rPr>
                <w:b/>
                <w:bCs/>
              </w:rPr>
              <w:t xml:space="preserve">MoSCoW</w:t>
            </w:r>
            <w:r>
              <w:t xml:space="preserve">: Product-management prioritization framework labeling items Must-have, Should-have, Could-have, or Won’t-have.</w:t>
            </w:r>
          </w:p>
          <w:p>
            <w:pPr>
              <w:pStyle w:val="BodyText"/>
            </w:pPr>
            <w:r>
              <w:rPr>
                <w:b/>
                <w:bCs/>
              </w:rPr>
              <w:t xml:space="preserve">PIsCO (Performance Indicators framework for Collection of bioinformatics resource metrics)</w:t>
            </w:r>
            <w:r>
              <w:t xml:space="preserve">: Server-side framework for automated collection and visualization of software-quality metrics, allowing software health data to feed an evaluation dashboard directly.</w:t>
            </w:r>
          </w:p>
          <w:p>
            <w:pPr>
              <w:pStyle w:val="BodyText"/>
            </w:pPr>
            <w:r>
              <w:rPr>
                <w:b/>
                <w:bCs/>
              </w:rPr>
              <w:t xml:space="preserve">RCR (Relative Citation Ratio)</w:t>
            </w:r>
            <w:r>
              <w:t xml:space="preserve">: NIH iCite metric that benchmarks an article’s citation rate against field-specific expectations.</w:t>
            </w:r>
          </w:p>
          <w:p>
            <w:pPr>
              <w:pStyle w:val="BodyText"/>
            </w:pPr>
            <w:r>
              <w:rPr>
                <w:b/>
                <w:bCs/>
              </w:rPr>
              <w:t xml:space="preserve">RDA (Research Data Alliance)</w:t>
            </w:r>
            <w:r>
              <w:t xml:space="preserve">: International community that classifies FAIR indicators by priority (Essential, Important, Useful), providing a tiered roadmap for incremental FAIR improvement.</w:t>
            </w:r>
          </w:p>
          <w:p>
            <w:pPr>
              <w:pStyle w:val="BodyText"/>
            </w:pPr>
            <w:r>
              <w:rPr>
                <w:b/>
                <w:bCs/>
              </w:rPr>
              <w:t xml:space="preserve">RICE (Reach, Impact, Confidence, Effort)</w:t>
            </w:r>
            <w:r>
              <w:t xml:space="preserve">: Product-management prioritization framework that scores candidate work items by Reach × Impact × Confidence / Effort.</w:t>
            </w:r>
          </w:p>
          <w:p>
            <w:pPr>
              <w:pStyle w:val="BodyText"/>
            </w:pPr>
            <w:pPr>
              <w:spacing w:after="16"/>
            </w:pPr>
            <w:r>
              <w:rPr>
                <w:b/>
                <w:bCs/>
              </w:rPr>
              <w:t xml:space="preserve">TC (Training Center)</w:t>
            </w:r>
            <w:r>
              <w:t xml:space="preserve">: CFDE center addressing skills development and the cultural shift required for cloud-based scientific computing.</w:t>
            </w:r>
          </w:p>
          <w:p/>
        </w:tc>
      </w:tr>
    </w:tbl>
    <w:bookmarkEnd w:id="38"/>
    <w:bookmarkStart w:id="88" w:name="references"/>
    <w:p>
      <w:pPr>
        <w:pStyle w:val="Heading1"/>
      </w:pPr>
      <w:r>
        <w:t xml:space="preserve">References</w:t>
      </w:r>
    </w:p>
    <w:bookmarkStart w:id="87" w:name="refs"/>
    <w:bookmarkStart w:id="40" w:name="ref-pmid:24071849"/>
    <w:p>
      <w:pPr>
        <w:pStyle w:val="Bibliography"/>
      </w:pPr>
      <w:r>
        <w:t xml:space="preserve">1.</w:t>
      </w:r>
      <w:r>
        <w:t xml:space="preserve"> </w:t>
      </w:r>
      <w:r>
        <w:t xml:space="preserve">	</w:t>
      </w:r>
      <w:r>
        <w:rPr>
          <w:i/>
          <w:iCs/>
        </w:rPr>
        <w:t xml:space="preserve">et al.</w:t>
      </w:r>
      <w:r>
        <w:t xml:space="preserve"> </w:t>
      </w:r>
      <w:r>
        <w:t xml:space="preserve">(2013)</w:t>
      </w:r>
      <w:r>
        <w:t xml:space="preserve"> </w:t>
      </w:r>
      <w:hyperlink r:id="rId39">
        <w:r>
          <w:rPr>
            <w:rStyle w:val="Hyperlink"/>
          </w:rPr>
          <w:t xml:space="preserve">The Cancer Genome Atlas Pan-Cancer analysis project.</w:t>
        </w:r>
      </w:hyperlink>
      <w:r>
        <w:t xml:space="preserve"> </w:t>
      </w:r>
      <w:r>
        <w:rPr>
          <w:i/>
          <w:iCs/>
        </w:rPr>
        <w:t xml:space="preserve">Nat Genet</w:t>
      </w:r>
      <w:r>
        <w:t xml:space="preserve"> </w:t>
      </w:r>
      <w:r>
        <w:t xml:space="preserve">45, 1113–20</w:t>
      </w:r>
    </w:p>
    <w:bookmarkEnd w:id="40"/>
    <w:bookmarkStart w:id="42" w:name="ref-doi:10.1038/ng.2653"/>
    <w:p>
      <w:pPr>
        <w:pStyle w:val="Bibliography"/>
      </w:pPr>
      <w:r>
        <w:t xml:space="preserve">2.</w:t>
      </w:r>
      <w:r>
        <w:t xml:space="preserve"> </w:t>
      </w:r>
      <w:r>
        <w:t xml:space="preserve">	</w:t>
      </w:r>
      <w:r>
        <w:t xml:space="preserve">Lonsdale, J.</w:t>
      </w:r>
      <w:r>
        <w:t xml:space="preserve"> </w:t>
      </w:r>
      <w:r>
        <w:rPr>
          <w:i/>
          <w:iCs/>
        </w:rPr>
        <w:t xml:space="preserve">et al.</w:t>
      </w:r>
      <w:r>
        <w:t xml:space="preserve"> </w:t>
      </w:r>
      <w:r>
        <w:t xml:space="preserve">(2013)</w:t>
      </w:r>
      <w:r>
        <w:t xml:space="preserve"> </w:t>
      </w:r>
      <w:hyperlink r:id="rId41">
        <w:r>
          <w:rPr>
            <w:rStyle w:val="Hyperlink"/>
          </w:rPr>
          <w:t xml:space="preserve">The Genotype-Tissue Expression (GTEx) project</w:t>
        </w:r>
      </w:hyperlink>
      <w:r>
        <w:t xml:space="preserve">.</w:t>
      </w:r>
      <w:r>
        <w:t xml:space="preserve"> </w:t>
      </w:r>
      <w:r>
        <w:rPr>
          <w:i/>
          <w:iCs/>
        </w:rPr>
        <w:t xml:space="preserve">Nat Genet</w:t>
      </w:r>
      <w:r>
        <w:t xml:space="preserve"> </w:t>
      </w:r>
      <w:r>
        <w:t xml:space="preserve">45, 580–585</w:t>
      </w:r>
    </w:p>
    <w:bookmarkEnd w:id="42"/>
    <w:bookmarkStart w:id="44" w:name="ref-doi:10.1056/NEJMsr1809937"/>
    <w:p>
      <w:pPr>
        <w:pStyle w:val="Bibliography"/>
      </w:pPr>
      <w:r>
        <w:t xml:space="preserve">3.</w:t>
      </w:r>
      <w:r>
        <w:t xml:space="preserve"> </w:t>
      </w:r>
      <w:r>
        <w:t xml:space="preserve">	</w:t>
      </w:r>
      <w:r>
        <w:t xml:space="preserve">(2019)</w:t>
      </w:r>
      <w:r>
        <w:t xml:space="preserve"> </w:t>
      </w:r>
      <w:hyperlink r:id="rId43">
        <w:r>
          <w:rPr>
            <w:rStyle w:val="Hyperlink"/>
          </w:rPr>
          <w:t xml:space="preserve">The</w:t>
        </w:r>
        <w:r>
          <w:rPr>
            <w:rStyle w:val="Hyperlink"/>
          </w:rPr>
          <w:t xml:space="preserve"> </w:t>
        </w:r>
        <w:r>
          <w:rPr>
            <w:rStyle w:val="Hyperlink"/>
          </w:rPr>
          <w:t xml:space="preserve">“All of Us”</w:t>
        </w:r>
        <w:r>
          <w:rPr>
            <w:rStyle w:val="Hyperlink"/>
          </w:rPr>
          <w:t xml:space="preserve"> </w:t>
        </w:r>
        <w:r>
          <w:rPr>
            <w:rStyle w:val="Hyperlink"/>
          </w:rPr>
          <w:t xml:space="preserve">Research Program</w:t>
        </w:r>
      </w:hyperlink>
      <w:r>
        <w:t xml:space="preserve">.</w:t>
      </w:r>
      <w:r>
        <w:t xml:space="preserve"> </w:t>
      </w:r>
      <w:r>
        <w:rPr>
          <w:i/>
          <w:iCs/>
        </w:rPr>
        <w:t xml:space="preserve">N Engl J Med</w:t>
      </w:r>
      <w:r>
        <w:t xml:space="preserve"> </w:t>
      </w:r>
      <w:r>
        <w:t xml:space="preserve">381, 668–676</w:t>
      </w:r>
    </w:p>
    <w:bookmarkEnd w:id="44"/>
    <w:bookmarkStart w:id="46" w:name="ref-doi:10.1093/gigascience/giac105"/>
    <w:p>
      <w:pPr>
        <w:pStyle w:val="Bibliography"/>
      </w:pPr>
      <w:r>
        <w:t xml:space="preserve">4.</w:t>
      </w:r>
      <w:r>
        <w:t xml:space="preserve"> </w:t>
      </w:r>
      <w:r>
        <w:t xml:space="preserve">	</w:t>
      </w:r>
      <w:r>
        <w:t xml:space="preserve">Charbonneau, A.L.</w:t>
      </w:r>
      <w:r>
        <w:t xml:space="preserve"> </w:t>
      </w:r>
      <w:r>
        <w:rPr>
          <w:i/>
          <w:iCs/>
        </w:rPr>
        <w:t xml:space="preserve">et al.</w:t>
      </w:r>
      <w:r>
        <w:t xml:space="preserve"> </w:t>
      </w:r>
      <w:r>
        <w:t xml:space="preserve">(2022)</w:t>
      </w:r>
      <w:r>
        <w:t xml:space="preserve"> </w:t>
      </w:r>
      <w:hyperlink r:id="rId45">
        <w:r>
          <w:rPr>
            <w:rStyle w:val="Hyperlink"/>
          </w:rPr>
          <w:t xml:space="preserve">Making Common Fund data more findable: catalyzing a data ecosystem</w:t>
        </w:r>
      </w:hyperlink>
      <w:r>
        <w:t xml:space="preserve">.</w:t>
      </w:r>
      <w:r>
        <w:t xml:space="preserve"> </w:t>
      </w:r>
      <w:r>
        <w:rPr>
          <w:i/>
          <w:iCs/>
        </w:rPr>
        <w:t xml:space="preserve">GigaScience</w:t>
      </w:r>
      <w:r>
        <w:t xml:space="preserve"> </w:t>
      </w:r>
      <w:r>
        <w:t xml:space="preserve">11</w:t>
      </w:r>
    </w:p>
    <w:bookmarkEnd w:id="46"/>
    <w:bookmarkStart w:id="47" w:name="ref-isbn:9780471465102"/>
    <w:p>
      <w:pPr>
        <w:pStyle w:val="Bibliography"/>
      </w:pPr>
      <w:r>
        <w:t xml:space="preserve">5.</w:t>
      </w:r>
      <w:r>
        <w:t xml:space="preserve"> </w:t>
      </w:r>
      <w:r>
        <w:t xml:space="preserve">	</w:t>
      </w:r>
      <w:r>
        <w:t xml:space="preserve">Keeney, R.L. and Raiffa, H. (1976)</w:t>
      </w:r>
      <w:r>
        <w:t xml:space="preserve"> </w:t>
      </w:r>
      <w:r>
        <w:rPr>
          <w:i/>
          <w:iCs/>
        </w:rPr>
        <w:t xml:space="preserve">Decisions with multiple objectives: preferences and value tradeoffs</w:t>
      </w:r>
      <w:r>
        <w:t xml:space="preserve">, Wiley</w:t>
      </w:r>
    </w:p>
    <w:bookmarkEnd w:id="47"/>
    <w:bookmarkStart w:id="48" w:name="ref-isbn:9780792375067"/>
    <w:p>
      <w:pPr>
        <w:pStyle w:val="Bibliography"/>
      </w:pPr>
      <w:r>
        <w:t xml:space="preserve">6.</w:t>
      </w:r>
      <w:r>
        <w:t xml:space="preserve"> </w:t>
      </w:r>
      <w:r>
        <w:t xml:space="preserve">	</w:t>
      </w:r>
      <w:r>
        <w:t xml:space="preserve">Eloff, J.H.P., ed. (2001)</w:t>
      </w:r>
      <w:r>
        <w:t xml:space="preserve"> </w:t>
      </w:r>
      <w:r>
        <w:rPr>
          <w:i/>
          <w:i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Kluwer Academic Publishers</w:t>
      </w:r>
    </w:p>
    <w:bookmarkEnd w:id="48"/>
    <w:bookmarkStart w:id="50" w:name="ref-doi:10.1038/sdata.2016.18"/>
    <w:p>
      <w:pPr>
        <w:pStyle w:val="Bibliography"/>
      </w:pPr>
      <w:r>
        <w:t xml:space="preserve">7.</w:t>
      </w:r>
      <w:r>
        <w:t xml:space="preserve"> </w:t>
      </w:r>
      <w:r>
        <w:t xml:space="preserve">	</w:t>
      </w:r>
      <w:r>
        <w:t xml:space="preserve">Wilkinson, M.D.</w:t>
      </w:r>
      <w:r>
        <w:t xml:space="preserve"> </w:t>
      </w:r>
      <w:r>
        <w:rPr>
          <w:i/>
          <w:iCs/>
        </w:rPr>
        <w:t xml:space="preserve">et al.</w:t>
      </w:r>
      <w:r>
        <w:t xml:space="preserve"> </w:t>
      </w:r>
      <w:r>
        <w:t xml:space="preserve">(2016)</w:t>
      </w:r>
      <w:r>
        <w:t xml:space="preserve"> </w:t>
      </w:r>
      <w:hyperlink r:id="rId49">
        <w:r>
          <w:rPr>
            <w:rStyle w:val="Hyperlink"/>
          </w:rPr>
          <w:t xml:space="preserve">The FAIR Guiding Principles for scientific data management and stewardship</w:t>
        </w:r>
      </w:hyperlink>
      <w:r>
        <w:t xml:space="preserve">.</w:t>
      </w:r>
      <w:r>
        <w:t xml:space="preserve"> </w:t>
      </w:r>
      <w:r>
        <w:rPr>
          <w:i/>
          <w:iCs/>
        </w:rPr>
        <w:t xml:space="preserve">Sci Data</w:t>
      </w:r>
      <w:r>
        <w:t xml:space="preserve"> </w:t>
      </w:r>
      <w:r>
        <w:t xml:space="preserve">3</w:t>
      </w:r>
    </w:p>
    <w:bookmarkEnd w:id="50"/>
    <w:bookmarkStart w:id="52" w:name="ref-doi:10.1038/sdata.2018.118"/>
    <w:p>
      <w:pPr>
        <w:pStyle w:val="Bibliography"/>
      </w:pPr>
      <w:r>
        <w:t xml:space="preserve">8.</w:t>
      </w:r>
      <w:r>
        <w:t xml:space="preserve"> </w:t>
      </w:r>
      <w:r>
        <w:t xml:space="preserve">	</w:t>
      </w:r>
      <w:r>
        <w:t xml:space="preserve">Wilkinson, M.D.</w:t>
      </w:r>
      <w:r>
        <w:t xml:space="preserve"> </w:t>
      </w:r>
      <w:r>
        <w:rPr>
          <w:i/>
          <w:iCs/>
        </w:rPr>
        <w:t xml:space="preserve">et al.</w:t>
      </w:r>
      <w:r>
        <w:t xml:space="preserve"> </w:t>
      </w:r>
      <w:r>
        <w:t xml:space="preserve">(2018)</w:t>
      </w:r>
      <w:r>
        <w:t xml:space="preserve"> </w:t>
      </w:r>
      <w:hyperlink r:id="rId51">
        <w:r>
          <w:rPr>
            <w:rStyle w:val="Hyperlink"/>
          </w:rPr>
          <w:t xml:space="preserve">A design framework and exemplar metrics for FAIRness</w:t>
        </w:r>
      </w:hyperlink>
      <w:r>
        <w:t xml:space="preserve">.</w:t>
      </w:r>
      <w:r>
        <w:t xml:space="preserve"> </w:t>
      </w:r>
      <w:r>
        <w:rPr>
          <w:i/>
          <w:iCs/>
        </w:rPr>
        <w:t xml:space="preserve">Sci Data</w:t>
      </w:r>
      <w:r>
        <w:t xml:space="preserve"> </w:t>
      </w:r>
      <w:r>
        <w:t xml:space="preserve">5</w:t>
      </w:r>
    </w:p>
    <w:bookmarkEnd w:id="52"/>
    <w:bookmarkStart w:id="54" w:name="ref-doi:10.1371/journal.pone.0311493"/>
    <w:p>
      <w:pPr>
        <w:pStyle w:val="Bibliography"/>
      </w:pPr>
      <w:r>
        <w:t xml:space="preserve">9.</w:t>
      </w:r>
      <w:r>
        <w:t xml:space="preserve"> </w:t>
      </w:r>
      <w:r>
        <w:t xml:space="preserve">	</w:t>
      </w:r>
      <w:r>
        <w:t xml:space="preserve">Colavizza, G.</w:t>
      </w:r>
      <w:r>
        <w:t xml:space="preserve"> </w:t>
      </w:r>
      <w:r>
        <w:rPr>
          <w:i/>
          <w:iCs/>
        </w:rPr>
        <w:t xml:space="preserve">et al.</w:t>
      </w:r>
      <w:r>
        <w:t xml:space="preserve"> </w:t>
      </w:r>
      <w:r>
        <w:t xml:space="preserve">(2024)</w:t>
      </w:r>
      <w:r>
        <w:t xml:space="preserve"> </w:t>
      </w:r>
      <w:hyperlink r:id="rId53">
        <w:r>
          <w:rPr>
            <w:rStyle w:val="Hyperlink"/>
          </w:rPr>
          <w:t xml:space="preserve">An analysis of the effects of sharing research data, code, and preprints on citations</w:t>
        </w:r>
      </w:hyperlink>
      <w:r>
        <w:t xml:space="preserve">.</w:t>
      </w:r>
      <w:r>
        <w:t xml:space="preserve"> </w:t>
      </w:r>
      <w:r>
        <w:rPr>
          <w:i/>
          <w:iCs/>
        </w:rPr>
        <w:t xml:space="preserve">PLoS ONE</w:t>
      </w:r>
      <w:r>
        <w:t xml:space="preserve"> </w:t>
      </w:r>
      <w:r>
        <w:t xml:space="preserve">19, e0311493</w:t>
      </w:r>
    </w:p>
    <w:bookmarkEnd w:id="54"/>
    <w:bookmarkStart w:id="56" w:name="ref-doi:10.1038/520429a"/>
    <w:p>
      <w:pPr>
        <w:pStyle w:val="Bibliography"/>
      </w:pPr>
      <w:r>
        <w:t xml:space="preserve">10.</w:t>
      </w:r>
      <w:r>
        <w:t xml:space="preserve"> </w:t>
      </w:r>
      <w:r>
        <w:t xml:space="preserve">	</w:t>
      </w:r>
      <w:r>
        <w:t xml:space="preserve">Hicks, D.</w:t>
      </w:r>
      <w:r>
        <w:t xml:space="preserve"> </w:t>
      </w:r>
      <w:r>
        <w:rPr>
          <w:i/>
          <w:iCs/>
        </w:rPr>
        <w:t xml:space="preserve">et al.</w:t>
      </w:r>
      <w:r>
        <w:t xml:space="preserve"> </w:t>
      </w:r>
      <w:r>
        <w:t xml:space="preserve">(2015)</w:t>
      </w:r>
      <w:r>
        <w:t xml:space="preserve"> </w:t>
      </w:r>
      <w:hyperlink r:id="rId55">
        <w:r>
          <w:rPr>
            <w:rStyle w:val="Hyperlink"/>
          </w:rPr>
          <w:t xml:space="preserve">Bibliometrics: The Leiden Manifesto for research metrics</w:t>
        </w:r>
      </w:hyperlink>
      <w:r>
        <w:t xml:space="preserve">.</w:t>
      </w:r>
      <w:r>
        <w:t xml:space="preserve"> </w:t>
      </w:r>
      <w:r>
        <w:rPr>
          <w:i/>
          <w:iCs/>
        </w:rPr>
        <w:t xml:space="preserve">Nature</w:t>
      </w:r>
      <w:r>
        <w:t xml:space="preserve"> </w:t>
      </w:r>
      <w:r>
        <w:t xml:space="preserve">520, 429–431</w:t>
      </w:r>
    </w:p>
    <w:bookmarkEnd w:id="56"/>
    <w:bookmarkStart w:id="58" w:name="ref-doi:10.4103/1008-682X.171582"/>
    <w:p>
      <w:pPr>
        <w:pStyle w:val="Bibliography"/>
      </w:pPr>
      <w:r>
        <w:t xml:space="preserve">11.</w:t>
      </w:r>
      <w:r>
        <w:t xml:space="preserve"> </w:t>
      </w:r>
      <w:r>
        <w:t xml:space="preserve">	</w:t>
      </w:r>
      <w:r>
        <w:t xml:space="preserve">Agarwal, A.</w:t>
      </w:r>
      <w:r>
        <w:t xml:space="preserve"> </w:t>
      </w:r>
      <w:r>
        <w:rPr>
          <w:i/>
          <w:iCs/>
        </w:rPr>
        <w:t xml:space="preserve">et al.</w:t>
      </w:r>
      <w:r>
        <w:t xml:space="preserve"> </w:t>
      </w:r>
      <w:r>
        <w:t xml:space="preserve">(2016)</w:t>
      </w:r>
      <w:r>
        <w:t xml:space="preserve"> </w:t>
      </w:r>
      <w:hyperlink r:id="rId57">
        <w:r>
          <w:rPr>
            <w:rStyle w:val="Hyperlink"/>
          </w:rPr>
          <w:t xml:space="preserve">Bibliometrics: tracking research impact by selecting the appropriate metrics</w:t>
        </w:r>
      </w:hyperlink>
      <w:r>
        <w:t xml:space="preserve">.</w:t>
      </w:r>
      <w:r>
        <w:t xml:space="preserve"> </w:t>
      </w:r>
      <w:r>
        <w:rPr>
          <w:i/>
          <w:iCs/>
        </w:rPr>
        <w:t xml:space="preserve">Asian J Androl</w:t>
      </w:r>
      <w:r>
        <w:t xml:space="preserve"> </w:t>
      </w:r>
      <w:r>
        <w:t xml:space="preserve">18, 296</w:t>
      </w:r>
    </w:p>
    <w:bookmarkEnd w:id="58"/>
    <w:bookmarkStart w:id="60" w:name="ref-doi:10.1101/2023.09.12.557386"/>
    <w:p>
      <w:pPr>
        <w:pStyle w:val="Bibliography"/>
      </w:pPr>
      <w:r>
        <w:t xml:space="preserve">12.</w:t>
      </w:r>
      <w:r>
        <w:t xml:space="preserve"> </w:t>
      </w:r>
      <w:r>
        <w:t xml:space="preserve">	</w:t>
      </w:r>
      <w:r>
        <w:t xml:space="preserve">Emissah, H.</w:t>
      </w:r>
      <w:r>
        <w:t xml:space="preserve"> </w:t>
      </w:r>
      <w:r>
        <w:rPr>
          <w:i/>
          <w:iCs/>
        </w:rPr>
        <w:t xml:space="preserve">et al.</w:t>
      </w:r>
      <w:r>
        <w:t xml:space="preserve"> </w:t>
      </w:r>
      <w:r>
        <w:t xml:space="preserve">(2023)</w:t>
      </w:r>
      <w:r>
        <w:t xml:space="preserve"> </w:t>
      </w:r>
      <w:hyperlink r:id="rId59">
        <w:r>
          <w:rPr>
            <w:rStyle w:val="Hyperlink"/>
          </w:rPr>
          <w:t xml:space="preserve">Bibliometric analysis of neuroscience publications quantifies the impact of data sharing</w:t>
        </w:r>
      </w:hyperlink>
      <w:r>
        <w:t xml:space="preserve">openRxiv</w:t>
      </w:r>
    </w:p>
    <w:bookmarkEnd w:id="60"/>
    <w:bookmarkStart w:id="62" w:name="ref-doi:10.2196/63544"/>
    <w:p>
      <w:pPr>
        <w:pStyle w:val="Bibliography"/>
      </w:pPr>
      <w:r>
        <w:t xml:space="preserve">13.</w:t>
      </w:r>
      <w:r>
        <w:t xml:space="preserve"> </w:t>
      </w:r>
      <w:r>
        <w:t xml:space="preserve">	</w:t>
      </w:r>
      <w:r>
        <w:t xml:space="preserve">Wang, D. and Liu, Y. (2025)</w:t>
      </w:r>
      <w:r>
        <w:t xml:space="preserve"> </w:t>
      </w:r>
      <w:hyperlink r:id="rId61">
        <w:r>
          <w:rPr>
            <w:rStyle w:val="Hyperlink"/>
          </w:rPr>
          <w:t xml:space="preserve">Medical Science Data Value Evaluation Model: Mixed Methods Study</w:t>
        </w:r>
      </w:hyperlink>
      <w:r>
        <w:t xml:space="preserve">.</w:t>
      </w:r>
      <w:r>
        <w:t xml:space="preserve"> </w:t>
      </w:r>
      <w:r>
        <w:rPr>
          <w:i/>
          <w:iCs/>
        </w:rPr>
        <w:t xml:space="preserve">JMIR Med Inform</w:t>
      </w:r>
      <w:r>
        <w:t xml:space="preserve"> </w:t>
      </w:r>
      <w:r>
        <w:t xml:space="preserve">13, e63544–e63544</w:t>
      </w:r>
    </w:p>
    <w:bookmarkEnd w:id="62"/>
    <w:bookmarkStart w:id="64" w:name="ref-doi:10.15265/IY-2014-0020"/>
    <w:p>
      <w:pPr>
        <w:pStyle w:val="Bibliography"/>
      </w:pPr>
      <w:r>
        <w:t xml:space="preserve">14.</w:t>
      </w:r>
      <w:r>
        <w:t xml:space="preserve"> </w:t>
      </w:r>
      <w:r>
        <w:t xml:space="preserve">	</w:t>
      </w:r>
      <w:r>
        <w:t xml:space="preserve">Verspoor, K. and Martin-Sanchez, F. (2014)</w:t>
      </w:r>
      <w:r>
        <w:t xml:space="preserve"> </w:t>
      </w:r>
      <w:hyperlink r:id="rId63">
        <w:r>
          <w:rPr>
            <w:rStyle w:val="Hyperlink"/>
          </w:rPr>
          <w:t xml:space="preserve">Big Data in Medicine Is Driving Big Changes</w:t>
        </w:r>
      </w:hyperlink>
      <w:r>
        <w:t xml:space="preserve">.</w:t>
      </w:r>
      <w:r>
        <w:t xml:space="preserve"> </w:t>
      </w:r>
      <w:r>
        <w:rPr>
          <w:i/>
          <w:iCs/>
        </w:rPr>
        <w:t xml:space="preserve">Yearb Med Inform</w:t>
      </w:r>
      <w:r>
        <w:t xml:space="preserve"> </w:t>
      </w:r>
      <w:r>
        <w:t xml:space="preserve">23, 14–20</w:t>
      </w:r>
    </w:p>
    <w:bookmarkEnd w:id="64"/>
    <w:bookmarkStart w:id="66" w:name="ref-doi:10.1371/journal.pone.0229003"/>
    <w:p>
      <w:pPr>
        <w:pStyle w:val="Bibliography"/>
      </w:pPr>
      <w:r>
        <w:t xml:space="preserve">15.</w:t>
      </w:r>
      <w:r>
        <w:t xml:space="preserve"> </w:t>
      </w:r>
      <w:r>
        <w:t xml:space="preserve">	</w:t>
      </w:r>
      <w:r>
        <w:t xml:space="preserve">Tenopir, C.</w:t>
      </w:r>
      <w:r>
        <w:t xml:space="preserve"> </w:t>
      </w:r>
      <w:r>
        <w:rPr>
          <w:i/>
          <w:iCs/>
        </w:rPr>
        <w:t xml:space="preserve">et al.</w:t>
      </w:r>
      <w:r>
        <w:t xml:space="preserve"> </w:t>
      </w:r>
      <w:r>
        <w:t xml:space="preserve">(2020)</w:t>
      </w:r>
      <w:r>
        <w:t xml:space="preserve"> </w:t>
      </w:r>
      <w:hyperlink r:id="rId65">
        <w:r>
          <w:rPr>
            <w:rStyle w:val="Hyperlink"/>
          </w:rPr>
          <w:t xml:space="preserve">Data sharing, management, use, and reuse: Practices and perceptions of scientists worldwide</w:t>
        </w:r>
      </w:hyperlink>
      <w:r>
        <w:t xml:space="preserve">.</w:t>
      </w:r>
      <w:r>
        <w:t xml:space="preserve"> </w:t>
      </w:r>
      <w:r>
        <w:rPr>
          <w:i/>
          <w:iCs/>
        </w:rPr>
        <w:t xml:space="preserve">PLoS ONE</w:t>
      </w:r>
      <w:r>
        <w:t xml:space="preserve"> </w:t>
      </w:r>
      <w:r>
        <w:t xml:space="preserve">15, e0229003</w:t>
      </w:r>
    </w:p>
    <w:bookmarkEnd w:id="66"/>
    <w:bookmarkStart w:id="68" w:name="ref-doi:10.15585/mmwr.su7303a1"/>
    <w:p>
      <w:pPr>
        <w:pStyle w:val="Bibliography"/>
      </w:pPr>
      <w:r>
        <w:t xml:space="preserve">16.</w:t>
      </w:r>
      <w:r>
        <w:t xml:space="preserve"> </w:t>
      </w:r>
      <w:r>
        <w:t xml:space="preserve">	</w:t>
      </w:r>
      <w:r>
        <w:t xml:space="preserve">El Burai Felix, S.</w:t>
      </w:r>
      <w:r>
        <w:t xml:space="preserve"> </w:t>
      </w:r>
      <w:r>
        <w:rPr>
          <w:i/>
          <w:iCs/>
        </w:rPr>
        <w:t xml:space="preserve">et al.</w:t>
      </w:r>
      <w:r>
        <w:t xml:space="preserve"> </w:t>
      </w:r>
      <w:r>
        <w:t xml:space="preserve">(2024)</w:t>
      </w:r>
      <w:r>
        <w:t xml:space="preserve"> </w:t>
      </w:r>
      <w:hyperlink r:id="rId67">
        <w:r>
          <w:rPr>
            <w:rStyle w:val="Hyperlink"/>
          </w:rPr>
          <w:t xml:space="preserve">A Standard Framework for Evaluating Large Health Care Data and Related Resources</w:t>
        </w:r>
      </w:hyperlink>
      <w:r>
        <w:t xml:space="preserve">.</w:t>
      </w:r>
      <w:r>
        <w:t xml:space="preserve"> </w:t>
      </w:r>
      <w:r>
        <w:rPr>
          <w:i/>
          <w:iCs/>
        </w:rPr>
        <w:t xml:space="preserve">MMWR Suppl.</w:t>
      </w:r>
      <w:r>
        <w:t xml:space="preserve"> </w:t>
      </w:r>
      <w:r>
        <w:t xml:space="preserve">73, 1–13</w:t>
      </w:r>
    </w:p>
    <w:bookmarkEnd w:id="68"/>
    <w:bookmarkStart w:id="70" w:name="ref-doi:10.1038/nbt.3780"/>
    <w:p>
      <w:pPr>
        <w:pStyle w:val="Bibliography"/>
      </w:pPr>
      <w:r>
        <w:t xml:space="preserve">17.</w:t>
      </w:r>
      <w:r>
        <w:t xml:space="preserve"> </w:t>
      </w:r>
      <w:r>
        <w:t xml:space="preserve">	</w:t>
      </w:r>
      <w:r>
        <w:t xml:space="preserve">Beaulieu-Jones, B.K. and Greene, C.S. (2017)</w:t>
      </w:r>
      <w:r>
        <w:t xml:space="preserve"> </w:t>
      </w:r>
      <w:hyperlink r:id="rId69">
        <w:r>
          <w:rPr>
            <w:rStyle w:val="Hyperlink"/>
          </w:rPr>
          <w:t xml:space="preserve">Reproducibility of computational workflows is automated using continuous analysis</w:t>
        </w:r>
      </w:hyperlink>
      <w:r>
        <w:t xml:space="preserve">.</w:t>
      </w:r>
      <w:r>
        <w:t xml:space="preserve"> </w:t>
      </w:r>
      <w:r>
        <w:rPr>
          <w:i/>
          <w:iCs/>
        </w:rPr>
        <w:t xml:space="preserve">Nat Biotechnol</w:t>
      </w:r>
      <w:r>
        <w:t xml:space="preserve"> </w:t>
      </w:r>
      <w:r>
        <w:t xml:space="preserve">35, 342–346</w:t>
      </w:r>
    </w:p>
    <w:bookmarkEnd w:id="70"/>
    <w:bookmarkStart w:id="72" w:name="ref-doi:10.1186/gb-2004-5-10-r80"/>
    <w:p>
      <w:pPr>
        <w:pStyle w:val="Bibliography"/>
      </w:pPr>
      <w:r>
        <w:t xml:space="preserve">18.</w:t>
      </w:r>
      <w:r>
        <w:t xml:space="preserve"> </w:t>
      </w:r>
      <w:r>
        <w:t xml:space="preserve">	</w:t>
      </w:r>
      <w:r>
        <w:t xml:space="preserve">Gentleman, R.C.</w:t>
      </w:r>
      <w:r>
        <w:t xml:space="preserve"> </w:t>
      </w:r>
      <w:r>
        <w:rPr>
          <w:i/>
          <w:iCs/>
        </w:rPr>
        <w:t xml:space="preserve">et al.</w:t>
      </w:r>
      <w:r>
        <w:t xml:space="preserve"> </w:t>
      </w:r>
      <w:r>
        <w:t xml:space="preserve">(2004)</w:t>
      </w:r>
      <w:r>
        <w:t xml:space="preserve"> </w:t>
      </w:r>
      <w:hyperlink r:id="rId71">
        <w:r>
          <w:rPr>
            <w:rStyle w:val="Hyperlink"/>
          </w:rPr>
          <w:t xml:space="preserve">Bioconductor: open software development for computational biology and bioinformatics</w:t>
        </w:r>
      </w:hyperlink>
      <w:r>
        <w:t xml:space="preserve">.</w:t>
      </w:r>
      <w:r>
        <w:t xml:space="preserve"> </w:t>
      </w:r>
      <w:r>
        <w:rPr>
          <w:i/>
          <w:iCs/>
        </w:rPr>
        <w:t xml:space="preserve">Genome Biol</w:t>
      </w:r>
      <w:r>
        <w:t xml:space="preserve"> </w:t>
      </w:r>
      <w:r>
        <w:t xml:space="preserve">5</w:t>
      </w:r>
    </w:p>
    <w:bookmarkEnd w:id="72"/>
    <w:bookmarkStart w:id="74" w:name="ref-doi:10.12688/f1000research.9206.1"/>
    <w:p>
      <w:pPr>
        <w:pStyle w:val="Bibliography"/>
      </w:pPr>
      <w:r>
        <w:t xml:space="preserve">19.</w:t>
      </w:r>
      <w:r>
        <w:t xml:space="preserve"> </w:t>
      </w:r>
      <w:r>
        <w:t xml:space="preserve">	</w:t>
      </w:r>
      <w:r>
        <w:t xml:space="preserve">Artaza, H.</w:t>
      </w:r>
      <w:r>
        <w:t xml:space="preserve"> </w:t>
      </w:r>
      <w:r>
        <w:rPr>
          <w:i/>
          <w:iCs/>
        </w:rPr>
        <w:t xml:space="preserve">et al.</w:t>
      </w:r>
      <w:r>
        <w:t xml:space="preserve"> </w:t>
      </w:r>
      <w:r>
        <w:t xml:space="preserve">(2016)</w:t>
      </w:r>
      <w:r>
        <w:t xml:space="preserve"> </w:t>
      </w:r>
      <w:hyperlink r:id="rId73">
        <w:r>
          <w:rPr>
            <w:rStyle w:val="Hyperlink"/>
          </w:rPr>
          <w:t xml:space="preserve">Top 10 metrics for life science software good practices</w:t>
        </w:r>
      </w:hyperlink>
      <w:r>
        <w:t xml:space="preserve">.</w:t>
      </w:r>
      <w:r>
        <w:t xml:space="preserve"> </w:t>
      </w:r>
      <w:r>
        <w:rPr>
          <w:i/>
          <w:iCs/>
        </w:rPr>
        <w:t xml:space="preserve">F1000Res</w:t>
      </w:r>
      <w:r>
        <w:t xml:space="preserve"> </w:t>
      </w:r>
      <w:r>
        <w:t xml:space="preserve">5, 2000</w:t>
      </w:r>
    </w:p>
    <w:bookmarkEnd w:id="74"/>
    <w:bookmarkStart w:id="76" w:name="ref-doi:10.1093/jamia/ocab278"/>
    <w:p>
      <w:pPr>
        <w:pStyle w:val="Bibliography"/>
      </w:pPr>
      <w:r>
        <w:t xml:space="preserve">20.</w:t>
      </w:r>
      <w:r>
        <w:t xml:space="preserve"> </w:t>
      </w:r>
      <w:r>
        <w:t xml:space="preserve">	</w:t>
      </w:r>
      <w:r>
        <w:t xml:space="preserve">Kahn, M.G.</w:t>
      </w:r>
      <w:r>
        <w:t xml:space="preserve"> </w:t>
      </w:r>
      <w:r>
        <w:rPr>
          <w:i/>
          <w:iCs/>
        </w:rPr>
        <w:t xml:space="preserve">et al.</w:t>
      </w:r>
      <w:r>
        <w:t xml:space="preserve"> </w:t>
      </w:r>
      <w:r>
        <w:t xml:space="preserve">(2021)</w:t>
      </w:r>
      <w:r>
        <w:t xml:space="preserve"> </w:t>
      </w:r>
      <w:hyperlink r:id="rId75">
        <w:r>
          <w:rPr>
            <w:rStyle w:val="Hyperlink"/>
          </w:rPr>
          <w:t xml:space="preserve">Migrating a research data warehouse to a public cloud: challenges and opportunities</w:t>
        </w:r>
      </w:hyperlink>
      <w:r>
        <w:t xml:space="preserve">.</w:t>
      </w:r>
      <w:r>
        <w:t xml:space="preserve"> </w:t>
      </w:r>
      <w:r>
        <w:rPr>
          <w:i/>
          <w:iCs/>
        </w:rPr>
        <w:t xml:space="preserve">Journal of the American Medical Informatics Association</w:t>
      </w:r>
      <w:r>
        <w:t xml:space="preserve"> </w:t>
      </w:r>
      <w:r>
        <w:t xml:space="preserve">29, 592–600</w:t>
      </w:r>
    </w:p>
    <w:bookmarkEnd w:id="76"/>
    <w:bookmarkStart w:id="78" w:name="ref-doi:10.48550/arXiv.2509.12709"/>
    <w:p>
      <w:pPr>
        <w:pStyle w:val="Bibliography"/>
      </w:pPr>
      <w:r>
        <w:t xml:space="preserve">21.</w:t>
      </w:r>
      <w:r>
        <w:t xml:space="preserve"> </w:t>
      </w:r>
      <w:r>
        <w:t xml:space="preserve">	</w:t>
      </w:r>
      <w:r>
        <w:t xml:space="preserve">Zhang, H.</w:t>
      </w:r>
      <w:r>
        <w:t xml:space="preserve"> </w:t>
      </w:r>
      <w:r>
        <w:rPr>
          <w:i/>
          <w:iCs/>
        </w:rPr>
        <w:t xml:space="preserve">et al.</w:t>
      </w:r>
      <w:r>
        <w:t xml:space="preserve"> </w:t>
      </w:r>
      <w:r>
        <w:t xml:space="preserve">(2025)</w:t>
      </w:r>
      <w:r>
        <w:t xml:space="preserve"> </w:t>
      </w:r>
      <w:hyperlink r:id="rId77">
        <w:r>
          <w:rPr>
            <w:rStyle w:val="Hyperlink"/>
          </w:rPr>
          <w:t xml:space="preserve">Harnessing the Power of AI in Qualitative Research: Role Assignment, Engagement, and User Perceptions of AI-Generated Follow-Up Questions in Semi-Structured Interviews</w:t>
        </w:r>
      </w:hyperlink>
      <w:r>
        <w:t xml:space="preserve">arXiv</w:t>
      </w:r>
    </w:p>
    <w:bookmarkEnd w:id="78"/>
    <w:bookmarkStart w:id="80" w:name="ref-doi:10.1007/s10488-013-0528-y"/>
    <w:p>
      <w:pPr>
        <w:pStyle w:val="Bibliography"/>
      </w:pPr>
      <w:r>
        <w:t xml:space="preserve">22.</w:t>
      </w:r>
      <w:r>
        <w:t xml:space="preserve"> </w:t>
      </w:r>
      <w:r>
        <w:t xml:space="preserve">	</w:t>
      </w:r>
      <w:r>
        <w:t xml:space="preserve">Palinkas, L.A.</w:t>
      </w:r>
      <w:r>
        <w:t xml:space="preserve"> </w:t>
      </w:r>
      <w:r>
        <w:rPr>
          <w:i/>
          <w:iCs/>
        </w:rPr>
        <w:t xml:space="preserve">et al.</w:t>
      </w:r>
      <w:r>
        <w:t xml:space="preserve"> </w:t>
      </w:r>
      <w:r>
        <w:t xml:space="preserve">(2013)</w:t>
      </w:r>
      <w:r>
        <w:t xml:space="preserve"> </w:t>
      </w:r>
      <w:hyperlink r:id="rId79">
        <w:r>
          <w:rPr>
            <w:rStyle w:val="Hyperlink"/>
          </w:rPr>
          <w:t xml:space="preserve">Purposeful Sampling for Qualitative Data Collection and Analysis in Mixed Method Implementation Research</w:t>
        </w:r>
      </w:hyperlink>
      <w:r>
        <w:t xml:space="preserve">.</w:t>
      </w:r>
      <w:r>
        <w:t xml:space="preserve"> </w:t>
      </w:r>
      <w:r>
        <w:rPr>
          <w:i/>
          <w:iCs/>
        </w:rPr>
        <w:t xml:space="preserve">Adm Policy Ment Health</w:t>
      </w:r>
      <w:r>
        <w:t xml:space="preserve"> </w:t>
      </w:r>
      <w:r>
        <w:t xml:space="preserve">42, 533–544</w:t>
      </w:r>
    </w:p>
    <w:bookmarkEnd w:id="80"/>
    <w:bookmarkStart w:id="82" w:name="ref-doi:10.1002/jgf2.736"/>
    <w:p>
      <w:pPr>
        <w:pStyle w:val="Bibliography"/>
      </w:pPr>
      <w:r>
        <w:t xml:space="preserve">23.</w:t>
      </w:r>
      <w:r>
        <w:t xml:space="preserve"> </w:t>
      </w:r>
      <w:r>
        <w:t xml:space="preserve">	</w:t>
      </w:r>
      <w:r>
        <w:t xml:space="preserve">Creswell, J.W. and Inoue, M. (2024)</w:t>
      </w:r>
      <w:r>
        <w:t xml:space="preserve"> </w:t>
      </w:r>
      <w:hyperlink r:id="rId81">
        <w:r>
          <w:rPr>
            <w:rStyle w:val="Hyperlink"/>
          </w:rPr>
          <w:t xml:space="preserve">A process for conducting mixed methods data analysis</w:t>
        </w:r>
      </w:hyperlink>
      <w:r>
        <w:t xml:space="preserve">.</w:t>
      </w:r>
      <w:r>
        <w:t xml:space="preserve"> </w:t>
      </w:r>
      <w:r>
        <w:rPr>
          <w:i/>
          <w:iCs/>
        </w:rPr>
        <w:t xml:space="preserve">J of Gen and Family Med</w:t>
      </w:r>
      <w:r>
        <w:t xml:space="preserve"> </w:t>
      </w:r>
      <w:r>
        <w:t xml:space="preserve">26, 4–11</w:t>
      </w:r>
    </w:p>
    <w:bookmarkEnd w:id="82"/>
    <w:bookmarkStart w:id="84" w:name="ref-pmid:30861395"/>
    <w:p>
      <w:pPr>
        <w:pStyle w:val="Bibliography"/>
      </w:pPr>
      <w:r>
        <w:t xml:space="preserve">24.</w:t>
      </w:r>
      <w:r>
        <w:t xml:space="preserve"> </w:t>
      </w:r>
      <w:r>
        <w:t xml:space="preserve">	</w:t>
      </w:r>
      <w:r>
        <w:t xml:space="preserve">Wu, H.</w:t>
      </w:r>
      <w:r>
        <w:t xml:space="preserve"> </w:t>
      </w:r>
      <w:r>
        <w:rPr>
          <w:i/>
          <w:iCs/>
        </w:rPr>
        <w:t xml:space="preserve">et al.</w:t>
      </w:r>
      <w:r>
        <w:t xml:space="preserve"> </w:t>
      </w:r>
      <w:r>
        <w:t xml:space="preserve">(2019)</w:t>
      </w:r>
      <w:r>
        <w:t xml:space="preserve"> </w:t>
      </w:r>
      <w:hyperlink r:id="rId83">
        <w:r>
          <w:rPr>
            <w:rStyle w:val="Hyperlink"/>
          </w:rPr>
          <w:t xml:space="preserve">Using logic model and visualization to conduct portfolio evaluation.</w:t>
        </w:r>
      </w:hyperlink>
      <w:r>
        <w:t xml:space="preserve"> </w:t>
      </w:r>
      <w:r>
        <w:rPr>
          <w:i/>
          <w:iCs/>
        </w:rPr>
        <w:t xml:space="preserve">Eval Program Plann</w:t>
      </w:r>
      <w:r>
        <w:t xml:space="preserve"> </w:t>
      </w:r>
      <w:r>
        <w:t xml:space="preserve">74, 69–75</w:t>
      </w:r>
    </w:p>
    <w:bookmarkEnd w:id="84"/>
    <w:bookmarkStart w:id="86" w:name="ref-doi:10.1016/j.socscimed.2017.03.041"/>
    <w:p>
      <w:pPr>
        <w:pStyle w:val="Bibliography"/>
      </w:pPr>
      <w:r>
        <w:t xml:space="preserve">25.</w:t>
      </w:r>
      <w:r>
        <w:t xml:space="preserve"> </w:t>
      </w:r>
      <w:r>
        <w:t xml:space="preserve">	</w:t>
      </w:r>
      <w:r>
        <w:t xml:space="preserve">Leonard, K.L. and Masatu, M.C. (2017)</w:t>
      </w:r>
      <w:r>
        <w:t xml:space="preserve"> </w:t>
      </w:r>
      <w:hyperlink r:id="rId85">
        <w:r>
          <w:rPr>
            <w:rStyle w:val="Hyperlink"/>
          </w:rPr>
          <w:t xml:space="preserve">Changing health care provider performance through measurement</w:t>
        </w:r>
      </w:hyperlink>
      <w:r>
        <w:t xml:space="preserve">.</w:t>
      </w:r>
      <w:r>
        <w:t xml:space="preserve"> </w:t>
      </w:r>
      <w:r>
        <w:rPr>
          <w:i/>
          <w:iCs/>
        </w:rPr>
        <w:t xml:space="preserve">Social Science &amp;amp; Medicine</w:t>
      </w:r>
      <w:r>
        <w:t xml:space="preserve"> </w:t>
      </w:r>
      <w:r>
        <w:t xml:space="preserve">181, 54–65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Lifecycle-aware evaluation of biomedical data ecosystems</dc:title>
  <dc:creator>Ethan M. Lange; Vikram Adithya Ganesh; David Mayer; Adriana Ivich; Vince Rubinetti; Casey Greene; Sean Davis</dc:creator>
  <dc:language>en-US</dc:language>
  <cp:keywords>biomedical data ecosystems, research evaluation, FAIR, bibliometrics, NIH Common Fund, data sharing</cp:keywords>
  <dcterms:created xsi:type="dcterms:W3CDTF">2026-05-16T22:35:20Z</dcterms:created>
  <dcterms:modified xsi:type="dcterms:W3CDTF">2026-05-16T22:35:20Z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biomedical data resources have become central scientific infrastructure, but evaluation of these investments is fragmented: each funded program tracks different metrics in different ways, preventing portfolio-level comparison and evidence-driven funding decisions.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The relative weight of each framework shifts predictably across a resource’s lifecycle, and uniform metric panels across phases misallocate funding as a result. Drawing on the NIH Common Fund Data Ecosystem, we describe a portfolio-wide dashboard that operationalizes the framework across 19 programs in near real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assets/trends-journals.csl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