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6.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Metrics across the lifecycle: a framework for evaluating NIH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The U.S. National Institutes of Health has invested billions of dollars in</w:t>
      </w:r>
      <w:r>
        <w:t xml:space="preserve"> </w:t>
      </w:r>
      <w:r>
        <w:t xml:space="preserve">large-scale biomedical data resources, yet evaluation of these investments</w:t>
      </w:r>
      <w:r>
        <w:t xml:space="preserve"> </w:t>
      </w:r>
      <w:r>
        <w:t xml:space="preserve">has historically been fragmented — each program tracks different metrics in</w:t>
      </w:r>
      <w:r>
        <w:t xml:space="preserve"> </w:t>
      </w:r>
      <w:r>
        <w:t xml:space="preserve">different ways, preventing portfolio-level comparison and informed</w:t>
      </w:r>
      <w:r>
        <w:t xml:space="preserve"> </w:t>
      </w:r>
      <w:r>
        <w:t xml:space="preserve">decision-making. We construct a structured approach built on three</w:t>
      </w:r>
      <w:r>
        <w:t xml:space="preserve"> </w:t>
      </w:r>
      <w:r>
        <w:t xml:space="preserve">complementary prioritization frameworks:</w:t>
      </w:r>
      <w:r>
        <w:t xml:space="preserve"> </w:t>
      </w:r>
      <w:r>
        <w:rPr>
          <w:i/>
          <w:iCs/>
        </w:rPr>
        <w:t xml:space="preserve">public value</w:t>
      </w:r>
      <w:r>
        <w:t xml:space="preserve"> </w:t>
      </w:r>
      <w:r>
        <w:t xml:space="preserve">(user engagement,</w:t>
      </w:r>
      <w:r>
        <w:t xml:space="preserve"> </w:t>
      </w:r>
      <w:r>
        <w:t xml:space="preserve">citations, funded grants),</w:t>
      </w:r>
      <w:r>
        <w:t xml:space="preserve"> </w:t>
      </w:r>
      <w:r>
        <w:rPr>
          <w:i/>
          <w:iCs/>
        </w:rPr>
        <w:t xml:space="preserve">scientific data quality</w:t>
      </w:r>
      <w:r>
        <w:t xml:space="preserve"> </w:t>
      </w:r>
      <w:r>
        <w:t xml:space="preserve">(metadata completeness,</w:t>
      </w:r>
      <w:r>
        <w:t xml:space="preserve"> </w:t>
      </w:r>
      <w:r>
        <w:t xml:space="preserve">FAIR compliance, data dictionaries), and</w:t>
      </w:r>
      <w:r>
        <w:t xml:space="preserve"> </w:t>
      </w:r>
      <w:r>
        <w:rPr>
          <w:i/>
          <w:iCs/>
        </w:rPr>
        <w:t xml:space="preserve">operations and finance</w:t>
      </w:r>
      <w:r>
        <w:t xml:space="preserve"> </w:t>
      </w:r>
      <w:r>
        <w:t xml:space="preserve">(infrastructure reliability, cost sustainability). Critically, we note that</w:t>
      </w:r>
      <w:r>
        <w:t xml:space="preserve"> </w:t>
      </w:r>
      <w:r>
        <w:t xml:space="preserve">the relative importance of each framework shifts predictably across a data</w:t>
      </w:r>
      <w:r>
        <w:t xml:space="preserve"> </w:t>
      </w:r>
      <w:r>
        <w:t xml:space="preserve">resource’s lifecycle — from early infrastructure-building, through active</w:t>
      </w:r>
      <w:r>
        <w:t xml:space="preserve"> </w:t>
      </w:r>
      <w:r>
        <w:t xml:space="preserve">use and impact, to long-term sustainability. Drawing on data from the NIH</w:t>
      </w:r>
      <w:r>
        <w:t xml:space="preserve"> </w:t>
      </w:r>
      <w:r>
        <w:t xml:space="preserve">Common Fund Data Ecosystem (CFDE), we identify gaps in current measurement</w:t>
      </w:r>
      <w:r>
        <w:t xml:space="preserve"> </w:t>
      </w:r>
      <w:r>
        <w:t xml:space="preserve">practice and describe the ICC’s ongoing effort to close them through a</w:t>
      </w:r>
      <w:r>
        <w:t xml:space="preserve"> </w:t>
      </w:r>
      <w:r>
        <w:t xml:space="preserve">centralized dashboard that integrates publication, citation, GitHub, and</w:t>
      </w:r>
      <w:r>
        <w:t xml:space="preserve"> </w:t>
      </w:r>
      <w:r>
        <w:t xml:space="preserve">web analytics data across the portfolio.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Highlights</w:t>
            </w:r>
          </w:p>
          <w:p>
            <w:pPr>
              <w:pStyle w:val="Compact"/>
              <w:numPr>
                <w:ilvl w:val="0"/>
                <w:numId w:val="1001"/>
              </w:numPr>
            </w:pPr>
            <w:r>
              <w:t xml:space="preserve">NIH’s federated biomedical data ecosystems track different metrics in different ways, which blocks portfolio-level comparison and evidence-driven funding decisions.</w:t>
            </w:r>
          </w:p>
          <w:p>
            <w:pPr>
              <w:pStyle w:val="Compact"/>
              <w:numPr>
                <w:ilvl w:val="0"/>
                <w:numId w:val="1001"/>
              </w:numPr>
            </w:pPr>
            <w:r>
              <w:t xml:space="preserve">Three prioritization frameworks long familiar in product strategy (public value, scientific quality, operations and finance) carry over cleanly to research data resources.</w:t>
            </w:r>
          </w:p>
          <w:p>
            <w:pPr>
              <w:pStyle w:val="Compact"/>
              <w:numPr>
                <w:ilvl w:val="0"/>
                <w:numId w:val="1001"/>
              </w:numPr>
            </w:pPr>
            <w:r>
              <w:t xml:space="preserve">Which framework dominates depends on the resource’s lifecycle phase; uniform metric panels across phases misallocate funding.</w:t>
            </w:r>
          </w:p>
          <w:p>
            <w:pPr>
              <w:pStyle w:val="Compact"/>
              <w:numPr>
                <w:ilvl w:val="0"/>
                <w:numId w:val="1001"/>
              </w:numPr>
            </w:pPr>
            <w:r>
              <w:t xml:space="preserve">Fewer than 30% of secondary analyses formally cite their source data, so raw citation counts systematically understate reuse.</w:t>
            </w:r>
          </w:p>
          <w:p>
            <w:pPr>
              <w:pStyle w:val="Compact"/>
              <w:numPr>
                <w:ilvl w:val="0"/>
                <w:numId w:val="1001"/>
              </w:numPr>
            </w:pPr>
            <w:r>
              <w:t xml:space="preserve">A portfolio-wide dashboard at the NIH Common Fund Data Ecosystem now operationalizes the model across 19 programs in near real time.</w:t>
            </w:r>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opt/quarto/share/formats/docx/note.png" id="1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w:t>
            </w:r>
          </w:p>
        </w:tc>
      </w:tr>
      <w:tr>
        <w:trPr>
          <w:cantSplit/>
        </w:trPr>
        <w:tc>
          <w:tcPr>
            <w:tcMar>
              <w:top w:w="108" w:type="dxa"/>
              <w:bottom w:w="108" w:type="dxa"/>
            </w:tcMar>
          </w:tcPr>
          <w:p>
            <w:pPr>
              <w:pStyle w:val="BodyText"/>
            </w:pPr>
            <w:pPr>
              <w:spacing w:before="16"/>
            </w:pPr>
            <w:r>
              <w:t xml:space="preserve">Public data ecosystems are central infrastructure across biology, medicine, and the data sciences, but whether any given resource is succeeding mostly goes unanswered. Each funded program tracks its own metrics in its own way, which makes portfolio-level comparison effectively impossible.</w:t>
            </w:r>
          </w:p>
          <w:p>
            <w:pPr>
              <w:pStyle w:val="BodyText"/>
            </w:pPr>
            <w:r>
              <w:t xml:space="preserve">Three prioritization frameworks long familiar in product strategy (public value, scientific quality, operations and finance) carry over cleanly to research data resources. Their relative weight shifts predictably across a resource’s lifecycle. Uniform metric panels ignore that shift and misallocate funding as a result.</w:t>
            </w:r>
          </w:p>
          <w:p>
            <w:pPr>
              <w:pStyle w:val="BodyText"/>
            </w:pPr>
            <w:pPr>
              <w:spacing w:after="16"/>
            </w:pPr>
            <w:r>
              <w:t xml:space="preserve">We ground the argument in the NIH Common Fund Data Ecosystem, where a portfolio-wide dashboard now operationalizes the model across 19 programs. The framework generalizes to every federated biomedical data ecosystem and gives evaluators a shared vocabulary, instead of forcing each program to invent its own.</w:t>
            </w:r>
          </w:p>
          <w:p/>
        </w:tc>
      </w:tr>
    </w:tbl>
    <w:bookmarkStart w:id="24" w:name="main-text"/>
    <w:p>
      <w:pPr>
        <w:pStyle w:val="Heading2"/>
      </w:pPr>
      <w:r>
        <w:t xml:space="preserve">0.1 Main text</w:t>
      </w:r>
    </w:p>
    <w:p>
      <w:pPr>
        <w:pStyle w:val="FirstParagraph"/>
      </w:pPr>
      <w:r>
        <w:t xml:space="preserve">Over the past decade, the U.S. National Institutes of Health (NIH) has made extraordinary investments in large-scale publicly available biomedical data resources.</w:t>
      </w:r>
      <w:r>
        <w:t xml:space="preserve"> </w:t>
      </w:r>
      <w:r>
        <w:t xml:space="preserve">These include the Cancer Research Data Commons</w:t>
      </w:r>
      <w:r>
        <w:t xml:space="preserve"> </w:t>
      </w:r>
      <w:r>
        <w:t xml:space="preserve">[1]</w:t>
      </w:r>
      <w:r>
        <w:t xml:space="preserve"> </w:t>
      </w:r>
      <w:r>
        <w:t xml:space="preserve">(CRDC, NCI), the Cancer Genome Atlas (TCGA)</w:t>
      </w:r>
      <w:r>
        <w:t xml:space="preserve"> </w:t>
      </w:r>
      <w:r>
        <w:t xml:space="preserve">[2]</w:t>
      </w:r>
      <w:r>
        <w:t xml:space="preserve">, the Trans-Omics for Precision Medicine program</w:t>
      </w:r>
      <w:r>
        <w:t xml:space="preserve"> </w:t>
      </w:r>
      <w:r>
        <w:t xml:space="preserve">[3]</w:t>
      </w:r>
      <w:r>
        <w:t xml:space="preserve"> </w:t>
      </w:r>
      <w:r>
        <w:t xml:space="preserve">(TOPMed, NHLBI), the All-of-Us Research Program</w:t>
      </w:r>
      <w:r>
        <w:t xml:space="preserve"> </w:t>
      </w:r>
      <w:r>
        <w:t xml:space="preserve">[4]</w:t>
      </w:r>
      <w:r>
        <w:t xml:space="preserve">.</w:t>
      </w:r>
      <w:r>
        <w:t xml:space="preserve"> </w:t>
      </w:r>
      <w:r>
        <w:t xml:space="preserve">NIH has complemented data investments with cloud computing environments — the Cancer Genomics Cloud</w:t>
      </w:r>
      <w:r>
        <w:t xml:space="preserve"> </w:t>
      </w:r>
      <w:r>
        <w:t xml:space="preserve">[5]</w:t>
      </w:r>
      <w:r>
        <w:t xml:space="preserve">, BioData Catalyst</w:t>
      </w:r>
      <w:r>
        <w:t xml:space="preserve"> </w:t>
      </w:r>
      <w:r>
        <w:t xml:space="preserve">[6]</w:t>
      </w:r>
      <w:r>
        <w:t xml:space="preserve">, and AnVIL</w:t>
      </w:r>
      <w:r>
        <w:t xml:space="preserve"> </w:t>
      </w:r>
      <w:r>
        <w:t xml:space="preserve">[7]</w:t>
      </w:r>
      <w:r>
        <w:t xml:space="preserve"> </w:t>
      </w:r>
      <w:r>
        <w:t xml:space="preserve">— designed to make analysis at scale accessible to any researcher.</w:t>
      </w:r>
      <w:r>
        <w:t xml:space="preserve"> </w:t>
      </w:r>
      <w:r>
        <w:t xml:space="preserve">The collective ambition is to democratize access to reusable data and accelerate scientific discovery.</w:t>
      </w:r>
    </w:p>
    <w:p>
      <w:pPr>
        <w:pStyle w:val="BodyText"/>
      </w:pPr>
      <w:r>
        <w:t xml:space="preserve">Building upon the data coordinating centers spanning 19 Common Fund projects including GTEx</w:t>
      </w:r>
      <w:r>
        <w:t xml:space="preserve"> </w:t>
      </w:r>
      <w:r>
        <w:t xml:space="preserve">[8]</w:t>
      </w:r>
      <w:r>
        <w:t xml:space="preserve">, the Human Microbiome Project</w:t>
      </w:r>
      <w:r>
        <w:t xml:space="preserve"> </w:t>
      </w:r>
      <w:r>
        <w:t xml:space="preserve">[9,10]</w:t>
      </w:r>
      <w:r>
        <w:t xml:space="preserve">, HuBMAP</w:t>
      </w:r>
      <w:r>
        <w:t xml:space="preserve"> </w:t>
      </w:r>
      <w:r>
        <w:t xml:space="preserve">[11]</w:t>
      </w:r>
      <w:r>
        <w:t xml:space="preserve">, GlyGen</w:t>
      </w:r>
      <w:r>
        <w:t xml:space="preserve"> </w:t>
      </w:r>
      <w:r>
        <w:t xml:space="preserve">[12]</w:t>
      </w:r>
      <w:r>
        <w:t xml:space="preserve">, and Bridge2AI</w:t>
      </w:r>
      <w:r>
        <w:t xml:space="preserve"> </w:t>
      </w:r>
      <w:r>
        <w:t xml:space="preserve">[13]</w:t>
      </w:r>
      <w:r>
        <w:t xml:space="preserve">, the Common Fund Data Ecosystem</w:t>
      </w:r>
      <w:r>
        <w:t xml:space="preserve"> </w:t>
      </w:r>
      <w:r>
        <w:t xml:space="preserve">[14]</w:t>
      </w:r>
      <w:r>
        <w:t xml:space="preserve"> </w:t>
      </w:r>
      <w:r>
        <w:t xml:space="preserve">(CFDE) is a cross-cutting initiative that harmonizes metadata across these diverse datasets and provides tooling for discovery and access.</w:t>
      </w:r>
      <w:r>
        <w:t xml:space="preserve"> </w:t>
      </w:r>
      <w:r>
        <w:t xml:space="preserve">The CFDE’s mission is to create a scalable, sustainable infrastructure that enables researchers to find and reuse data across the Common Fund portfolio, with the ultimate goal of accelerating scientific discovery and improving human health.</w:t>
      </w:r>
      <w:r>
        <w:t xml:space="preserve"> </w:t>
      </w:r>
      <w:r>
        <w:t xml:space="preserve">The CFDE takes a slightly different approach from initiatives that aim to provide a single, unified access point for data.</w:t>
      </w:r>
      <w:r>
        <w:t xml:space="preserve"> </w:t>
      </w:r>
      <w:r>
        <w:t xml:space="preserve">The goal of the CFDE is to create an ecosystem of capabilities and tooling that enable high-value reuse of Common Fund datasets.</w:t>
      </w:r>
      <w:r>
        <w:t xml:space="preserve"> </w:t>
      </w:r>
      <w:r>
        <w:t xml:space="preserve">The ecosystem is organized into five specialized centers: the Data Resource Center (DRC), the Knowledge Center (KC), the Training Center (TC), the Cloud Workspace Implementation Center (CWIC), and the Integration and Coordination Center (ICC).</w:t>
      </w:r>
      <w:r>
        <w:t xml:space="preserve"> </w:t>
      </w:r>
      <w:r>
        <w:t xml:space="preserve">The ICC bears primary responsibility for leading annual program-wide metric collection and facilitating evaluation efforts in partnership with NIH program staff, ensuring a continuous improvement cycle and building the evidence base for future science investments.</w:t>
      </w:r>
    </w:p>
    <w:p>
      <w:pPr>
        <w:pStyle w:val="BodyText"/>
      </w:pPr>
      <w:r>
        <w:t xml:space="preserve">The CFDE recently transitioned from its three-year pilot phase, which focused on establishing a coordination center and building the initial portal infrastructure, to a full-scale implementation phase emphasizing outreach, skills development, and community-wide adoption.</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 — specifically, the extent to which researchers can use Common Fund data to generate and validate novel hypotheses that were previously unattainable through isolated datasets</w:t>
      </w:r>
      <w:r>
        <w:t xml:space="preserve"> </w:t>
      </w:r>
      <w:r>
        <w:t xml:space="preserve">[15]</w:t>
      </w:r>
      <w:r>
        <w:t xml:space="preserve">.</w:t>
      </w:r>
      <w:r>
        <w:t xml:space="preserve"> </w:t>
      </w:r>
      <w:r>
        <w:t xml:space="preserve">Evaluation frameworks must now adapt to capture this shift toward</w:t>
      </w:r>
      <w:r>
        <w:t xml:space="preserve"> </w:t>
      </w:r>
      <w:r>
        <w:t xml:space="preserve">“use and reuse”</w:t>
      </w:r>
      <w:r>
        <w:t xml:space="preserve"> </w:t>
      </w:r>
      <w:r>
        <w:t xml:space="preserve">as the primary drivers of impact.</w:t>
      </w:r>
      <w:r>
        <w:t xml:space="preserve"> </w:t>
      </w:r>
      <w:r>
        <w:t xml:space="preserve">Each center carries a distinct focus, as summarized in Table</w:t>
      </w:r>
      <w:r>
        <w:t xml:space="preserve"> </w:t>
      </w:r>
      <w:hyperlink w:anchor="tbl-center-eval">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4" w:name="tbl-center-eval"/>
          <w:p>
            <w:pPr>
              <w:jc w:val="center"/>
            </w:pPr>
            <w:pPr>
              <w:jc w:val="left"/>
              <w:spacing w:before="200"/>
              <w:pStyle w:val="ImageCaption"/>
            </w:pPr>
            <w:r>
              <w:t xml:space="preserve">Table 1: Center-specific focus areas across the five CFDE centers.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Center</w:t>
                  </w:r>
                </w:p>
              </w:tc>
              <w:tc>
                <w:tcPr/>
                <w:p>
                  <w:pPr>
                    <w:pStyle w:val="Compact"/>
                    <w:jc w:val="left"/>
                    <w:jc w:val="center"/>
                  </w:pPr>
                  <w:r>
                    <w:t xml:space="preserve">Significance in the Ecosystem</w:t>
                  </w:r>
                </w:p>
              </w:tc>
            </w:tr>
            <w:tr>
              <w:tc>
                <w:tcPr/>
                <w:p>
                  <w:pPr>
                    <w:pStyle w:val="Compact"/>
                    <w:jc w:val="left"/>
                    <w:jc w:val="center"/>
                  </w:pPr>
                  <w:r>
                    <w:t xml:space="preserve">Data Resource Center (DRC)</w:t>
                  </w:r>
                </w:p>
              </w:tc>
              <w:tc>
                <w:tcPr/>
                <w:p>
                  <w:pPr>
                    <w:pStyle w:val="Compact"/>
                    <w:jc w:val="left"/>
                    <w:jc w:val="center"/>
                  </w:pPr>
                  <w:r>
                    <w:t xml:space="preserve">Enable researchers to discover CFDE data and other resources</w:t>
                  </w:r>
                </w:p>
              </w:tc>
            </w:tr>
            <w:tr>
              <w:tc>
                <w:tcPr/>
                <w:p>
                  <w:pPr>
                    <w:pStyle w:val="Compact"/>
                    <w:jc w:val="left"/>
                    <w:jc w:val="center"/>
                  </w:pPr>
                  <w:r>
                    <w:t xml:space="preserve">Knowledge Center (KC)</w:t>
                  </w:r>
                </w:p>
              </w:tc>
              <w:tc>
                <w:tcPr/>
                <w:p>
                  <w:pPr>
                    <w:pStyle w:val="Compact"/>
                    <w:jc w:val="left"/>
                    <w:jc w:val="center"/>
                  </w:pPr>
                  <w:r>
                    <w:t xml:space="preserve">Support analyses that provide cross-cutting biological insights through applications and outreach</w:t>
                  </w:r>
                </w:p>
              </w:tc>
            </w:tr>
            <w:tr>
              <w:tc>
                <w:tcPr/>
                <w:p>
                  <w:pPr>
                    <w:pStyle w:val="Compact"/>
                    <w:jc w:val="left"/>
                    <w:jc w:val="center"/>
                  </w:pPr>
                  <w:r>
                    <w:t xml:space="preserve">Training Center (TC)</w:t>
                  </w:r>
                </w:p>
              </w:tc>
              <w:tc>
                <w:tcPr/>
                <w:p>
                  <w:pPr>
                    <w:pStyle w:val="Compact"/>
                    <w:jc w:val="left"/>
                    <w:jc w:val="center"/>
                  </w:pPr>
                  <w:r>
                    <w:t xml:space="preserve">Address gaps in data and ecosystem understanding and drive a cultural shift required for cloud-based computing</w:t>
                  </w:r>
                </w:p>
              </w:tc>
            </w:tr>
            <w:tr>
              <w:tc>
                <w:tcPr/>
                <w:p>
                  <w:pPr>
                    <w:pStyle w:val="Compact"/>
                    <w:jc w:val="left"/>
                    <w:jc w:val="center"/>
                  </w:pPr>
                  <w:r>
                    <w:t xml:space="preserve">Cloud Workspace (CWIC)</w:t>
                  </w:r>
                </w:p>
              </w:tc>
              <w:tc>
                <w:tcPr/>
                <w:p>
                  <w:pPr>
                    <w:pStyle w:val="Compact"/>
                    <w:jc w:val="left"/>
                    <w:jc w:val="center"/>
                  </w:pPr>
                  <w:r>
                    <w:t xml:space="preserve">Provide computational power to analyze massive datasets in situ on large-scale shared infrastructure</w:t>
                  </w:r>
                </w:p>
              </w:tc>
            </w:tr>
            <w:tr>
              <w:tc>
                <w:tcPr/>
                <w:p>
                  <w:pPr>
                    <w:pStyle w:val="Compact"/>
                    <w:jc w:val="left"/>
                    <w:jc w:val="center"/>
                  </w:pPr>
                  <w:r>
                    <w:t xml:space="preserve">Integration &amp; Coordination (ICC)</w:t>
                  </w:r>
                </w:p>
              </w:tc>
              <w:tc>
                <w:tcPr/>
                <w:p>
                  <w:pPr>
                    <w:pStyle w:val="Compact"/>
                    <w:jc w:val="left"/>
                    <w:jc w:val="center"/>
                  </w:pPr>
                  <w:r>
                    <w:t xml:space="preserve">Align CFDE centers into a unified ecosystem, drive data-driven decisions, and enhance CFDE sustainability</w:t>
                  </w:r>
                </w:p>
              </w:tc>
            </w:tr>
          </w:tbl>
          <w:bookmarkEnd w:id="14"/>
          <w:p/>
        </w:tc>
      </w:tr>
    </w:tbl>
    <w:p>
      <w:pPr>
        <w:pStyle w:val="BodyText"/>
      </w:pPr>
      <w:r>
        <w:t xml:space="preserve">With five centers and 19 projects, the CFDE is a microcosm of the broader NIH data ecosystem, making it an ideal case study for developing and testing federated evaluation frameworks.</w:t>
      </w:r>
    </w:p>
    <w:p>
      <w:pPr>
        <w:pStyle w:val="BodyText"/>
      </w:pPr>
      <w:r>
        <w:t xml:space="preserve">Evaluation across the CFDE has historically been performed independently by each program.</w:t>
      </w:r>
      <w:r>
        <w:t xml:space="preserve"> </w:t>
      </w:r>
      <w:r>
        <w:t xml:space="preserve">Each program has tracked slightly different metrics in distinct ways, making portfolio-level evaluation challenging.</w:t>
      </w:r>
      <w:r>
        <w:t xml:space="preserve"> </w:t>
      </w:r>
      <w:r>
        <w:t xml:space="preserve">In response, the NIH established the Integration and Coordination Center (ICC), which include a core responsible for CFDE metric collection and evaluation.</w:t>
      </w:r>
      <w:r>
        <w:t xml:space="preserve"> </w:t>
      </w:r>
      <w:r>
        <w:t xml:space="preserve">The business world has long solved analogous problems with structured prioritization frameworks that combine multiple performance metrics into coherent decision tools.</w:t>
      </w:r>
      <w:r>
        <w:t xml:space="preserve"> </w:t>
      </w:r>
      <w:r>
        <w:t xml:space="preserve">The</w:t>
      </w:r>
      <w:r>
        <w:t xml:space="preserve"> </w:t>
      </w:r>
      <w:r>
        <w:t xml:space="preserve">“product”</w:t>
      </w:r>
      <w:r>
        <w:t xml:space="preserve"> </w:t>
      </w:r>
      <w:r>
        <w:t xml:space="preserve">of CFDE is reusable data and tools, and the ultimate measure of success is scientific discovery and improved human health.</w:t>
      </w:r>
      <w:r>
        <w:t xml:space="preserve"> </w:t>
      </w:r>
      <w:r>
        <w:t xml:space="preserve">As the CFDE Evaluation Core, we describe three complementary prioritization frameworks–</w:t>
      </w:r>
      <w:r>
        <w:rPr>
          <w:i/>
          <w:iCs/>
        </w:rPr>
        <w:t xml:space="preserve">public value</w:t>
      </w:r>
      <w:r>
        <w:t xml:space="preserve">,</w:t>
      </w:r>
      <w:r>
        <w:t xml:space="preserve"> </w:t>
      </w:r>
      <w:r>
        <w:rPr>
          <w:i/>
          <w:iCs/>
        </w:rPr>
        <w:t xml:space="preserve">scientific quality</w:t>
      </w:r>
      <w:r>
        <w:t xml:space="preserve">,</w:t>
      </w:r>
      <w:r>
        <w:t xml:space="preserve"> </w:t>
      </w:r>
      <w:r>
        <w:rPr>
          <w:i/>
          <w:iCs/>
        </w:rPr>
        <w:t xml:space="preserve">operations and finance</w:t>
      </w:r>
      <w:r>
        <w:t xml:space="preserve">–and suggest that their importance and prioritization should vary over a project lifecycle, and report on the ICC’s initial implementation of a centralized dashboard for portfolio-wide metric collection.</w:t>
      </w:r>
    </w:p>
    <w:p>
      <w:pPr>
        <w:pStyle w:val="BodyText"/>
      </w:pPr>
      <w:r>
        <w:t xml:space="preserve">Performance metrics have long been used in the business world to optimize decision-making, with established frameworks ranging from quantitative scoring functions such as RICE (Reach, Impact, Confidence, Effort)</w:t>
      </w:r>
      <w:r>
        <w:t xml:space="preserve"> </w:t>
      </w:r>
      <w:r>
        <w:t xml:space="preserve">[16]</w:t>
      </w:r>
      <w:r>
        <w:t xml:space="preserve"> </w:t>
      </w:r>
      <w:r>
        <w:t xml:space="preserve">to qualitative prioritization methods such as MoSCoW (</w:t>
      </w:r>
      <w:r>
        <w:t xml:space="preserve">“must-have”</w:t>
      </w:r>
      <w:r>
        <w:t xml:space="preserve">,</w:t>
      </w:r>
      <w:r>
        <w:t xml:space="preserve"> </w:t>
      </w:r>
      <w:r>
        <w:t xml:space="preserve">“should-have”</w:t>
      </w:r>
      <w:r>
        <w:t xml:space="preserve">,</w:t>
      </w:r>
      <w:r>
        <w:t xml:space="preserve"> </w:t>
      </w:r>
      <w:r>
        <w:t xml:space="preserve">“could-have”</w:t>
      </w:r>
      <w:r>
        <w:t xml:space="preserve">,</w:t>
      </w:r>
      <w:r>
        <w:t xml:space="preserve"> </w:t>
      </w:r>
      <w:r>
        <w:t xml:space="preserve">“won’t have”</w:t>
      </w:r>
      <w:r>
        <w:t xml:space="preserve">)</w:t>
      </w:r>
      <w:r>
        <w:t xml:space="preserve"> </w:t>
      </w:r>
      <w:r>
        <w:t xml:space="preserve">[17]</w:t>
      </w:r>
      <w:r>
        <w:t xml:space="preserve">.</w:t>
      </w:r>
      <w:r>
        <w:t xml:space="preserve"> </w:t>
      </w:r>
      <w:r>
        <w:t xml:space="preserve">Crucially, effective prioritization frameworks rely on metrics that are informative, feasible to collect, and economical to measure</w:t>
      </w:r>
      <w:r>
        <w:t xml:space="preserve"> </w:t>
      </w:r>
      <w:r>
        <w:t xml:space="preserve">[18,19]</w:t>
      </w:r>
      <w:r>
        <w:t xml:space="preserve">.</w:t>
      </w:r>
      <w:r>
        <w:t xml:space="preserve"> </w:t>
      </w:r>
      <w:r>
        <w:t xml:space="preserve">In publicly-funded research, the same principles apply: good metrics capture the use and impact of data resources, identify barriers to their success, and inform decisions about where to invest limited resources while being feasible to collect and not overly burdensome for project owners.</w:t>
      </w:r>
      <w:r>
        <w:t xml:space="preserve"> </w:t>
      </w:r>
      <w:r>
        <w:t xml:space="preserve">Furthermore, we describe the ICC’s implementation of an automated dashboard that reduces the burden on individual projects while enabling real-time monitoring of portfolio performance.</w:t>
      </w:r>
    </w:p>
    <w:bookmarkStart w:id="19" w:name="three-frameworks-one-lifecycle"/>
    <w:p>
      <w:pPr>
        <w:pStyle w:val="Heading3"/>
      </w:pPr>
      <w:r>
        <w:t xml:space="preserve">0.1.1 Three Frameworks, One Lifecycle</w:t>
      </w:r>
    </w:p>
    <w:p>
      <w:pPr>
        <w:pStyle w:val="FirstParagraph"/>
      </w:pPr>
      <w:r>
        <w:t xml:space="preserve">No single metric — and no single framework — can capture the full picture of a data resource’s value or trajectory throughout its life cycle.</w:t>
      </w:r>
      <w:r>
        <w:t xml:space="preserve"> </w:t>
      </w:r>
      <w:r>
        <w:t xml:space="preserve">We organize our approach around three complementary prioritization frameworks:</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w:t>
      </w:r>
      <w:r>
        <w:t xml:space="preserve"> </w:t>
      </w:r>
      <w:r>
        <w:t xml:space="preserve">These frameworks overlap and sometimes conflict (more scientifically impactful datasets are often more expensive to create and maintain), and weighted composite scoring (</w:t>
      </w:r>
      <w:r>
        <w:rPr>
          <w:i/>
          <w:iCs/>
        </w:rPr>
        <w:t xml:space="preserve">Multi-Criteria Decision Analysis</w:t>
      </w:r>
      <w:r>
        <w:t xml:space="preserve">) can balance them when needed</w:t>
      </w:r>
      <w:r>
        <w:t xml:space="preserve"> </w:t>
      </w:r>
      <w:r>
        <w:t xml:space="preserve">[20,21]</w:t>
      </w:r>
      <w:r>
        <w:t xml:space="preserve">.</w:t>
      </w:r>
      <w:r>
        <w:t xml:space="preserve"> </w:t>
      </w:r>
      <w:r>
        <w:t xml:space="preserve">Our central argument is that these frameworks are not equally relevant at all times: metrics are a function of a resource’s lifecycle phase.</w:t>
      </w:r>
      <w:r>
        <w:t xml:space="preserve"> </w:t>
      </w:r>
      <w:r>
        <w:t xml:space="preserve">In the</w:t>
      </w:r>
      <w:r>
        <w:t xml:space="preserve"> </w:t>
      </w:r>
      <w:r>
        <w:rPr>
          <w:b/>
          <w:bCs/>
        </w:rPr>
        <w:t xml:space="preserve">early term</w:t>
      </w:r>
      <w:r>
        <w:t xml:space="preserve"> </w:t>
      </w:r>
      <w:r>
        <w:t xml:space="preserve">— infrastructure-building and data collection —</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 active use within a funded period —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 </w:t>
      </w:r>
      <w:r>
        <w:t xml:space="preserve">— sustainability and continued scientific relevance —</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a key practical contribution of this paper.</w:t>
      </w:r>
    </w:p>
    <w:tbl>
      <w:tblPr>
        <w:tblStyle w:val="Table"/>
        <w:tblW w:type="pct" w:w="5000"/>
        <w:tblLayout w:type="fixed"/>
        <w:tblLook w:firstRow="0" w:lastRow="0" w:firstColumn="0" w:lastColumn="0" w:noHBand="0" w:noVBand="0" w:val="0000"/>
      </w:tblPr>
      <w:tblGrid>
        <w:gridCol w:w="7920"/>
      </w:tblGrid>
      <w:tr>
        <w:tc>
          <w:tcPr/>
          <w:bookmarkStart w:id="18" w:name="fig-lifecycle_curves"/>
          <w:p>
            <w:pPr>
              <w:pStyle w:val="Compact"/>
              <w:jc w:val="center"/>
            </w:pPr>
            <w:r>
              <w:drawing>
                <wp:inline>
                  <wp:extent cx="5334000" cy="3403035"/>
                  <wp:effectExtent b="0" l="0" r="0" t="0"/>
                  <wp:docPr descr="" title="" id="16" name="Picture"/>
                  <a:graphic>
                    <a:graphicData uri="http://schemas.openxmlformats.org/drawingml/2006/picture">
                      <pic:pic>
                        <pic:nvPicPr>
                          <pic:cNvPr descr="content/images/figure1_lifecycle_curves.png" id="17" name="Picture"/>
                          <pic:cNvPicPr>
                            <a:picLocks noChangeArrowheads="1" noChangeAspect="1"/>
                          </pic:cNvPicPr>
                        </pic:nvPicPr>
                        <pic:blipFill>
                          <a:blip r:embed="rId15"/>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frameworks–public value, scientific quality, and operations and finance–across the project lifecycle. Note that lower priority does</w:t>
            </w:r>
            <w:r>
              <w:t xml:space="preserve"> </w:t>
            </w:r>
            <w:r>
              <w:rPr>
                <w:b/>
                <w:bCs/>
              </w:rPr>
              <w:t xml:space="preserve">not</w:t>
            </w:r>
            <w:r>
              <w:t xml:space="preserve"> </w:t>
            </w:r>
            <w:r>
              <w:t xml:space="preserve">imply unimportant.</w:t>
            </w:r>
          </w:p>
          <w:bookmarkEnd w:id="18"/>
        </w:tc>
      </w:tr>
    </w:tbl>
    <w:p>
      <w:pPr>
        <w:pStyle w:val="BodyText"/>
      </w:pPr>
      <w:r>
        <w:t xml:space="preserve">The</w:t>
      </w:r>
      <w:r>
        <w:t xml:space="preserve"> </w:t>
      </w:r>
      <w:r>
        <w:rPr>
          <w:i/>
          <w:iCs/>
        </w:rPr>
        <w:t xml:space="preserve">public value</w:t>
      </w:r>
      <w:r>
        <w:t xml:space="preserve"> </w:t>
      </w:r>
      <w:r>
        <w:t xml:space="preserve">framework captures the outputs and impacts of a data resource, software tool, or outreach program, or other ecosystem component: user engagement, data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[22,23]</w:t>
      </w:r>
      <w:r>
        <w:t xml:space="preserve"> </w:t>
      </w:r>
      <w:r>
        <w:t xml:space="preserve">and encompassing the metadata, documentation, and standardization needed for data to be reliably reused.</w:t>
      </w:r>
      <w:r>
        <w:t xml:space="preserve"> </w:t>
      </w:r>
      <w:r>
        <w:t xml:space="preserve">The</w:t>
      </w:r>
      <w:r>
        <w:t xml:space="preserve"> </w:t>
      </w:r>
      <w:r>
        <w:rPr>
          <w:i/>
          <w:iCs/>
        </w:rPr>
        <w:t xml:space="preserve">operations and finance</w:t>
      </w:r>
      <w:r>
        <w:t xml:space="preserve"> </w:t>
      </w:r>
      <w:r>
        <w:t xml:space="preserve">framework covers the infrastructure and cost considerations — from server uptime and compute performance to the sustainability of the resource beyond the initial funding period and potentially the robustness to the sunsetting of funding.</w:t>
      </w:r>
      <w:r>
        <w:t xml:space="preserve"> </w:t>
      </w:r>
      <w:r>
        <w:t xml:space="preserve">For each framework, we describe key metrics, their strengths and limitations, and highlight what current measurement approaches are missing.</w:t>
      </w:r>
    </w:p>
    <w:bookmarkEnd w:id="19"/>
    <w:bookmarkStart w:id="20" w:name="public-value"/>
    <w:p>
      <w:pPr>
        <w:pStyle w:val="Heading3"/>
      </w:pPr>
      <w:r>
        <w:t xml:space="preserve">0.1.2 Public value</w:t>
      </w:r>
    </w:p>
    <w:p>
      <w:pPr>
        <w:pStyle w:val="FirstParagraph"/>
      </w:pPr>
      <w:r>
        <w:t xml:space="preserve">The</w:t>
      </w:r>
      <w:r>
        <w:t xml:space="preserve"> </w:t>
      </w:r>
      <w:r>
        <w:rPr>
          <w:i/>
          <w:iCs/>
        </w:rPr>
        <w:t xml:space="preserve">public value</w:t>
      </w:r>
      <w:r>
        <w:t xml:space="preserve"> </w:t>
      </w:r>
      <w:r>
        <w:t xml:space="preserve">framework encompasses user behavior and scientific impact.</w:t>
      </w:r>
      <w:r>
        <w:t xml:space="preserve"> </w:t>
      </w:r>
      <w:r>
        <w:t xml:space="preserve">Website engagement metrics —</w:t>
      </w:r>
      <w:r>
        <w:t xml:space="preserve">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priority link clicks</w:t>
      </w:r>
      <w:r>
        <w:t xml:space="preserve">, and</w:t>
      </w:r>
      <w:r>
        <w:t xml:space="preserve"> </w:t>
      </w:r>
      <w:r>
        <w:rPr>
          <w:i/>
          <w:iCs/>
        </w:rPr>
        <w:t xml:space="preserve">new vs. returning users</w:t>
      </w:r>
      <w:r>
        <w:t xml:space="preserve"> </w:t>
      </w:r>
      <w:r>
        <w:t xml:space="preserve">— are easy to collect and track trends over time.</w:t>
      </w:r>
      <w:r>
        <w:t xml:space="preserve"> </w:t>
      </w:r>
      <w:r>
        <w:t xml:space="preserve">While they can provide early-stage insight into potential for uptake, they provide limited insight into actual data use.</w:t>
      </w:r>
      <w:r>
        <w:t xml:space="preserve"> </w:t>
      </w:r>
      <w:r>
        <w:t xml:space="preserve">Combining</w:t>
      </w:r>
      <w:r>
        <w:t xml:space="preserve"> </w:t>
      </w:r>
      <w:r>
        <w:rPr>
          <w:i/>
          <w:iCs/>
        </w:rPr>
        <w:t xml:space="preserve">time on page</w:t>
      </w:r>
      <w:r>
        <w:t xml:space="preserve"> </w:t>
      </w:r>
      <w:r>
        <w:t xml:space="preserve">with</w:t>
      </w:r>
      <w:r>
        <w:t xml:space="preserve"> </w:t>
      </w:r>
      <w:r>
        <w:rPr>
          <w:i/>
          <w:iCs/>
        </w:rPr>
        <w:t xml:space="preserve">actions/triggers</w:t>
      </w:r>
      <w:r>
        <w:t xml:space="preserve"> </w:t>
      </w:r>
      <w:r>
        <w:t xml:space="preserve">offers a more informative measure of engagement.</w:t>
      </w:r>
      <w:r>
        <w:t xml:space="preserve"> </w:t>
      </w:r>
      <w:r>
        <w:t xml:space="preserve">Key limitations include that bots can skew counts and VPN use in academic settings confounds new-versus-returning user tracking.</w:t>
      </w:r>
      <w:r>
        <w:t xml:space="preserve"> </w:t>
      </w:r>
      <w:r>
        <w:t xml:space="preserve">In an era of more sophsticated AI systems, bot-driven traffic may transform from strictly noise to be corrected to an additional indicator of resource value.</w:t>
      </w:r>
      <w:r>
        <w:t xml:space="preserve"> </w:t>
      </w:r>
      <w:r>
        <w:t xml:space="preserve">These metrics are typically collected via platforms such as Google Analytics</w:t>
      </w:r>
      <w:r>
        <w:t xml:space="preserve"> </w:t>
      </w:r>
      <w:r>
        <w:t xml:space="preserve">[24]</w:t>
      </w:r>
      <w:r>
        <w:t xml:space="preserve"> </w:t>
      </w:r>
      <w:r>
        <w:t xml:space="preserve">or Matomo</w:t>
      </w:r>
      <w:r>
        <w:t xml:space="preserve"> </w:t>
      </w:r>
      <w:r>
        <w:t xml:space="preserve">[25]</w:t>
      </w:r>
      <w:r>
        <w:t xml:space="preserve"> </w:t>
      </w:r>
      <w:r>
        <w:t xml:space="preserve">(direct measurement) or estimated via Semrush</w:t>
      </w:r>
      <w:r>
        <w:t xml:space="preserve"> </w:t>
      </w:r>
      <w:r>
        <w:t xml:space="preserve">[26]</w:t>
      </w:r>
      <w:r>
        <w:t xml:space="preserve"> </w:t>
      </w:r>
      <w:r>
        <w:t xml:space="preserve">or Similarweb</w:t>
      </w:r>
      <w:r>
        <w:t xml:space="preserve"> </w:t>
      </w:r>
      <w:r>
        <w:t xml:space="preserve">[27]</w:t>
      </w:r>
      <w:r>
        <w:t xml:space="preserve">; note that some European jurisdictions restrict use of US-based analytics platforms.</w:t>
      </w:r>
    </w:p>
    <w:p>
      <w:pPr>
        <w:pStyle w:val="BodyText"/>
      </w:pPr>
      <w:r>
        <w:t xml:space="preserve">More direct evidence of data engagement comes from</w:t>
      </w:r>
      <w:r>
        <w:t xml:space="preserve"> </w:t>
      </w:r>
      <w:r>
        <w:rPr>
          <w:i/>
          <w:iCs/>
        </w:rPr>
        <w:t xml:space="preserve">downloads</w:t>
      </w:r>
      <w:r>
        <w:t xml:space="preserve"> </w:t>
      </w:r>
      <w:r>
        <w:t xml:space="preserve">and</w:t>
      </w:r>
      <w:r>
        <w:t xml:space="preserve"> </w:t>
      </w:r>
      <w:r>
        <w:rPr>
          <w:i/>
          <w:iCs/>
        </w:rPr>
        <w:t xml:space="preserve">compute jobs</w:t>
      </w:r>
      <w:r>
        <w:t xml:space="preserve">.</w:t>
      </w:r>
      <w:r>
        <w:t xml:space="preserve"> </w:t>
      </w:r>
      <w:r>
        <w:t xml:space="preserve">Downloads are a simple indicator of interest but cannot distinguish actual usage from passive acquisition, nor track data sharing among multiple users of the same file.</w:t>
      </w:r>
      <w:r>
        <w:t xml:space="preserve"> </w:t>
      </w:r>
      <w:r>
        <w:t xml:space="preserve">Cloud-hosted datasets address these limitations: compute jobs directly measure analysis activity, reduce sharing ambiguity, and can be monitored in near real-time (</w:t>
      </w:r>
      <w:r>
        <w:rPr>
          <w:i/>
          <w:iCs/>
        </w:rPr>
        <w:t xml:space="preserve">trend downloads</w:t>
      </w:r>
      <w:r>
        <w:t xml:space="preserve">,</w:t>
      </w:r>
      <w:r>
        <w:t xml:space="preserve"> </w:t>
      </w:r>
      <w:r>
        <w:rPr>
          <w:i/>
          <w:iCs/>
        </w:rPr>
        <w:t xml:space="preserve">trend compute jobs</w:t>
      </w:r>
      <w:r>
        <w:t xml:space="preserve">).</w:t>
      </w:r>
      <w:r>
        <w:t xml:space="preserve"> </w:t>
      </w:r>
      <w:r>
        <w:t xml:space="preserve">Projects that include tool development can track</w:t>
      </w:r>
      <w:r>
        <w:t xml:space="preserve"> </w:t>
      </w:r>
      <w:r>
        <w:rPr>
          <w:i/>
          <w:iCs/>
        </w:rPr>
        <w:t xml:space="preserve">tool usage</w:t>
      </w:r>
      <w:r>
        <w:t xml:space="preserve"> </w:t>
      </w:r>
      <w:r>
        <w:t xml:space="preserve">(online) and</w:t>
      </w:r>
      <w:r>
        <w:t xml:space="preserve"> </w:t>
      </w:r>
      <w:r>
        <w:rPr>
          <w:i/>
          <w:iCs/>
        </w:rPr>
        <w:t xml:space="preserve">tool downloads</w:t>
      </w:r>
      <w:r>
        <w:t xml:space="preserve">, with online usage being more accurately quantified.</w:t>
      </w:r>
    </w:p>
    <w:p>
      <w:pPr>
        <w:pStyle w:val="BodyText"/>
      </w:pPr>
      <w:r>
        <w:t xml:space="preserve">User behavior metrics do not capture scientific impact.</w:t>
      </w:r>
      <w:r>
        <w:t xml:space="preserve"> </w:t>
      </w:r>
      <w:r>
        <w:t xml:space="preserve">Publications and citations, accessible via sites like PubMed</w:t>
      </w:r>
      <w:r>
        <w:t xml:space="preserve"> </w:t>
      </w:r>
      <w:r>
        <w:t xml:space="preserve">[28]</w:t>
      </w:r>
      <w:r>
        <w:t xml:space="preserve">, Scopus</w:t>
      </w:r>
      <w:r>
        <w:t xml:space="preserve"> </w:t>
      </w:r>
      <w:r>
        <w:t xml:space="preserve">[29]</w:t>
      </w:r>
      <w:r>
        <w:t xml:space="preserve">, Google Scholar</w:t>
      </w:r>
      <w:r>
        <w:t xml:space="preserve"> </w:t>
      </w:r>
      <w:r>
        <w:t xml:space="preserve">[30]</w:t>
      </w:r>
      <w:r>
        <w:t xml:space="preserve">, Clarivate</w:t>
      </w:r>
      <w:r>
        <w:t xml:space="preserve"> </w:t>
      </w:r>
      <w:r>
        <w:t xml:space="preserve">[31]</w:t>
      </w:r>
      <w:r>
        <w:t xml:space="preserve">, and OpenAlex</w:t>
      </w:r>
      <w:r>
        <w:t xml:space="preserve"> </w:t>
      </w:r>
      <w:r>
        <w:t xml:space="preserve">[32]</w:t>
      </w:r>
      <w:r>
        <w:t xml:space="preserve">, provide strong proxies of scientific impact.</w:t>
      </w:r>
      <w:r>
        <w:t xml:space="preserve"> </w:t>
      </w:r>
      <w:r>
        <w:rPr>
          <w:i/>
          <w:iCs/>
        </w:rPr>
        <w:t xml:space="preserve">Number citations</w:t>
      </w:r>
      <w:r>
        <w:t xml:space="preserve"> </w:t>
      </w:r>
      <w:r>
        <w:t xml:space="preserve">is a direct measure of data influence; the initial GTEx paper</w:t>
      </w:r>
      <w:r>
        <w:t xml:space="preserve"> </w:t>
      </w:r>
      <w:r>
        <w:t xml:space="preserve">[8]</w:t>
      </w:r>
      <w:r>
        <w:t xml:space="preserve">, for example, had accumulated 8,630 citations as of January 2026.</w:t>
      </w:r>
      <w:r>
        <w:t xml:space="preserve"> </w:t>
      </w:r>
      <w:r>
        <w:t xml:space="preserve">Citation impact can be weighted by the influence of each citing work — either by that paper’s own citation count (</w:t>
      </w:r>
      <w:r>
        <w:rPr>
          <w:i/>
          <w:iCs/>
        </w:rPr>
        <w:t xml:space="preserve">number secondary citations</w:t>
      </w:r>
      <w:r>
        <w:t xml:space="preserve">) or by journal-level metrics (</w:t>
      </w:r>
      <w:r>
        <w:rPr>
          <w:i/>
          <w:iCs/>
        </w:rPr>
        <w:t xml:space="preserve">citing impact score</w:t>
      </w:r>
      <w:r>
        <w:t xml:space="preserve">).</w:t>
      </w:r>
      <w:r>
        <w:t xml:space="preserve"> </w:t>
      </w:r>
      <w:r>
        <w:t xml:space="preserve">A composite score weighted by secondary citations (</w:t>
      </w:r>
      <w:r>
        <w:rPr>
          <w:i/>
          <w:iCs/>
        </w:rPr>
        <w:t xml:space="preserve">citations + secondary citations</w:t>
      </w:r>
      <w:r>
        <w:t xml:space="preserve">) captures cumulative downstream impact that simple citation counts miss, and citation networks can also reveal new cross-disciplinary collaborations enabled by data sharing.</w:t>
      </w:r>
      <w:r>
        <w:t xml:space="preserve"> </w:t>
      </w:r>
      <w:r>
        <w:t xml:space="preserve">In fact, successful and visible data sharing can lead to a</w:t>
      </w:r>
      <w:r>
        <w:t xml:space="preserve"> </w:t>
      </w:r>
      <w:r>
        <w:t xml:space="preserve">“citation boost”</w:t>
      </w:r>
      <w:r>
        <w:t xml:space="preserve"> </w:t>
      </w:r>
      <w:r>
        <w:t xml:space="preserve">for the original data generators</w:t>
      </w:r>
      <w:r>
        <w:t xml:space="preserve"> </w:t>
      </w:r>
      <w:r>
        <w:t xml:space="preserve">[33]</w:t>
      </w:r>
      <w:r>
        <w:t xml:space="preserve">.</w:t>
      </w:r>
      <w:r>
        <w:t xml:space="preserve"> </w:t>
      </w:r>
      <w:r>
        <w:t xml:space="preserve">Key limitations of citation-based metrics are that they lack context (a citation does not convey how central the dataset was to a study), and they lag by months to years relative to actual use</w:t>
      </w:r>
      <w:r>
        <w:t xml:space="preserve"> </w:t>
      </w:r>
      <w:r>
        <w:t xml:space="preserve">[34]</w:t>
      </w:r>
      <w:r>
        <w:t xml:space="preserve">.</w:t>
      </w:r>
      <w:r>
        <w:t xml:space="preserve"> </w:t>
      </w:r>
      <w:r>
        <w:t xml:space="preserve">In the context of journal scoring, more sophsticated alternatives add weighting to account for various properties of the citing article — both better capture the prestige and subject-specific impact of data repositories than raw citation counts</w:t>
      </w:r>
      <w:r>
        <w:t xml:space="preserve"> </w:t>
      </w:r>
      <w:r>
        <w:t xml:space="preserve">[35]</w:t>
      </w:r>
      <w:r>
        <w:t xml:space="preserve">.</w:t>
      </w:r>
      <w:r>
        <w:t xml:space="preserve"> </w:t>
      </w:r>
      <w:r>
        <w:t xml:space="preserve">Tracking the trend in citations over time (</w:t>
      </w:r>
      <w:r>
        <w:rPr>
          <w:i/>
          <w:iCs/>
        </w:rPr>
        <w:t xml:space="preserve">trend citations</w:t>
      </w:r>
      <w:r>
        <w:t xml:space="preserve">) helps identify whether a resource’s scientific influence is growing, plateauing, or declining.</w:t>
      </w:r>
    </w:p>
    <w:p>
      <w:pPr>
        <w:pStyle w:val="BodyText"/>
      </w:pPr>
      <w:r>
        <w:t xml:space="preserve">A fundamental challenge for citation-based evaluation is that data citation is not yet a universal standard in scientific publishing.</w:t>
      </w:r>
      <w:r>
        <w:t xml:space="preserve"> </w:t>
      </w:r>
      <w:r>
        <w:t xml:space="preserve">Studies estimate that fewer than 30% of articles performing secondary analysis provide a formal reference to the dataset used</w:t>
      </w:r>
      <w:r>
        <w:t xml:space="preserve"> </w:t>
      </w:r>
      <w:r>
        <w:t xml:space="preserve">[36]</w:t>
      </w:r>
      <w:r>
        <w:t xml:space="preserve">.</w:t>
      </w:r>
      <w:r>
        <w:t xml:space="preserve"> </w:t>
      </w:r>
      <w:r>
        <w:t xml:space="preserve">This</w:t>
      </w:r>
      <w:r>
        <w:t xml:space="preserve"> </w:t>
      </w:r>
      <w:r>
        <w:t xml:space="preserve">“citation gap”</w:t>
      </w:r>
      <w:r>
        <w:t xml:space="preserve"> </w:t>
      </w:r>
      <w:r>
        <w:t xml:space="preserve">means that standard bibliometric approaches systematically underestimate data reuse.</w:t>
      </w:r>
      <w:r>
        <w:t xml:space="preserve"> </w:t>
      </w:r>
      <w:r>
        <w:t xml:space="preserve">Evaluators must therefore supplement citation tracking with multi-pronged strategies: searching for unique accession numbers (e.g., GEO accession numbers, NCBI BioProject IDs) in the full text of publications, mining Methods sections for mentions of specific repositories, and conducting case-study analyses of high-value datasets.</w:t>
      </w:r>
      <w:r>
        <w:t xml:space="preserve"> </w:t>
      </w:r>
      <w:r>
        <w:t xml:space="preserve">Bibliometric analysis of NeuroMorpho.Org, for example, demonstrated that sharing neural morphology data leads to a significant increase in citations for the original authors, with a reuse rate that remains constant for at least 16 years — effectively doubling peer-reviewed discoveries in the field</w:t>
      </w:r>
      <w:r>
        <w:t xml:space="preserve"> </w:t>
      </w:r>
      <w:r>
        <w:t xml:space="preserve">[36]</w:t>
      </w:r>
      <w:r>
        <w:t xml:space="preserve">.</w:t>
      </w:r>
      <w:r>
        <w:t xml:space="preserve"> </w:t>
      </w:r>
      <w:r>
        <w:t xml:space="preserve">Closing this citation gap may ultimately require the CFDE to implement its own citation tracking web-services for more accurate and timely monitoring of data reuse across the portfolio.</w:t>
      </w:r>
    </w:p>
    <w:p>
      <w:pPr>
        <w:pStyle w:val="BodyText"/>
      </w:pPr>
      <w:r>
        <w:t xml:space="preserve">In the context of scientific software, which is also a key CFDE deliverable,</w:t>
      </w:r>
      <w:r>
        <w:t xml:space="preserve"> </w:t>
      </w:r>
      <w:r>
        <w:rPr>
          <w:i/>
          <w:iCs/>
        </w:rPr>
        <w:t xml:space="preserve">public value</w:t>
      </w:r>
      <w:r>
        <w:t xml:space="preserve"> </w:t>
      </w:r>
      <w:r>
        <w:t xml:space="preserve">includes many of the same metrics as data, including</w:t>
      </w:r>
      <w:r>
        <w:t xml:space="preserve"> </w:t>
      </w:r>
      <w:r>
        <w:rPr>
          <w:i/>
          <w:iCs/>
        </w:rPr>
        <w:t xml:space="preserve">downloads</w:t>
      </w:r>
      <w:r>
        <w:t xml:space="preserve"> </w:t>
      </w:r>
      <w:r>
        <w:t xml:space="preserve">and citation-related metrics that relate to manuscripts describing the software.</w:t>
      </w:r>
      <w:r>
        <w:t xml:space="preserve"> </w:t>
      </w:r>
      <w:r>
        <w:t xml:space="preserve">Assessments of the</w:t>
      </w:r>
      <w:r>
        <w:t xml:space="preserve"> </w:t>
      </w:r>
      <w:r>
        <w:rPr>
          <w:i/>
          <w:iCs/>
        </w:rPr>
        <w:t xml:space="preserve">public value</w:t>
      </w:r>
      <w:r>
        <w:t xml:space="preserve"> </w:t>
      </w:r>
      <w:r>
        <w:t xml:space="preserve">of scientific software can also incorporate markers of engagement on software development platforms, which include elements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p>
    <w:p>
      <w:pPr>
        <w:pStyle w:val="BodyText"/>
      </w:pPr>
      <w:r>
        <w:t xml:space="preserve">Beyond usage and citation metrics, user-centered measures of</w:t>
      </w:r>
      <w:r>
        <w:t xml:space="preserve"> </w:t>
      </w:r>
      <w:r>
        <w:rPr>
          <w:i/>
          <w:iCs/>
        </w:rPr>
        <w:t xml:space="preserve">perceived value</w:t>
      </w:r>
      <w:r>
        <w:t xml:space="preserve"> </w:t>
      </w:r>
      <w:r>
        <w:t xml:space="preserve">offer complementary insight into how well a data platform serves its community.</w:t>
      </w:r>
      <w:r>
        <w:t xml:space="preserve"> </w:t>
      </w:r>
      <w:r>
        <w:t xml:space="preserve">Research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[37]</w:t>
      </w:r>
      <w:r>
        <w:t xml:space="preserve">.</w:t>
      </w:r>
      <w:r>
        <w:t xml:space="preserve"> </w:t>
      </w:r>
      <w:r>
        <w:t xml:space="preserve">These metrics can be assessed through structured surveys and complement the behavioral measures captured by web analytics.</w:t>
      </w:r>
    </w:p>
    <w:p>
      <w:pPr>
        <w:pStyle w:val="BodyText"/>
      </w:pPr>
      <w:r>
        <w:t xml:space="preserve">The most profound long-term measure of public value is</w:t>
      </w:r>
      <w:r>
        <w:t xml:space="preserve"> </w:t>
      </w:r>
      <w:r>
        <w:rPr>
          <w:i/>
          <w:iCs/>
        </w:rPr>
        <w:t xml:space="preserve">practice change</w:t>
      </w:r>
      <w:r>
        <w:t xml:space="preserve"> </w:t>
      </w:r>
      <w:r>
        <w:t xml:space="preserve">— a fundamental shift in how science is conducted, moving from hypothesis-driven research to data-driven discovery and from evidence-based practice to practice-based evidence</w:t>
      </w:r>
      <w:r>
        <w:t xml:space="preserve"> </w:t>
      </w:r>
      <w:r>
        <w:t xml:space="preserve">[38]</w:t>
      </w:r>
      <w:r>
        <w:t xml:space="preserve">.</w:t>
      </w:r>
      <w:r>
        <w:t xml:space="preserve"> </w:t>
      </w:r>
      <w:r>
        <w:t xml:space="preserve">Concrete indicators include the adoption rate of cloud-based workspaces versus local data downloads (a proxy for computational paradigm shift), cross-disciplinary co-authorship networks across Common Fund programs (a measure of new collaborative partnerships), and the geographic and institutional breadth of the user base, particularly the participation of early-stage investigators from under-resourced institutions.</w:t>
      </w:r>
      <w:r>
        <w:t xml:space="preserve"> </w:t>
      </w:r>
      <w:r>
        <w:t xml:space="preserve">These indicators capture whether a data ecosystem is achieving its ultimate goal of democratizing access and accelerating discovery.</w:t>
      </w:r>
    </w:p>
    <w:bookmarkEnd w:id="20"/>
    <w:bookmarkStart w:id="21" w:name="scientific-quality"/>
    <w:p>
      <w:pPr>
        <w:pStyle w:val="Heading3"/>
      </w:pPr>
      <w:r>
        <w:t xml:space="preserve">0.1.3 Scientific quality</w:t>
      </w:r>
    </w:p>
    <w:p>
      <w:pPr>
        <w:pStyle w:val="FirstParagraph"/>
      </w:pPr>
      <w:r>
        <w:t xml:space="preserve">The</w:t>
      </w:r>
      <w:r>
        <w:t xml:space="preserve"> </w:t>
      </w:r>
      <w:r>
        <w:rPr>
          <w:i/>
          <w:iCs/>
        </w:rPr>
        <w:t xml:space="preserve">scientific quality</w:t>
      </w:r>
      <w:r>
        <w:t xml:space="preserve"> </w:t>
      </w:r>
      <w:r>
        <w:t xml:space="preserve">framework addresses whether a resource’s data can actually be found, understood, and reused by others.</w:t>
      </w:r>
      <w:r>
        <w:t xml:space="preserve"> </w:t>
      </w:r>
      <w:r>
        <w:t xml:space="preserve">Poor data quality and poor annotation are leading barriers to data reuse</w:t>
      </w:r>
      <w:r>
        <w:t xml:space="preserve"> </w:t>
      </w:r>
      <w:r>
        <w:t xml:space="preserve">[39]</w:t>
      </w:r>
      <w:r>
        <w:t xml:space="preserve">.</w:t>
      </w:r>
      <w:r>
        <w:t xml:space="preserve"> </w:t>
      </w:r>
      <w:r>
        <w:t xml:space="preserve">At the broadest level, metadata metrics document the study — its name, description, dates, funding, contributors, and website — and should be uniform across projects to enable portfolio-level comparisons.</w:t>
      </w:r>
      <w:r>
        <w:t xml:space="preserve"> </w:t>
      </w:r>
      <w:r>
        <w:t xml:space="preserve">At a finer grain, data-level metrics capture storage format, dataset size, data types (clinical, genomic, metabolomic, etc.), measurement platforms (e.g., Olink Explore HT for proteomics), biospecimen handling, and collection conditions (e.g., fasting status).</w:t>
      </w:r>
      <w:r>
        <w:t xml:space="preserve"> </w:t>
      </w:r>
      <w:r>
        <w:t xml:space="preserve">At the finest grain, dataset-level metrics include sample sizes, variable counts, demographic summaries, and QC statistics.</w:t>
      </w:r>
    </w:p>
    <w:p>
      <w:pPr>
        <w:pStyle w:val="BodyText"/>
      </w:pPr>
      <w:r>
        <w:t xml:space="preserve">For evaluation purposes, summary metrics spanning all three levels are more tractable than cataloging every study-specific variable.</w:t>
      </w:r>
      <w:r>
        <w:t xml:space="preserve"> </w:t>
      </w:r>
      <w:r>
        <w:rPr>
          <w:i/>
          <w:iCs/>
        </w:rPr>
        <w:t xml:space="preserve">Metadata completeness</w:t>
      </w:r>
      <w:r>
        <w:t xml:space="preserve"> </w:t>
      </w:r>
      <w:r>
        <w:t xml:space="preserve">counts the presence of required fields and can be assessed programmatically.</w:t>
      </w:r>
      <w:r>
        <w:t xml:space="preserve"> </w:t>
      </w:r>
      <w:r>
        <w:rPr>
          <w:i/>
          <w:iCs/>
        </w:rPr>
        <w:t xml:space="preserve">Standardized metadata</w:t>
      </w:r>
      <w:r>
        <w:t xml:space="preserve"> </w:t>
      </w:r>
      <w:r>
        <w:t xml:space="preserve">assesses whether fields conform to community guidelines — a harder problem that often requires human review.</w:t>
      </w:r>
      <w:r>
        <w:t xml:space="preserve"> </w:t>
      </w:r>
      <w:r>
        <w:rPr>
          <w:i/>
          <w:iCs/>
        </w:rPr>
        <w:t xml:space="preserve">Quality-control (QC) compliance</w:t>
      </w:r>
      <w:r>
        <w:t xml:space="preserve"> </w:t>
      </w:r>
      <w:r>
        <w:t xml:space="preserve">and</w:t>
      </w:r>
      <w:r>
        <w:t xml:space="preserve"> </w:t>
      </w:r>
      <w:r>
        <w:rPr>
          <w:i/>
          <w:iCs/>
        </w:rPr>
        <w:t xml:space="preserve">data uniqueness</w:t>
      </w:r>
      <w:r>
        <w:t xml:space="preserve"> </w:t>
      </w:r>
      <w:r>
        <w:t xml:space="preserve">are similarly difficult to automate and frequently require trained evaluators.</w:t>
      </w:r>
      <w:r>
        <w:t xml:space="preserve"> </w:t>
      </w:r>
      <w:r>
        <w:t xml:space="preserve">Two additional high-value metrics are the presence (</w:t>
      </w:r>
      <w:r>
        <w:rPr>
          <w:i/>
          <w:iCs/>
        </w:rPr>
        <w:t xml:space="preserve">available data dictionary</w:t>
      </w:r>
      <w:r>
        <w:t xml:space="preserve">) and quality (</w:t>
      </w:r>
      <w:r>
        <w:rPr>
          <w:i/>
          <w:iCs/>
        </w:rPr>
        <w:t xml:space="preserve">quality data dictionary</w:t>
      </w:r>
      <w:r>
        <w:t xml:space="preserve">) of a data dictionary that documents variable definitions, units, timing, and transformations; the former can be detected by script, the latter requires domain expertise.</w:t>
      </w:r>
      <w:r>
        <w:t xml:space="preserve"> </w:t>
      </w:r>
      <w:r>
        <w:t xml:space="preserve">The Standard Evaluation Framework for Large Health Care Data identifies 49 specific attributes grouped into three domains — the collection process, the data itself, and data use — that provide a comprehensive approach to assessing fitness for purpose</w:t>
      </w:r>
      <w:r>
        <w:t xml:space="preserve"> </w:t>
      </w:r>
      <w:r>
        <w:t xml:space="preserve">[40]</w:t>
      </w:r>
      <w:r>
        <w:t xml:space="preserve">.</w:t>
      </w:r>
      <w:r>
        <w:t xml:space="preserve"> </w:t>
      </w:r>
      <w:r>
        <w:t xml:space="preserve">Two attributes from this framework are particularly relevant for federated ecosystems like the CFDE:</w:t>
      </w:r>
      <w:r>
        <w:t xml:space="preserve"> </w:t>
      </w:r>
      <w:r>
        <w:rPr>
          <w:i/>
          <w:iCs/>
        </w:rPr>
        <w:t xml:space="preserve">representativeness</w:t>
      </w:r>
      <w:r>
        <w:t xml:space="preserve">, the extent to which a dataset generalizes beyond its source population — critical for avoiding both Type 1 (false positive) and Type 2 (false negative) errors in scientific conclusions drawn from the data — and</w:t>
      </w:r>
      <w:r>
        <w:t xml:space="preserve"> </w:t>
      </w:r>
      <w:r>
        <w:rPr>
          <w:i/>
          <w:iCs/>
        </w:rPr>
        <w:t xml:space="preserve">linkability</w:t>
      </w:r>
      <w:r>
        <w:t xml:space="preserve">, the extent to which data can be integrated with external sources, a paramount concern for an ecosystem whose mission is to enable queries across diverse programs.</w:t>
      </w:r>
    </w:p>
    <w:p>
      <w:pPr>
        <w:pStyle w:val="BodyText"/>
      </w:pPr>
      <w:r>
        <w:t xml:space="preserve">The</w:t>
      </w:r>
      <w:r>
        <w:t xml:space="preserve"> </w:t>
      </w:r>
      <w:r>
        <w:rPr>
          <w:i/>
          <w:iCs/>
        </w:rPr>
        <w:t xml:space="preserve">scientific quality</w:t>
      </w:r>
      <w:r>
        <w:t xml:space="preserve"> </w:t>
      </w:r>
      <w:r>
        <w:t xml:space="preserve">of software can be assessed through the presence of indicators associated with strong open source software development practices.</w:t>
      </w:r>
      <w:r>
        <w:t xml:space="preserve"> </w:t>
      </w:r>
      <w:r>
        <w:t xml:space="preserve">These include the presence of documentation, including</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w:t>
      </w:r>
      <w:r>
        <w:t xml:space="preserve"> </w:t>
      </w:r>
      <w:r>
        <w:t xml:space="preserve">The use of automated testing frameworks is another signifier of robust scientific software</w:t>
      </w:r>
      <w:r>
        <w:t xml:space="preserve"> </w:t>
      </w:r>
      <w:r>
        <w:t xml:space="preserve">[41]</w:t>
      </w:r>
      <w:r>
        <w:t xml:space="preserve">.</w:t>
      </w:r>
      <w:r>
        <w:t xml:space="preserve"> </w:t>
      </w:r>
      <w:r>
        <w:t xml:space="preserve">They can also include whether or not the software is incorporated into broader ecosystems of tools, such as Bioconductor</w:t>
      </w:r>
      <w:r>
        <w:t xml:space="preserve"> </w:t>
      </w:r>
      <w:r>
        <w:t xml:space="preserve">[42]</w:t>
      </w:r>
      <w:r>
        <w:t xml:space="preserve">, which often verify additional quality markers.</w:t>
      </w:r>
      <w:r>
        <w:t xml:space="preserve"> </w:t>
      </w:r>
      <w:r>
        <w:t xml:space="preserve">For a more structured assessment of software components, the ELIXIR</w:t>
      </w:r>
      <w:r>
        <w:t xml:space="preserve"> </w:t>
      </w:r>
      <w:r>
        <w:t xml:space="preserve">“Top 10 Metrics for Life Science Software Good Practices”</w:t>
      </w:r>
      <w:r>
        <w:t xml:space="preserve"> </w:t>
      </w:r>
      <w:r>
        <w:t xml:space="preserve">provides a prioritized framework ranked by importance (impact on sustainability) and implementability (ease of generation)</w:t>
      </w:r>
      <w:r>
        <w:t xml:space="preserve"> </w:t>
      </w:r>
      <w:r>
        <w:t xml:space="preserve">[43]</w:t>
      </w:r>
      <w:r>
        <w:t xml:space="preserve">.</w:t>
      </w:r>
      <w:r>
        <w:t xml:space="preserve"> </w:t>
      </w:r>
      <w:r>
        <w:t xml:space="preserve">These quality metrics — spanning version control, software discoverability, automated builds, test data availability, and documentation — offer a reproducible scorecard for evaluating the software that underpins data infrastructure.</w:t>
      </w:r>
      <w:r>
        <w:t xml:space="preserve"> </w:t>
      </w:r>
      <w:r>
        <w:t xml:space="preserve">A particularly relevant metric for federated ecosystems is</w:t>
      </w:r>
      <w:r>
        <w:t xml:space="preserve"> </w:t>
      </w:r>
      <w:r>
        <w:t xml:space="preserve">“Minimal Reimplementation”</w:t>
      </w:r>
      <w:r>
        <w:t xml:space="preserve"> </w:t>
      </w:r>
      <w:r>
        <w:t xml:space="preserve">— the preference for using established libraries over custom code — which reduces errors and technical debt across the portfolio.</w:t>
      </w:r>
      <w:r>
        <w:t xml:space="preserve"> </w:t>
      </w:r>
      <w:r>
        <w:t xml:space="preserve">The PIsCO (Performance Indicators framework for Collection of bioinformatics resource metrics) provides a server-side framework for automating the collection and visualization of these metrics, enabling integration of software health data directly into evaluation dashboards</w:t>
      </w:r>
      <w:r>
        <w:t xml:space="preserve"> </w:t>
      </w:r>
      <w:r>
        <w:t xml:space="preserve">[43]</w:t>
      </w:r>
      <w:r>
        <w:t xml:space="preserve">.</w:t>
      </w:r>
      <w:r>
        <w:t xml:space="preserve"> </w:t>
      </w:r>
      <w:r>
        <w:t xml:space="preserve">The advent of large language models for software development is also raising the feasible sophistication of code quality checks, potentially providing a real-time or near-real-time assessment of software quality at scale.</w:t>
      </w:r>
    </w:p>
    <w:p>
      <w:pPr>
        <w:pStyle w:val="BodyText"/>
      </w:pPr>
      <w:r>
        <w:t xml:space="preserve">A structured approach to assessing these qualities is provided by FAIR maturity models.</w:t>
      </w:r>
      <w:r>
        <w:t xml:space="preserve"> </w:t>
      </w:r>
      <w:r>
        <w:t xml:space="preserve">The evolution from first-generation (</w:t>
      </w:r>
      <w:r>
        <w:t xml:space="preserve">“Gen1”</w:t>
      </w:r>
      <w:r>
        <w:t xml:space="preserve">) FAIR metrics — which relied on manual, human-assessed compliance — to second-generation (</w:t>
      </w:r>
      <w:r>
        <w:t xml:space="preserve">“Gen2”</w:t>
      </w:r>
      <w:r>
        <w:t xml:space="preserve">) maturity indicators that are automated and machine-measurable</w:t>
      </w:r>
      <w:r>
        <w:t xml:space="preserve"> </w:t>
      </w:r>
      <w:r>
        <w:t xml:space="preserve">[23]</w:t>
      </w:r>
      <w:r>
        <w:t xml:space="preserve"> </w:t>
      </w:r>
      <w:r>
        <w:t xml:space="preserve">is essential for the CFDE, where the volume of metadata prevents manual auditing of every record.</w:t>
      </w:r>
      <w:r>
        <w:t xml:space="preserve"> </w:t>
      </w:r>
      <w:r>
        <w:t xml:space="preserve">The FAIRplus Dataset Maturity (FAIRplus-DSM) model</w:t>
      </w:r>
      <w:r>
        <w:t xml:space="preserve"> </w:t>
      </w:r>
      <w:r>
        <w:t xml:space="preserve">[44]</w:t>
      </w:r>
      <w:r>
        <w:t xml:space="preserve">, developed for the life sciences, defines six levels ranging from Level 0 (no unique identifiers, unshared local storage) through Level 5 (provenance encoded in cross-community languages, enterprise-grade lifecycle management).</w:t>
      </w:r>
      <w:r>
        <w:t xml:space="preserve"> </w:t>
      </w:r>
      <w:r>
        <w:t xml:space="preserve">Levels 1–2 cover persistent identifiers and indexed metadata; Levels 3–4 require adherence to community reporting standards (e.g., MIAME) and semantic representation using linked data.</w:t>
      </w:r>
      <w:r>
        <w:t xml:space="preserve"> </w:t>
      </w:r>
      <w:r>
        <w:t xml:space="preserve">Ontology standardization at these higher maturity levels is particularly important for the CFDE’s Knowledge Center, which relies on controlled terminologies to build integrated knowledge graphs that enable cross-omics queries.</w:t>
      </w:r>
      <w:r>
        <w:t xml:space="preserve"> </w:t>
      </w:r>
      <w:r>
        <w:t xml:space="preserve">The Research Data Alliance (RDA) further classifies FAIR indicators by priority — Essential (globally unique persistent identifiers, open access protocols), Important (machine-understandable knowledge representation), and Useful (automated data access by software agents) — providing a tiered roadmap for incremental improvement.</w:t>
      </w:r>
      <w:r>
        <w:t xml:space="preserve"> </w:t>
      </w:r>
      <w:r>
        <w:t xml:space="preserve">Automated tools such as the FAIR Evaluator can test digital resources against these indicators at scale using small web applications (</w:t>
      </w:r>
      <w:r>
        <w:t xml:space="preserve">“Compliance Tests”</w:t>
      </w:r>
      <w:r>
        <w:t xml:space="preserve">) that programmatically assess each maturity indicator, making continuous</w:t>
      </w:r>
      <w:r>
        <w:t xml:space="preserve"> </w:t>
      </w:r>
      <w:r>
        <w:rPr>
          <w:i/>
          <w:iCs/>
        </w:rPr>
        <w:t xml:space="preserve">FAIR compliance</w:t>
      </w:r>
      <w:r>
        <w:t xml:space="preserve"> </w:t>
      </w:r>
      <w:r>
        <w:t xml:space="preserve">monitoring feasible for large portfolios</w:t>
      </w:r>
      <w:r>
        <w:t xml:space="preserve"> </w:t>
      </w:r>
      <w:r>
        <w:t xml:space="preserve">[23]</w:t>
      </w:r>
      <w:r>
        <w:t xml:space="preserve">.</w:t>
      </w:r>
    </w:p>
    <w:bookmarkEnd w:id="21"/>
    <w:bookmarkStart w:id="23" w:name="operations-and-finance"/>
    <w:p>
      <w:pPr>
        <w:pStyle w:val="Heading3"/>
      </w:pPr>
      <w:r>
        <w:t xml:space="preserve">0.1.4 Operations and finance</w:t>
      </w:r>
    </w:p>
    <w:p>
      <w:pPr>
        <w:pStyle w:val="FirstParagraph"/>
      </w:pPr>
      <w:r>
        <w:t xml:space="preserve">The</w:t>
      </w:r>
      <w:r>
        <w:t xml:space="preserve"> </w:t>
      </w:r>
      <w:r>
        <w:rPr>
          <w:i/>
          <w:iCs/>
        </w:rPr>
        <w:t xml:space="preserve">operations and finance</w:t>
      </w:r>
      <w:r>
        <w:t xml:space="preserve"> </w:t>
      </w:r>
      <w:r>
        <w:t xml:space="preserve">framework addresses whether the infrastructure supporting a data resource is reliable, performant, and sustainable.</w:t>
      </w:r>
      <w:r>
        <w:t xml:space="preserve"> </w:t>
      </w:r>
      <w:r>
        <w:t xml:space="preserve">On the operations side, 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 and</w:t>
      </w:r>
      <w:r>
        <w:t xml:space="preserve"> </w:t>
      </w:r>
      <w:r>
        <w:rPr>
          <w:i/>
          <w:iCs/>
        </w:rPr>
        <w:t xml:space="preserve">client errors</w:t>
      </w:r>
      <w:r>
        <w:t xml:space="preserve"> </w:t>
      </w:r>
      <w:r>
        <w:t xml:space="preserve">— can be captured via analytics platforms and log-file scripts.</w:t>
      </w:r>
      <w:r>
        <w:t xml:space="preserve"> </w:t>
      </w:r>
      <w:r>
        <w:t xml:space="preserve">Compute-level metrics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identify performance bottlenecks.</w:t>
      </w:r>
      <w:r>
        <w:t xml:space="preserve"> </w:t>
      </w:r>
      <w:r>
        <w:t xml:space="preserve">These metrics carry inherent variability due to time-of-day load, job size, and client-side network conditions, so monitoring trends rather than point-in-time values is most informative.</w:t>
      </w:r>
    </w:p>
    <w:p>
      <w:pPr>
        <w:pStyle w:val="BodyText"/>
      </w:pPr>
      <w:r>
        <w:t xml:space="preserve">For projects built on open-source software — as many CFDE components are — GitHub repository analytics provide an additional operational window.</w:t>
      </w:r>
      <w:r>
        <w:t xml:space="preserve"> </w:t>
      </w:r>
      <w:r>
        <w:t xml:space="preserve">Development velocity (commit frequency, pull-request review latency, merge frequency) reflects team capacity and responsiveness to community contributions.</w:t>
      </w:r>
      <w:r>
        <w:t xml:space="preserve"> </w:t>
      </w:r>
      <w:r>
        <w:t xml:space="preserve">These dimensions can be combined into a composite score of repository health that provides a summary indicator of project vitality.</w:t>
      </w:r>
      <w:r>
        <w:t xml:space="preserve"> </w:t>
      </w:r>
      <w:r>
        <w:t xml:space="preserve">Operational health of a codebase can be assessed by tracking stale pull requests, abandoned branches, and unresolved issues, which can signal accumulating technical debt, declining institutional support, or funding gaps.</w:t>
      </w:r>
      <w:r>
        <w:t xml:space="preserve"> </w:t>
      </w:r>
      <w:r>
        <w:t xml:space="preserve">Contributor dynamics — distinguishing core team commits from external community contributions — indicate whether training and outreach efforts are successfully broadening adoption.</w:t>
      </w:r>
    </w:p>
    <w:p>
      <w:pPr>
        <w:pStyle w:val="BodyText"/>
      </w:pPr>
      <w:r>
        <w:t xml:space="preserve">On the finance side, sustainability has been identified by the Council of Councils as the</w:t>
      </w:r>
      <w:r>
        <w:t xml:space="preserve"> </w:t>
      </w:r>
      <w:r>
        <w:t xml:space="preserve">“critical issue”</w:t>
      </w:r>
      <w:r>
        <w:t xml:space="preserve"> </w:t>
      </w:r>
      <w:r>
        <w:t xml:space="preserve">for the CFDE, primarily because the programs that generate data are finite in duration</w:t>
      </w:r>
      <w:r>
        <w:t xml:space="preserve"> </w:t>
      </w:r>
      <w:r>
        <w:t xml:space="preserve">[15]</w:t>
      </w:r>
      <w:r>
        <w:t xml:space="preserve">.</w:t>
      </w:r>
      <w:r>
        <w:t xml:space="preserve"> </w:t>
      </w:r>
      <w:r>
        <w:rPr>
          <w:i/>
          <w:iCs/>
        </w:rPr>
        <w:t xml:space="preserve">Funding cost</w:t>
      </w:r>
      <w:r>
        <w:t xml:space="preserve"> </w:t>
      </w:r>
      <w:r>
        <w:t xml:space="preserve">is the most accessible metric, but a full cost picture requires decomposing it into components:</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 </w:t>
      </w:r>
      <w:r>
        <w:t xml:space="preserve">costs.</w:t>
      </w:r>
      <w:r>
        <w:t xml:space="preserve"> </w:t>
      </w:r>
      <w:r>
        <w:t xml:space="preserve">The National Academies six-step framework for forecasting biomedical information resource costs identifies cost-driver categories — data content, metadata, labor, infrastructure, compliance, and governance — and notes that labor (curation and user support) consistently represents the largest single cost element</w:t>
      </w:r>
      <w:r>
        <w:t xml:space="preserve"> </w:t>
      </w:r>
      <w:r>
        <w:t xml:space="preserve">[45]</w:t>
      </w:r>
      <w:r>
        <w:t xml:space="preserve">.</w:t>
      </w:r>
      <w:r>
        <w:t xml:space="preserve"> </w:t>
      </w:r>
      <w:r>
        <w:t xml:space="preserve">Costs vary significantly as data transitions through different states — from the primary research environment to the active repository to the long-term archive — and evaluation must be treated as an iterative process of planning, implementation, and reporting across these states.</w:t>
      </w:r>
      <w:r>
        <w:t xml:space="preserve"> </w:t>
      </w:r>
      <w:r>
        <w:t xml:space="preserve">Compliance costs — including HIPAA and FISMA requirements and regulatory governance for human-subjects data such as Kids First and GTEx — represent a distinct cost-driver category that is often underestimated in initial budgeting.</w:t>
      </w:r>
      <w:r>
        <w:t xml:space="preserve"> </w:t>
      </w:r>
      <w:r>
        <w:t xml:space="preserve">A critical but often overlooked question is the break-even point for data sharing: mathematical models suggest that the efficiency gains to the research community from reusing shared data do not always outweigh the curation costs borne by generators, highlighting the need for selective investment in high-value datasets.</w:t>
      </w:r>
      <w:r>
        <w:t xml:space="preserve"> </w:t>
      </w:r>
      <w:r>
        <w:t xml:space="preserve">Framing sustainability in terms of</w:t>
      </w:r>
      <w:r>
        <w:t xml:space="preserve"> </w:t>
      </w:r>
      <w:r>
        <w:rPr>
          <w:i/>
          <w:iCs/>
        </w:rPr>
        <w:t xml:space="preserve">cost per data reuse event</w:t>
      </w:r>
      <w:r>
        <w:t xml:space="preserve"> </w:t>
      </w:r>
      <w:r>
        <w:t xml:space="preserve">— dividing total curation and hosting costs by the number of documented reuse instances — provides a concrete, comparable KPI for portfolio-level evaluation.</w:t>
      </w:r>
      <w:r>
        <w:t xml:space="preserve"> </w:t>
      </w:r>
      <w:r>
        <w:t xml:space="preserve">More broadly, evaluating the return on investment (ROI) of a data ecosystem requires distinguishing between direct benefits (cost savings from economies of scale in data generation and curation) and extended benefits (scientific discoveries and improved clinical outcomes enabled by data reuse).</w:t>
      </w:r>
      <w:r>
        <w:t xml:space="preserve"> </w:t>
      </w:r>
      <w:r>
        <w:t xml:space="preserve">Cloud computing introduces additional complexity, as costs are provider-specific, usage-dependent, and subject to change unpredictably</w:t>
      </w:r>
      <w:r>
        <w:t xml:space="preserve"> </w:t>
      </w:r>
      <w:r>
        <w:t xml:space="preserve">[46]</w:t>
      </w:r>
      <w:r>
        <w:t xml:space="preserve">.</w:t>
      </w:r>
      <w:r>
        <w:t xml:space="preserve"> </w:t>
      </w:r>
      <w:r>
        <w:t xml:space="preserve">A summary of all metrics across frameworks is provided in Table</w:t>
      </w:r>
      <w:r>
        <w:t xml:space="preserve"> </w:t>
      </w:r>
      <w:hyperlink w:anchor="tbl-metrics-summary">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2" w:name="tbl-metrics-summary"/>
          <w:p>
            <w:pPr>
              <w:jc w:val="center"/>
            </w:pPr>
            <w:pPr>
              <w:jc w:val="left"/>
              <w:spacing w:before="200"/>
              <w:pStyle w:val="ImageCaption"/>
            </w:pPr>
            <w:r>
              <w:t xml:space="preserve">Table 2: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citiation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22"/>
          <w:p/>
        </w:tc>
      </w:tr>
    </w:tbl>
    <w:bookmarkEnd w:id="23"/>
    <w:bookmarkEnd w:id="24"/>
    <w:bookmarkStart w:id="30" w:name="implementation-progress"/>
    <w:p>
      <w:pPr>
        <w:pStyle w:val="Heading2"/>
      </w:pPr>
      <w:r>
        <w:t xml:space="preserve">0.2 Implementation Progress</w:t>
      </w:r>
    </w:p>
    <w:p>
      <w:pPr>
        <w:pStyle w:val="FirstParagraph"/>
      </w:pPr>
      <w:r>
        <w:t xml:space="preserve">The CFDE presents some challenges to implementation of these frameworks and also some opportunities.</w:t>
      </w:r>
      <w:r>
        <w:t xml:space="preserve"> </w:t>
      </w:r>
      <w:r>
        <w:t xml:space="preserve">The CFDE Integration and Coordination Center (ICC) collects and centralizes metrics across the portfolio, which is a critical step toward enabling real-time monitoring and standardized metrics.</w:t>
      </w:r>
      <w:r>
        <w:t xml:space="preserve"> </w:t>
      </w:r>
      <w:r>
        <w:t xml:space="preserve">Because there are so many projects, data coordinating centers, and five CFDE centers, the ICC has prioritized a subset of metrics (see Table</w:t>
      </w:r>
      <w:r>
        <w:t xml:space="preserve"> </w:t>
      </w:r>
      <w:hyperlink w:anchor="tbl-metrics-cfde">
        <w:r>
          <w:rPr>
            <w:rStyle w:val="Hyperlink"/>
          </w:rPr>
          <w:t xml:space="preserve">Table 3</w:t>
        </w:r>
      </w:hyperlink>
      <w:r>
        <w:t xml:space="preserve">) that are both informative and feasible to collect across all projects, with the intention of expanding over time.</w:t>
      </w:r>
      <w:r>
        <w:t xml:space="preserve"> </w:t>
      </w:r>
      <w:r>
        <w:t xml:space="preserve">The ICC has also developed a dashboard to visualize these metrics at the project and portfolio level, providing actionable insights for program managers and project teams.</w:t>
      </w:r>
    </w:p>
    <w:tbl>
      <w:tblPr>
        <w:tblStyle w:val="Table"/>
        <w:tblW w:type="pct" w:w="5000"/>
        <w:tblLayout w:type="fixed"/>
        <w:tblLook w:firstRow="0" w:lastRow="0" w:firstColumn="0" w:lastColumn="0" w:noHBand="0" w:noVBand="0" w:val="0000"/>
      </w:tblPr>
      <w:tblGrid>
        <w:gridCol w:w="7920"/>
      </w:tblGrid>
      <w:tr>
        <w:tc>
          <w:tcPr/>
          <w:bookmarkStart w:id="25" w:name="tbl-metrics-cfde"/>
          <w:p>
            <w:pPr>
              <w:jc w:val="center"/>
            </w:pPr>
            <w:pPr>
              <w:jc w:val="left"/>
              <w:spacing w:before="200"/>
              <w:pStyle w:val="ImageCaption"/>
            </w:pPr>
            <w:r>
              <w:t xml:space="preserve">Table 3: Summary of data sources and metrics collected by the CFDE ICC dashboard as of January 2026.</w:t>
            </w:r>
            <w:r>
              <w:t xml:space="preserve"> </w:t>
            </w:r>
            <w:r>
              <w:t xml:space="preserve">Note that this is a subset of the full set of metrics described in this paper,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Publications details, citations</w:t>
                  </w:r>
                </w:p>
              </w:tc>
            </w:tr>
            <w:tr>
              <w:tc>
                <w:tcPr/>
                <w:p>
                  <w:pPr>
                    <w:pStyle w:val="Compact"/>
                    <w:jc w:val="left"/>
                    <w:jc w:val="center"/>
                  </w:pPr>
                  <w:r>
                    <w:t xml:space="preserve">NIH iCite</w:t>
                  </w:r>
                </w:p>
              </w:tc>
              <w:tc>
                <w:tcPr/>
                <w:p>
                  <w:pPr>
                    <w:pStyle w:val="Compact"/>
                    <w:jc w:val="left"/>
                    <w:jc w:val="center"/>
                  </w:pPr>
                  <w:r>
                    <w:t xml:space="preserve">Citation details, citation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GitHub repository narrative summaries using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25"/>
          <w:p/>
        </w:tc>
      </w:tr>
    </w:tbl>
    <w:p>
      <w:pPr>
        <w:pStyle w:val="BodyText"/>
      </w:pPr>
      <w:r>
        <w:t xml:space="preserve">Collection of certain</w:t>
      </w:r>
      <w:r>
        <w:t xml:space="preserve"> </w:t>
      </w:r>
      <w:r>
        <w:rPr>
          <w:i/>
          <w:iCs/>
        </w:rPr>
        <w:t xml:space="preserve">public value</w:t>
      </w:r>
      <w:r>
        <w:t xml:space="preserve"> </w:t>
      </w:r>
      <w:r>
        <w:t xml:space="preserve">metrics is relatively straightforward when data are already collected by projects for their own reporting purposes (e.g., publications, presentations, grants) or are accessible via public databases (e.g., PubMed, NIH RePORTER).</w:t>
      </w:r>
      <w:r>
        <w:t xml:space="preserve"> </w:t>
      </w:r>
      <w:r>
        <w:t xml:space="preserve">However, the collection of GitHub and Google Analytics data requires coordination with project teams to ensure that the ICC has access to these data sources.</w:t>
      </w:r>
      <w:r>
        <w:t xml:space="preserve"> </w:t>
      </w:r>
      <w:r>
        <w:t xml:space="preserve">In particular, we ask projects to label their GitHub repositories with their NIH core project number (e.g.,</w:t>
      </w:r>
      <w:r>
        <w:t xml:space="preserve"> </w:t>
      </w:r>
      <w:r>
        <w:t xml:space="preserve">“R01AG123456”</w:t>
      </w:r>
      <w:r>
        <w:t xml:space="preserve">) to enable automated tracking of repository activity, and we ask projects to add our service account email to their Google Analytics, allowing us to automatically collect website metrics.</w:t>
      </w:r>
      <w:r>
        <w:t xml:space="preserve"> </w:t>
      </w:r>
      <w:r>
        <w:t xml:space="preserve">With the support of NIH program staff, the ICC has onboarded projects to share these data, which has involved addressing technical challenges (e.g., API access, data formatting) and building trust with project teams around data sharing and privacy concerns.</w:t>
      </w:r>
    </w:p>
    <w:p>
      <w:pPr>
        <w:pStyle w:val="BodyText"/>
      </w:pPr>
      <w:r>
        <w:t xml:space="preserve">The resulting data are presented in a dashboard that allows users to explore metrics at the project level (e.g., publications, citations, GitHub activity) and at the portfolio level (e.g., trends in publications and citations across all projects).</w:t>
      </w:r>
      <w:r>
        <w:t xml:space="preserve"> </w:t>
      </w:r>
      <w:r>
        <w:t xml:space="preserve">We have implemented authentication and role-based access controls (based on ORCID</w:t>
      </w:r>
      <w:r>
        <w:t xml:space="preserve"> </w:t>
      </w:r>
      <w:r>
        <w:t xml:space="preserve">[47]</w:t>
      </w:r>
      <w:r>
        <w:t xml:space="preserve"> </w:t>
      </w:r>
      <w:r>
        <w:t xml:space="preserve">login) to allow project teams to view their own data while providing program managers with a portfolio-wide view, balancing transparency with privacy concerns.</w:t>
      </w:r>
      <w:r>
        <w:t xml:space="preserve"> </w:t>
      </w:r>
      <w:r>
        <w:t xml:space="preserve">See</w:t>
      </w:r>
      <w:r>
        <w:t xml:space="preserve"> </w:t>
      </w:r>
      <w:hyperlink w:anchor="fig-dashboard">
        <w:r>
          <w:rPr>
            <w:rStyle w:val="Hyperlink"/>
          </w:rPr>
          <w:t xml:space="preserve">Figure 2</w:t>
        </w:r>
      </w:hyperlink>
      <w:r>
        <w:t xml:space="preserve"> </w:t>
      </w:r>
      <w:r>
        <w:t xml:space="preserve">for some screenshots of the dashboard interface, implemented as a standard web application with a TypeScript frontend and Python/Django backend, with data stored in a PostgreSQL database.</w:t>
      </w:r>
    </w:p>
    <w:tbl>
      <w:tblPr>
        <w:tblStyle w:val="Table"/>
        <w:tblW w:type="pct" w:w="5000"/>
        <w:tblLayout w:type="fixed"/>
        <w:tblLook w:firstRow="0" w:lastRow="0" w:firstColumn="0" w:lastColumn="0" w:noHBand="0" w:noVBand="0" w:val="0000"/>
      </w:tblPr>
      <w:tblGrid>
        <w:gridCol w:w="7920"/>
      </w:tblGrid>
      <w:tr>
        <w:tc>
          <w:tcPr/>
          <w:bookmarkStart w:id="29" w:name="fig-dashboard"/>
          <w:p>
            <w:pPr>
              <w:pStyle w:val="Compact"/>
              <w:jc w:val="center"/>
            </w:pPr>
            <w:r>
              <w:drawing>
                <wp:inline>
                  <wp:extent cx="5334000" cy="2147548"/>
                  <wp:effectExtent b="0" l="0" r="0" t="0"/>
                  <wp:docPr descr="" title="" id="27" name="Picture"/>
                  <a:graphic>
                    <a:graphicData uri="http://schemas.openxmlformats.org/drawingml/2006/picture">
                      <pic:pic>
                        <pic:nvPicPr>
                          <pic:cNvPr descr="content/images/dashboard_screenshot.png" id="28" name="Picture"/>
                          <pic:cNvPicPr>
                            <a:picLocks noChangeArrowheads="1" noChangeAspect="1"/>
                          </pic:cNvPicPr>
                        </pic:nvPicPr>
                        <pic:blipFill>
                          <a:blip r:embed="rId26"/>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project-level and portfolio-level metrics. The dashboard is expected evolve over time. Authentication and authorization controls are implemented in accordance with CFDE community consensus on data access (private vs public).</w:t>
            </w:r>
          </w:p>
          <w:bookmarkEnd w:id="29"/>
        </w:tc>
      </w:tr>
    </w:tbl>
    <w:p>
      <w:pPr>
        <w:pStyle w:val="BodyText"/>
      </w:pPr>
      <w:r>
        <w:t xml:space="preserve">As we embarked on this implementation, we found that several other groups within the CFDE were engaged in related efforts.</w:t>
      </w:r>
      <w:r>
        <w:t xml:space="preserve"> </w:t>
      </w:r>
      <w:r>
        <w:t xml:space="preserve">Furthermore, we have identified partners in helping to define valuable metrics and how they are collected.</w:t>
      </w:r>
      <w:r>
        <w:t xml:space="preserve"> </w:t>
      </w:r>
      <w:r>
        <w:t xml:space="preserve">In response, we established a</w:t>
      </w:r>
      <w:r>
        <w:t xml:space="preserve"> </w:t>
      </w:r>
      <w:r>
        <w:t xml:space="preserve">“Metrics Working Group”</w:t>
      </w:r>
      <w:r>
        <w:t xml:space="preserve"> </w:t>
      </w:r>
      <w:r>
        <w:t xml:space="preserve">within the CFDE ICC, which includes representatives from several CFDE centers, as well as NIH program staff.</w:t>
      </w:r>
      <w:r>
        <w:t xml:space="preserve"> </w:t>
      </w:r>
      <w:r>
        <w:t xml:space="preserve">This group meets regularly to review the metrics being collected, discuss challenges and opportunities, and plan for future iterations of the dashboard and metric collection processes.</w:t>
      </w:r>
    </w:p>
    <w:p>
      <w:pPr>
        <w:pStyle w:val="BodyText"/>
      </w:pPr>
      <w:r>
        <w:t xml:space="preserve">With the support of the Metrics Working Group, we are also exploring opportunities to pilot additional metrics that are not currently collected across the portfolio but could provide valuable insights into ecosystem performance.</w:t>
      </w:r>
      <w:r>
        <w:t xml:space="preserve"> </w:t>
      </w:r>
      <w:r>
        <w:t xml:space="preserve">Our technical implementation is quite flexible, allowing us to add new data sources and metrics as needed, but we are mindful of the burden on project teams and the need to prioritize metrics that are both informative and feasible to collect.</w:t>
      </w:r>
      <w:r>
        <w:t xml:space="preserve"> </w:t>
      </w:r>
      <w:r>
        <w:t xml:space="preserve">For example, we are considering piloting the collection of</w:t>
      </w:r>
      <w:r>
        <w:t xml:space="preserve"> </w:t>
      </w:r>
      <w:r>
        <w:rPr>
          <w:i/>
          <w:iCs/>
        </w:rPr>
        <w:t xml:space="preserve">data citation rates</w:t>
      </w:r>
      <w:r>
        <w:t xml:space="preserve"> </w:t>
      </w:r>
      <w:r>
        <w:t xml:space="preserve">by implementing a full-text search for dataset accession numbers in publications, which would provide a more accurate measure of data reuse than traditional citation tracking.</w:t>
      </w:r>
      <w:r>
        <w:t xml:space="preserve"> </w:t>
      </w:r>
      <w:r>
        <w:t xml:space="preserve">In collaboration with our ICC Administrative Core, we have are collecting surveys from event organizers to complement the behavioral and citation-based metrics currently collected.</w:t>
      </w:r>
      <w:r>
        <w:t xml:space="preserve"> </w:t>
      </w:r>
      <w:r>
        <w:t xml:space="preserve">Hierarchical narrative summaries of GitHub repositories using AI are also being piloted as a way to provide more qualitative insight into the nature of the work being done in each project, which could help contextualize the quantitative metrics collected.</w:t>
      </w:r>
      <w:r>
        <w:t xml:space="preserve"> </w:t>
      </w:r>
      <w:r>
        <w:t xml:space="preserve">Finally, we are exploring opportunities to leverage generative AI to enhance our metric collection and analysis capabilities, including automated qualitative feedback solicitation through virtual or augmented structured interviews</w:t>
      </w:r>
      <w:r>
        <w:t xml:space="preserve"> </w:t>
      </w:r>
      <w:r>
        <w:t xml:space="preserve">[48]</w:t>
      </w:r>
      <w:r>
        <w:t xml:space="preserve">.</w:t>
      </w:r>
    </w:p>
    <w:bookmarkEnd w:id="30"/>
    <w:bookmarkStart w:id="31" w:name="conclusion"/>
    <w:p>
      <w:pPr>
        <w:pStyle w:val="Heading2"/>
      </w:pPr>
      <w:r>
        <w:t xml:space="preserve">0.3 Conclusion</w:t>
      </w:r>
    </w:p>
    <w:p>
      <w:pPr>
        <w:pStyle w:val="FirstParagraph"/>
      </w:pPr>
      <w:r>
        <w:t xml:space="preserve">The three frameworks described here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&amp; finance</w:t>
      </w:r>
      <w:r>
        <w:t xml:space="preserve"> </w:t>
      </w:r>
      <w:r>
        <w:t xml:space="preserve">— are complementary rather than competing, and their relative importance shifts predictably across the data resource lifecycle.</w:t>
      </w:r>
      <w:r>
        <w:t xml:space="preserve"> </w:t>
      </w:r>
      <w:r>
        <w:t xml:space="preserve">Early-phase investments should prioritize the scientific quality and operations frameworks: getting metadata right, establishing FAIR-compliant structures, and standing up reliable infrastructure are prerequisites for everything that follows.</w:t>
      </w:r>
      <w:r>
        <w:t xml:space="preserve"> </w:t>
      </w:r>
      <w:r>
        <w:t xml:space="preserve">Mid-phase evaluation should expand to all three frameworks, with particular attention to public value metrics as user communities engage with the data.</w:t>
      </w:r>
      <w:r>
        <w:t xml:space="preserve"> </w:t>
      </w:r>
      <w:r>
        <w:t xml:space="preserve">Late-phase and sustainability-focused evaluation should center on the public value and operations &amp; finance frameworks, asking whether the resource continues to generate scientific impact and whether it can sustain its impact as funding landscapes change.</w:t>
      </w:r>
    </w:p>
    <w:p>
      <w:pPr>
        <w:pStyle w:val="BodyText"/>
      </w:pPr>
      <w:r>
        <w:t xml:space="preserve">No framework operates in isolation, and quantitative metrics alone cannot capture the full picture.</w:t>
      </w:r>
      <w:r>
        <w:t xml:space="preserve"> </w:t>
      </w:r>
      <w:r>
        <w:t xml:space="preserve">The NIH Common Fund emphasizes a</w:t>
      </w:r>
      <w:r>
        <w:t xml:space="preserve"> </w:t>
      </w:r>
      <w:r>
        <w:t xml:space="preserve">“360-degree view”</w:t>
      </w:r>
      <w:r>
        <w:t xml:space="preserve"> </w:t>
      </w:r>
      <w:r>
        <w:t xml:space="preserve">of program performance, using mixed-method designs to integrate quantitative metrics with the contextual understanding that only qualitative inquiry can provide</w:t>
      </w:r>
      <w:r>
        <w:t xml:space="preserve"> </w:t>
      </w:r>
      <w:r>
        <w:t xml:space="preserve">[49]</w:t>
      </w:r>
      <w:r>
        <w:t xml:space="preserve">.</w:t>
      </w:r>
      <w:r>
        <w:t xml:space="preserve"> </w:t>
      </w:r>
      <w:r>
        <w:t xml:space="preserve">Mixed-method approaches — combining usage statistics and citation data with structured user interviews, focus groups, and surveys — are essential for understanding</w:t>
      </w:r>
      <w:r>
        <w:t xml:space="preserve"> </w:t>
      </w:r>
      <w:r>
        <w:rPr>
          <w:i/>
          <w:iCs/>
        </w:rPr>
        <w:t xml:space="preserve">why</w:t>
      </w:r>
      <w:r>
        <w:t xml:space="preserve"> </w:t>
      </w:r>
      <w:r>
        <w:t xml:space="preserve">certain resources succeed or fail, not just</w:t>
      </w:r>
      <w:r>
        <w:t xml:space="preserve"> </w:t>
      </w:r>
      <w:r>
        <w:rPr>
          <w:i/>
          <w:iCs/>
        </w:rPr>
        <w:t xml:space="preserve">what</w:t>
      </w:r>
      <w:r>
        <w:t xml:space="preserve"> </w:t>
      </w:r>
      <w:r>
        <w:t xml:space="preserve">is happening</w:t>
      </w:r>
      <w:r>
        <w:t xml:space="preserve"> </w:t>
      </w:r>
      <w:r>
        <w:t xml:space="preserve">[50]</w:t>
      </w:r>
      <w:r>
        <w:t xml:space="preserve">.</w:t>
      </w:r>
      <w:r>
        <w:t xml:space="preserve"> </w:t>
      </w:r>
      <w:r>
        <w:t xml:space="preserve">The ICC’s current implementation reflects this principle: the dashboard integrates quantitative data from PubMed, GitHub, and Google Analytics, while pilot efforts in user surveys and AI-augmented structured interviews are beginning to add the qualitative dimension.</w:t>
      </w:r>
      <w:r>
        <w:t xml:space="preserve"> </w:t>
      </w:r>
      <w:r>
        <w:t xml:space="preserve">Qualitative metrics — including user satisfaction, perceived ease of use, and the</w:t>
      </w:r>
      <w:r>
        <w:t xml:space="preserve"> </w:t>
      </w:r>
      <w:r>
        <w:t xml:space="preserve">“uniqueness”</w:t>
      </w:r>
      <w:r>
        <w:t xml:space="preserve"> </w:t>
      </w:r>
      <w:r>
        <w:t xml:space="preserve">or</w:t>
      </w:r>
      <w:r>
        <w:t xml:space="preserve"> </w:t>
      </w:r>
      <w:r>
        <w:t xml:space="preserve">“novelty”</w:t>
      </w:r>
      <w:r>
        <w:t xml:space="preserve"> </w:t>
      </w:r>
      <w:r>
        <w:t xml:space="preserve">of the integrated data — complement quantitative indicators by revealing dimensions of value that usage counts cannot capture</w:t>
      </w:r>
      <w:r>
        <w:t xml:space="preserve"> </w:t>
      </w:r>
      <w:r>
        <w:t xml:space="preserve">[37]</w:t>
      </w:r>
      <w:r>
        <w:t xml:space="preserve">.</w:t>
      </w:r>
      <w:r>
        <w:t xml:space="preserve"> </w:t>
      </w:r>
      <w:r>
        <w:t xml:space="preserve">Two established designs are particularly suited to ecosystem evaluation:</w:t>
      </w:r>
      <w:r>
        <w:t xml:space="preserve"> </w:t>
      </w:r>
      <w:r>
        <w:rPr>
          <w:i/>
          <w:iCs/>
        </w:rPr>
        <w:t xml:space="preserve">sequential explanatory</w:t>
      </w:r>
      <w:r>
        <w:t xml:space="preserve"> </w:t>
      </w:r>
      <w:r>
        <w:t xml:space="preserve">designs, in which quantitative data (e.g., utilization rates) are collected first and then followed by qualitative interviews or focus groups to explain observed patterns, and</w:t>
      </w:r>
      <w:r>
        <w:t xml:space="preserve"> </w:t>
      </w:r>
      <w:r>
        <w:rPr>
          <w:i/>
          <w:iCs/>
        </w:rPr>
        <w:t xml:space="preserve">convergent</w:t>
      </w:r>
      <w:r>
        <w:t xml:space="preserve"> </w:t>
      </w:r>
      <w:r>
        <w:t xml:space="preserve">designs, in which both data types are collected simultaneously and compared at the interpretation stage to triangulate findings</w:t>
      </w:r>
      <w:r>
        <w:t xml:space="preserve"> </w:t>
      </w:r>
      <w:r>
        <w:t xml:space="preserve">[51]</w:t>
      </w:r>
      <w:r>
        <w:t xml:space="preserve">.</w:t>
      </w:r>
      <w:r>
        <w:t xml:space="preserve"> </w:t>
      </w:r>
      <w:r>
        <w:t xml:space="preserve">Logic models that explicitly connect inputs (funding, data, personnel) to activities (harmonization, training, curation), outputs (portals, trained users, tools), and outcomes (publications, funded grants, practice change)</w:t>
      </w:r>
      <w:r>
        <w:t xml:space="preserve"> </w:t>
      </w:r>
      <w:r>
        <w:t xml:space="preserve">[52]</w:t>
      </w:r>
      <w:r>
        <w:t xml:space="preserve"> </w:t>
      </w:r>
      <w:r>
        <w:t xml:space="preserve">provide the evaluative scaffolding needed to identify which elements of an ecosystem are working.</w:t>
      </w:r>
      <w:r>
        <w:t xml:space="preserve"> </w:t>
      </w:r>
      <w:r>
        <w:t xml:space="preserve">For the CFDE, these models should answer two critical evaluation questions:</w:t>
      </w:r>
      <w:r>
        <w:t xml:space="preserve"> </w:t>
      </w:r>
      <w:r>
        <w:t xml:space="preserve">“To what extent are the elements of the logic model being implemented?”</w:t>
      </w:r>
      <w:r>
        <w:t xml:space="preserve"> </w:t>
      </w:r>
      <w:r>
        <w:t xml:space="preserve">and</w:t>
      </w:r>
      <w:r>
        <w:t xml:space="preserve"> </w:t>
      </w:r>
      <w:r>
        <w:t xml:space="preserve">“What are the critical paths through the model that lead to success?”</w:t>
      </w:r>
      <w:r>
        <w:t xml:space="preserve"> </w:t>
      </w:r>
      <w:r>
        <w:t xml:space="preserve">[53]</w:t>
      </w:r>
      <w:r>
        <w:t xml:space="preserve">.</w:t>
      </w:r>
      <w:r>
        <w:t xml:space="preserve"> </w:t>
      </w:r>
      <w:r>
        <w:t xml:space="preserve">These models should be treated as living documents, revised as programs transition from pilot to full implementation.</w:t>
      </w:r>
    </w:p>
    <w:p>
      <w:pPr>
        <w:pStyle w:val="BodyText"/>
      </w:pPr>
      <w:r>
        <w:t xml:space="preserve">A critical long-term challenge is closing the</w:t>
      </w:r>
      <w:r>
        <w:t xml:space="preserve"> </w:t>
      </w:r>
      <w:r>
        <w:t xml:space="preserve">“know-do gap”</w:t>
      </w:r>
      <w:r>
        <w:t xml:space="preserve"> </w:t>
      </w:r>
      <w:r>
        <w:t xml:space="preserve">— the distance between the information provided by metrics and actual decision-making.</w:t>
      </w:r>
      <w:r>
        <w:t xml:space="preserve"> </w:t>
      </w:r>
      <w:r>
        <w:t xml:space="preserve">Evidence from healthcare quality improvement suggests that the act of repeated, structured measurement itself drives behavioral change among data producers and managers — a phenomenon known as the Hawthorne effect</w:t>
      </w:r>
      <w:r>
        <w:t xml:space="preserve"> </w:t>
      </w:r>
      <w:r>
        <w:t xml:space="preserve">[54]</w:t>
      </w:r>
      <w:r>
        <w:t xml:space="preserve">.</w:t>
      </w:r>
      <w:r>
        <w:t xml:space="preserve"> </w:t>
      </w:r>
      <w:r>
        <w:t xml:space="preserve">The ICC dashboard described above is designed to operationalize this insight: by making metrics visible and regularly updated, it creates the conditions for sustained attention that can drive incremental improvements in data quality and FAIR compliance across the portfolio.</w:t>
      </w:r>
      <w:r>
        <w:t xml:space="preserve"> </w:t>
      </w:r>
      <w:r>
        <w:t xml:space="preserve">By requiring Common Fund programs to perform regular FAIRness assessments and report usage statistics, the NIH creates an environment of</w:t>
      </w:r>
      <w:r>
        <w:t xml:space="preserve"> </w:t>
      </w:r>
      <w:r>
        <w:t xml:space="preserve">“sustained attention”</w:t>
      </w:r>
      <w:r>
        <w:t xml:space="preserve"> </w:t>
      </w:r>
      <w:r>
        <w:t xml:space="preserve">that encourages long-term improvements in metadata practices and FAIR compliance</w:t>
      </w:r>
      <w:r>
        <w:t xml:space="preserve"> </w:t>
      </w:r>
      <w:r>
        <w:t xml:space="preserve">[55]</w:t>
      </w:r>
      <w:r>
        <w:t xml:space="preserve">.</w:t>
      </w:r>
      <w:r>
        <w:t xml:space="preserve"> </w:t>
      </w:r>
      <w:r>
        <w:t xml:space="preserve">NIH’s 2023 Data Management and Sharing Policy creates a structural opportunity to establish pre-policy baselines for sharing and reuse, enabling rigorous before-and-after assessment of whether mandates translate into measurable ecosystem improvements.</w:t>
      </w:r>
    </w:p>
    <w:p>
      <w:pPr>
        <w:pStyle w:val="BodyText"/>
      </w:pPr>
      <w:r>
        <w:t xml:space="preserve">Implementation of these evaluation frameworks can be accelerated through pilot</w:t>
      </w:r>
      <w:r>
        <w:t xml:space="preserve"> </w:t>
      </w:r>
      <w:r>
        <w:t xml:space="preserve">“Driver Projects”</w:t>
      </w:r>
      <w:r>
        <w:t xml:space="preserve"> </w:t>
      </w:r>
      <w:r>
        <w:t xml:space="preserve">— an approach pioneered by the Global Alliance for Genomics and Health (GA4GH)</w:t>
      </w:r>
      <w:r>
        <w:t xml:space="preserve"> </w:t>
      </w:r>
      <w:r>
        <w:t xml:space="preserve">[56]</w:t>
      </w:r>
      <w:r>
        <w:t xml:space="preserve">, in which selected projects test new standards and metrics in real-world settings and provide deep qualitative feedback on their utility.</w:t>
      </w:r>
      <w:r>
        <w:t xml:space="preserve"> </w:t>
      </w:r>
      <w:r>
        <w:t xml:space="preserve">The CFDE’s Metrics Working Group already serves a similar function, bringing together representatives from multiple centers and NIH program staff to iteratively evaluate which metrics are most informative and feasible before expanding collection portfolio-wide.</w:t>
      </w:r>
      <w:r>
        <w:t xml:space="preserve"> </w:t>
      </w:r>
      <w:r>
        <w:t xml:space="preserve">The Metrics Working Group also serves as a forum for sharing best practices, troubleshooting challenges, and coordinating with other evaluation efforts across the NIH data ecosystem.</w:t>
      </w:r>
      <w:r>
        <w:t xml:space="preserve"> </w:t>
      </w:r>
      <w:r>
        <w:t xml:space="preserve">As the CFDE and the broader NIH data ecosystem evolve, these frameworks and metrics should be treated as living documents, revised iteratively based on emerging evidence and community feedback.</w:t>
      </w:r>
      <w:r>
        <w:t xml:space="preserve"> </w:t>
      </w:r>
      <w:r>
        <w:t xml:space="preserve">The Metrics Working Group will also help regularly review the relevance, presentation, and utility of collected metrics, not just for internal evaluation but also for external communication with stakeholders, including the scientific community, funders, and the public.</w:t>
      </w:r>
      <w:r>
        <w:t xml:space="preserve"> </w:t>
      </w:r>
      <w:r>
        <w:t xml:space="preserve">Ultimately, the long-term measure of evaluation success is whether the ecosystem achieves practice change: a measurable shift toward data-driven discovery, broader cross-disciplinary collaboration, and more equitable access to computational resources.</w:t>
      </w:r>
      <w:r>
        <w:t xml:space="preserve"> </w:t>
      </w:r>
      <w:r>
        <w:t xml:space="preserve">While this outcome is difficult to measure directly, the metrics described here — particularly those related to user behavior and scientific quality — provide leading indicators that NIH and the CFDE can track over time to assess progress toward this goal.</w:t>
      </w:r>
    </w:p>
    <w:p>
      <w:pPr>
        <w:pStyle w:val="BodyText"/>
      </w:pPr>
      <w:r>
        <w:t xml:space="preserve">Standardizing a core set of metrics across all NIH Common Fund programs — while allowing program-specific extensions — enables the portfolio-level comparisons that have historically been impossible.</w:t>
      </w:r>
      <w:r>
        <w:t xml:space="preserve"> </w:t>
      </w:r>
      <w:r>
        <w:t xml:space="preserve">The ICC’s dashboard and metric collection infrastructure demonstrate that such standardization is achievable, and the frameworks presented here, grounded in real evaluation data from the CFDE, offer a blueprint for extending this approach to the broader NIH data ecosystem.</w:t>
      </w:r>
    </w:p>
    <w:bookmarkEnd w:id="31"/>
    <w:bookmarkStart w:id="32" w:name="acknowledgments"/>
    <w:p>
      <w:pPr>
        <w:pStyle w:val="Heading2"/>
      </w:pPr>
      <w:r>
        <w:t xml:space="preserve">0.4 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32"/>
    <w:bookmarkStart w:id="33" w:name="author-contributions"/>
    <w:p>
      <w:pPr>
        <w:pStyle w:val="Heading2"/>
      </w:pPr>
      <w:r>
        <w:t xml:space="preserve">0.5 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33"/>
    <w:bookmarkStart w:id="40" w:name="X071796dd6bc546c91e96cca1cf5ff96599de61f"/>
    <w:p>
      <w:pPr>
        <w:pStyle w:val="Heading2"/>
      </w:pPr>
      <w:r>
        <w:t xml:space="preserve">0.6 Declaration of generative AI and AI-assisted technologies in the writing process</w:t>
      </w:r>
    </w:p>
    <w:p>
      <w:pPr>
        <w:pStyle w:val="FirstParagraph"/>
      </w:pPr>
      <w:r>
        <w:t xml:space="preserve">During the preparation of this work the author(s) used Claude from Anthropic in order to improve readability and clarity. 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2"/>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2"/>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2"/>
              </w:numPr>
            </w:pPr>
            <w:r>
              <w:t xml:space="preserve">How should cross-disciplinary co-authorship arising from a shared dataset be weighted relative to direct citation when evaluating a resource’s scientific influence?</w:t>
            </w:r>
          </w:p>
          <w:p>
            <w:pPr>
              <w:numPr>
                <w:ilvl w:val="0"/>
                <w:numId w:val="1002"/>
              </w:numPr>
            </w:pPr>
            <w:r>
              <w:t xml:space="preserve">What is the right cadence for re-assessing the FAIR maturity of an active data resource, who owns the re-assessment, and how do we keep the process tractable as portfolios grow?</w:t>
            </w:r>
          </w:p>
          <w:p>
            <w:pPr>
              <w:numPr>
                <w:ilvl w:val="0"/>
                <w:numId w:val="1002"/>
              </w:numPr>
            </w:pPr>
            <w:r>
              <w:t xml:space="preserve">As AI-driven and agent-based traffic on data portals continues to grow, how do we partition it into noise to remove versus signal to interpret as evidence of resource value?</w:t>
            </w:r>
          </w:p>
          <w:p>
            <w:pPr>
              <w:numPr>
                <w:ilvl w:val="0"/>
                <w:numId w:val="1002"/>
              </w:numPr>
            </w:pPr>
            <w:r>
              <w:t xml:space="preserve">What governance structures keep federated evaluation frameworks honest as they evolve, so that metrics continue to serve funders’ strategic questions rather than drifting toward data managers’ reporting convenience?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3"/>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[22]</w:t>
            </w:r>
            <w:r>
              <w:t xml:space="preserve">. The foundational definition of the principles that anchor the scientific-quality framework throughout this paper.</w:t>
            </w:r>
          </w:p>
          <w:p>
            <w:pPr>
              <w:numPr>
                <w:ilvl w:val="0"/>
                <w:numId w:val="1003"/>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[23]</w:t>
            </w:r>
            <w:r>
              <w:t xml:space="preserve">. Operationalizes FAIR as machine-measurable indicators, which is what makes automated FAIR-compliance monitoring tractable at the portfolio scale we describe.</w:t>
            </w:r>
          </w:p>
          <w:p>
            <w:pPr>
              <w:numPr>
                <w:ilvl w:val="0"/>
                <w:numId w:val="1003"/>
              </w:numPr>
            </w:pPr>
            <w:r>
              <w:t xml:space="preserve">Tedersoo L et al. Data sharing practices and data availability upon request differ across scientific disciplines</w:t>
            </w:r>
            <w:r>
              <w:t xml:space="preserve"> </w:t>
            </w:r>
            <w:r>
              <w:t xml:space="preserve">[36]</w:t>
            </w:r>
            <w:r>
              <w:t xml:space="preserve">. Provides the bibliometric evidence that fewer than 30% of secondary analyses formally cite source data, the core empirical basis for our argument that citation-count KPIs systematically understate reuse.</w:t>
            </w:r>
          </w:p>
          <w:p>
            <w:pPr>
              <w:numPr>
                <w:ilvl w:val="0"/>
                <w:numId w:val="1003"/>
              </w:numPr>
            </w:pPr>
            <w:r>
              <w:t xml:space="preserve">The GTEx Consortium. The Genotype-Tissue Expression (GTEx) project.</w:t>
            </w:r>
            <w:r>
              <w:t xml:space="preserve"> </w:t>
            </w:r>
            <w:r>
              <w:rPr>
                <w:i/>
                <w:iCs/>
              </w:rPr>
              <w:t xml:space="preserve">Nature Genetics</w:t>
            </w:r>
            <w:r>
              <w:t xml:space="preserve">, 2013</w:t>
            </w:r>
            <w:r>
              <w:t xml:space="preserve"> </w:t>
            </w:r>
            <w:r>
              <w:t xml:space="preserve">[8]</w:t>
            </w:r>
            <w:r>
              <w:t xml:space="preserve">. The paradigmatic example of a high-reuse public biomedical data resource (8,630 citations as of January 2026), used here to anchor the public-value framework with a concrete case.</w:t>
            </w:r>
          </w:p>
          <w:p>
            <w:pPr>
              <w:numPr>
                <w:ilvl w:val="0"/>
                <w:numId w:val="1003"/>
              </w:numPr>
            </w:pPr>
            <w:r>
              <w:t xml:space="preserve">Centers for Disease Control and Prevention. Standard Evaluation Framework for Large Health Care Data</w:t>
            </w:r>
            <w:r>
              <w:t xml:space="preserve"> </w:t>
            </w:r>
            <w:r>
              <w:t xml:space="preserve">[40]</w:t>
            </w:r>
            <w:r>
              <w:t xml:space="preserve">. The 49-attribute fitness-for-purpose framework whose representativeness and linkability attributes are particularly load-bearing for federated ecosystems like the CFDE.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opt/quarto/share/formats/docx/note.png" id="3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w:t>
            </w:r>
            <w:r>
              <w:t xml:space="preserve"> </w:t>
            </w:r>
            <w:r>
              <w:t xml:space="preserve">(Common Fund Data Ecosystem). NIH cross-cutting initiative that harmonizes metadata and tooling across 19 Common Fund programs so researchers can find and reuse data across the portfolio.</w:t>
            </w:r>
          </w:p>
          <w:p>
            <w:pPr>
              <w:pStyle w:val="BodyText"/>
            </w:pPr>
            <w:r>
              <w:rPr>
                <w:b/>
                <w:bCs/>
              </w:rPr>
              <w:t xml:space="preserve">ICC</w:t>
            </w:r>
            <w:r>
              <w:t xml:space="preserve"> </w:t>
            </w:r>
            <w:r>
              <w:t xml:space="preserve">(Integration and Coordination Center). The CFDE center responsible for cross-portfolio coordination, evaluation, and the centralized metrics dashboard described here.</w:t>
            </w:r>
          </w:p>
          <w:p>
            <w:pPr>
              <w:pStyle w:val="BodyText"/>
            </w:pPr>
            <w:r>
              <w:rPr>
                <w:b/>
                <w:bCs/>
              </w:rPr>
              <w:t xml:space="preserve">DRC, KC, TC, CWIC</w:t>
            </w:r>
            <w:r>
              <w:t xml:space="preserve">. The other four CFDE centers: Data Resource Center (data discovery), Knowledge Center (cross-cutting biological insight), Training Center (skills development), Cloud Workspace Implementation Center (compute infrastructure for in-place analysis).</w:t>
            </w:r>
          </w:p>
          <w:p>
            <w:pPr>
              <w:pStyle w:val="BodyText"/>
            </w:pPr>
            <w:r>
              <w:rPr>
                <w:b/>
                <w:bCs/>
              </w:rPr>
              <w:t xml:space="preserve">FAIR</w:t>
            </w:r>
            <w:r>
              <w:t xml:space="preserve"> </w:t>
            </w:r>
            <w:r>
              <w:t xml:space="preserve">(Findable, Accessible, Interoperable, Reusable). A widely adopted set of principles for making research data reliably reusable.</w:t>
            </w:r>
          </w:p>
          <w:p>
            <w:pPr>
              <w:pStyle w:val="BodyText"/>
            </w:pPr>
            <w:r>
              <w:rPr>
                <w:b/>
                <w:bCs/>
              </w:rPr>
              <w:t xml:space="preserve">FAIRplus-DSM</w:t>
            </w:r>
            <w:r>
              <w:t xml:space="preserve"> </w:t>
            </w:r>
            <w:r>
              <w:t xml:space="preserve">(FAIRplus Dataset Maturity model). A six-level maturity scale that operationalizes the FAIR principles for life-sciences data, from Level 0 (no identifiers, local storage) to Level 5 (enterprise lifecycle management).</w:t>
            </w:r>
          </w:p>
          <w:p>
            <w:pPr>
              <w:pStyle w:val="BodyText"/>
            </w:pPr>
            <w:r>
              <w:rPr>
                <w:b/>
                <w:bCs/>
              </w:rPr>
              <w:t xml:space="preserve">RDA</w:t>
            </w:r>
            <w:r>
              <w:t xml:space="preserve"> </w:t>
            </w:r>
            <w:r>
              <w:t xml:space="preserve">(Research Data Alliance). International community that classifies FAIR indicators by priority — Essential, Important, Useful — and provides a tiered roadmap for incremental improvement.</w:t>
            </w:r>
          </w:p>
          <w:p>
            <w:pPr>
              <w:pStyle w:val="BodyText"/>
            </w:pPr>
            <w:r>
              <w:rPr>
                <w:b/>
                <w:bCs/>
              </w:rPr>
              <w:t xml:space="preserve">RICE, MoSCoW, MCDA</w:t>
            </w:r>
            <w:r>
              <w:t xml:space="preserve">. Product-management prioritization frameworks. RICE scores work by Reach × Impact × Confidence / Effort. MoSCoW labels items Must-have, Should-have, Could-have, Won’t-have. MCDA (Multi-Criteria Decision Analysis) combines multiple weighted dimensions into a composite score.</w:t>
            </w:r>
          </w:p>
          <w:p>
            <w:pPr>
              <w:pStyle w:val="BodyText"/>
            </w:pPr>
            <w:r>
              <w:rPr>
                <w:b/>
                <w:bCs/>
              </w:rPr>
              <w:t xml:space="preserve">ELIXIR</w:t>
            </w:r>
            <w:r>
              <w:t xml:space="preserve">. The European life-sciences research infrastructure, which publishes a ten-metric framework for evaluating bioinformatics software (version control, discoverability, automated builds, test data, documentation, and more).</w:t>
            </w:r>
          </w:p>
          <w:p>
            <w:pPr>
              <w:pStyle w:val="BodyText"/>
            </w:pPr>
            <w:r>
              <w:rPr>
                <w:b/>
                <w:bCs/>
              </w:rPr>
              <w:t xml:space="preserve">GA4GH</w:t>
            </w:r>
            <w:r>
              <w:t xml:space="preserve"> </w:t>
            </w:r>
            <w:r>
              <w:t xml:space="preserve">(Global Alliance for Genomics and Health).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PIsCO</w:t>
            </w:r>
            <w:r>
              <w:t xml:space="preserve"> </w:t>
            </w:r>
            <w:r>
              <w:t xml:space="preserve">(Performance Indicators framework for Collection of bioinformatics resource metrics). Server-side framework for automated collection and visualization of software-quality metrics, allowing software health to feed an evaluation dashboard directly.</w:t>
            </w:r>
          </w:p>
          <w:p>
            <w:pPr>
              <w:pStyle w:val="BodyText"/>
            </w:pPr>
            <w:r>
              <w:rPr>
                <w:b/>
                <w:bCs/>
              </w:rPr>
              <w:t xml:space="preserve">RCR</w:t>
            </w:r>
            <w:r>
              <w:t xml:space="preserve"> </w:t>
            </w:r>
            <w:r>
              <w:t xml:space="preserve">(Relative Citation Ratio). NIH iCite metric that benchmarks an article’s citations against expectations for its field.</w:t>
            </w:r>
          </w:p>
          <w:p>
            <w:pPr>
              <w:pStyle w:val="BodyText"/>
            </w:pPr>
            <w:pPr>
              <w:spacing w:after="16"/>
            </w:pPr>
            <w:r>
              <w:rPr>
                <w:b/>
                <w:bCs/>
              </w:rPr>
              <w:t xml:space="preserve">DMS Policy</w:t>
            </w:r>
            <w:r>
              <w:t xml:space="preserve"> </w:t>
            </w:r>
            <w:r>
              <w:t xml:space="preserve">(NIH Data Management and Sharing Policy). The 2023 NIH policy requiring grantees to plan for data sharing, which establishes a pre-policy baseline against which sharing and reuse improvements can be measured.</w:t>
            </w:r>
          </w:p>
          <w:p/>
        </w:tc>
      </w:tr>
    </w:tbl>
    <w:bookmarkEnd w:id="40"/>
    <w:bookmarkStart w:id="235" w:name="references"/>
    <w:p>
      <w:pPr>
        <w:pStyle w:val="Heading1"/>
      </w:pPr>
      <w:r>
        <w:t xml:space="preserve">References</w:t>
      </w:r>
    </w:p>
    <w:bookmarkStart w:id="234" w:name="refs"/>
    <w:bookmarkStart w:id="45" w:name="ref-doi:10.3389/fcell.2017.00083"/>
    <w:p>
      <w:pPr>
        <w:pStyle w:val="Bibliography"/>
      </w:pPr>
      <w:r>
        <w:t xml:space="preserve">1.</w:t>
      </w:r>
      <w:r>
        <w:t xml:space="preserve"> </w:t>
      </w:r>
      <w:r>
        <w:t xml:space="preserve">	</w:t>
      </w:r>
      <w:r>
        <w:rPr>
          <w:b/>
          <w:bCs/>
        </w:rPr>
        <w:t xml:space="preserve">A Comprehensive Infrastructure for Big Data in Cancer Research: Accelerating Cancer Research and Precision Medicine</w:t>
      </w:r>
      <w:r>
        <w:t xml:space="preserve"> </w:t>
      </w:r>
      <w:r>
        <w:t xml:space="preserve">Izumi V Hinkson, Tanja M Davidsen, Juli D Klemm, Ishwar Chandramouliswaran, Anthony R Kerlavage, Warren A Kibbe</w:t>
      </w:r>
      <w:r>
        <w:t xml:space="preserve"> </w:t>
      </w:r>
      <w:r>
        <w:rPr>
          <w:i/>
          <w:iCs/>
        </w:rPr>
        <w:t xml:space="preserve">Frontiers in Cell and Developmental Biology</w:t>
      </w:r>
      <w:r>
        <w:t xml:space="preserve"> </w:t>
      </w:r>
      <w:r>
        <w:t xml:space="preserve">(2017-09-21)</w:t>
      </w:r>
      <w:r>
        <w:t xml:space="preserve"> </w:t>
      </w:r>
      <w:hyperlink r:id="rId41">
        <w:r>
          <w:rPr>
            <w:rStyle w:val="Hyperlink"/>
          </w:rPr>
          <w:t xml:space="preserve">https://doi.org/gpf2r8</w:t>
        </w:r>
      </w:hyperlink>
      <w:r>
        <w:t xml:space="preserve"> </w:t>
      </w:r>
      <w:r>
        <w:t xml:space="preserve">DOI:</w:t>
      </w:r>
      <w:r>
        <w:t xml:space="preserve"> </w:t>
      </w:r>
      <w:hyperlink r:id="rId42">
        <w:r>
          <w:rPr>
            <w:rStyle w:val="Hyperlink"/>
          </w:rPr>
          <w:t xml:space="preserve">10.3389/fcell.2017.00083</w:t>
        </w:r>
      </w:hyperlink>
      <w:r>
        <w:t xml:space="preserve"> </w:t>
      </w:r>
      <w:r>
        <w:t xml:space="preserve">· PMID:</w:t>
      </w:r>
      <w:r>
        <w:t xml:space="preserve"> </w:t>
      </w:r>
      <w:hyperlink r:id="rId43">
        <w:r>
          <w:rPr>
            <w:rStyle w:val="Hyperlink"/>
          </w:rPr>
          <w:t xml:space="preserve">28983483</w:t>
        </w:r>
      </w:hyperlink>
      <w:r>
        <w:t xml:space="preserve"> </w:t>
      </w:r>
      <w:r>
        <w:t xml:space="preserve">· PMCID:</w:t>
      </w:r>
      <w:r>
        <w:t xml:space="preserve"> </w:t>
      </w:r>
      <w:hyperlink r:id="rId44">
        <w:r>
          <w:rPr>
            <w:rStyle w:val="Hyperlink"/>
          </w:rPr>
          <w:t xml:space="preserve">PMC5613113</w:t>
        </w:r>
      </w:hyperlink>
    </w:p>
    <w:bookmarkEnd w:id="45"/>
    <w:bookmarkStart w:id="49" w:name="ref-pmid:24071849"/>
    <w:p>
      <w:pPr>
        <w:pStyle w:val="Bibliography"/>
      </w:pPr>
      <w:r>
        <w:t xml:space="preserve">2.</w:t>
      </w:r>
      <w:r>
        <w:t xml:space="preserve"> </w:t>
      </w:r>
      <w:r>
        <w:t xml:space="preserve">	</w:t>
      </w:r>
      <w:r>
        <w:rPr>
          <w:b/>
          <w:bCs/>
        </w:rPr>
        <w:t xml:space="preserve">The Cancer Genome Atlas Pan-Cancer analysis project.</w:t>
      </w:r>
      <w:r>
        <w:t xml:space="preserve">, John N Weinstein, Eric A Collisson, Gordon B Mills, Kenna RMills Shaw, Brad A Ozenberger, Kyle Ellrott, Ilya Shmulevich, Chris Sander, Joshua M Stuart</w:t>
      </w:r>
      <w:r>
        <w:t xml:space="preserve"> </w:t>
      </w:r>
      <w:r>
        <w:rPr>
          <w:i/>
          <w:iCs/>
        </w:rPr>
        <w:t xml:space="preserve">Nature genetics</w:t>
      </w:r>
      <w:r>
        <w:t xml:space="preserve"> </w:t>
      </w:r>
      <w:r>
        <w:t xml:space="preserve">(2013-10)</w:t>
      </w:r>
      <w:r>
        <w:t xml:space="preserve"> </w:t>
      </w:r>
      <w:hyperlink r:id="rId46">
        <w:r>
          <w:rPr>
            <w:rStyle w:val="Hyperlink"/>
          </w:rPr>
          <w:t xml:space="preserve">https://www.ncbi.nlm.nih.gov/pubmed/24071849</w:t>
        </w:r>
      </w:hyperlink>
      <w:r>
        <w:t xml:space="preserve"> </w:t>
      </w:r>
      <w:r>
        <w:t xml:space="preserve">DOI:</w:t>
      </w:r>
      <w:r>
        <w:t xml:space="preserve"> </w:t>
      </w:r>
      <w:hyperlink r:id="rId47">
        <w:r>
          <w:rPr>
            <w:rStyle w:val="Hyperlink"/>
          </w:rPr>
          <w:t xml:space="preserve">10.1038/ng.2764</w:t>
        </w:r>
      </w:hyperlink>
      <w:r>
        <w:t xml:space="preserve"> </w:t>
      </w:r>
      <w:r>
        <w:t xml:space="preserve">· PMID:</w:t>
      </w:r>
      <w:r>
        <w:t xml:space="preserve"> </w:t>
      </w:r>
      <w:hyperlink r:id="rId46">
        <w:r>
          <w:rPr>
            <w:rStyle w:val="Hyperlink"/>
          </w:rPr>
          <w:t xml:space="preserve">24071849</w:t>
        </w:r>
      </w:hyperlink>
      <w:r>
        <w:t xml:space="preserve"> </w:t>
      </w:r>
      <w:r>
        <w:t xml:space="preserve">· PMCID:</w:t>
      </w:r>
      <w:r>
        <w:t xml:space="preserve"> </w:t>
      </w:r>
      <w:hyperlink r:id="rId48">
        <w:r>
          <w:rPr>
            <w:rStyle w:val="Hyperlink"/>
          </w:rPr>
          <w:t xml:space="preserve">PMC3919969</w:t>
        </w:r>
      </w:hyperlink>
    </w:p>
    <w:bookmarkEnd w:id="49"/>
    <w:bookmarkStart w:id="54" w:name="ref-doi:10.1038/s41586-021-03205-y"/>
    <w:p>
      <w:pPr>
        <w:pStyle w:val="Bibliography"/>
      </w:pPr>
      <w:r>
        <w:t xml:space="preserve">3.</w:t>
      </w:r>
      <w:r>
        <w:t xml:space="preserve"> </w:t>
      </w:r>
      <w:r>
        <w:t xml:space="preserve">	</w:t>
      </w:r>
      <w:r>
        <w:rPr>
          <w:b/>
          <w:bCs/>
        </w:rPr>
        <w:t xml:space="preserve">Sequencing of 53,831 diverse genomes from the NHLBI TOPMed Program</w:t>
      </w:r>
      <w:r>
        <w:t xml:space="preserve"> </w:t>
      </w:r>
      <w:r>
        <w:t xml:space="preserve">Daniel Taliun, Daniel N Harris, Michael D Kessler, Jedidiah Carlson, Zachary A Szpiech, Raul Torres, Sarah AGagliano Taliun, André Corvelo, Stephanie M Gogarten, Hyun Min Kang, … Gonçalo R Abecasis</w:t>
      </w:r>
      <w:r>
        <w:t xml:space="preserve"> </w:t>
      </w:r>
      <w:r>
        <w:rPr>
          <w:i/>
          <w:iCs/>
        </w:rPr>
        <w:t xml:space="preserve">Nature</w:t>
      </w:r>
      <w:r>
        <w:t xml:space="preserve"> </w:t>
      </w:r>
      <w:r>
        <w:t xml:space="preserve">(2021-02-10)</w:t>
      </w:r>
      <w:r>
        <w:t xml:space="preserve"> </w:t>
      </w:r>
      <w:hyperlink r:id="rId50">
        <w:r>
          <w:rPr>
            <w:rStyle w:val="Hyperlink"/>
          </w:rPr>
          <w:t xml:space="preserve">https://doi.org/gh4bkp</w:t>
        </w:r>
      </w:hyperlink>
      <w:r>
        <w:t xml:space="preserve"> </w:t>
      </w:r>
      <w:r>
        <w:t xml:space="preserve">DOI:</w:t>
      </w:r>
      <w:r>
        <w:t xml:space="preserve"> </w:t>
      </w:r>
      <w:hyperlink r:id="rId51">
        <w:r>
          <w:rPr>
            <w:rStyle w:val="Hyperlink"/>
          </w:rPr>
          <w:t xml:space="preserve">10.1038/s41586-021-03205-y</w:t>
        </w:r>
      </w:hyperlink>
      <w:r>
        <w:t xml:space="preserve"> </w:t>
      </w:r>
      <w:r>
        <w:t xml:space="preserve">· PMID:</w:t>
      </w:r>
      <w:r>
        <w:t xml:space="preserve"> </w:t>
      </w:r>
      <w:hyperlink r:id="rId52">
        <w:r>
          <w:rPr>
            <w:rStyle w:val="Hyperlink"/>
          </w:rPr>
          <w:t xml:space="preserve">33568819</w:t>
        </w:r>
      </w:hyperlink>
      <w:r>
        <w:t xml:space="preserve"> </w:t>
      </w:r>
      <w:r>
        <w:t xml:space="preserve">· PMCID:</w:t>
      </w:r>
      <w:r>
        <w:t xml:space="preserve"> </w:t>
      </w:r>
      <w:hyperlink r:id="rId53">
        <w:r>
          <w:rPr>
            <w:rStyle w:val="Hyperlink"/>
          </w:rPr>
          <w:t xml:space="preserve">PMC7875770</w:t>
        </w:r>
      </w:hyperlink>
    </w:p>
    <w:bookmarkEnd w:id="54"/>
    <w:bookmarkStart w:id="58" w:name="ref-doi:10.1056/NEJMsr1809937"/>
    <w:p>
      <w:pPr>
        <w:pStyle w:val="Bibliography"/>
      </w:pPr>
      <w:r>
        <w:t xml:space="preserve">4.</w:t>
      </w:r>
      <w:r>
        <w:t xml:space="preserve"> </w:t>
      </w:r>
      <w:r>
        <w:t xml:space="preserve">	</w:t>
      </w:r>
      <w:r>
        <w:rPr>
          <w:b/>
          <w:bCs/>
        </w:rPr>
        <w:t xml:space="preserve">The</w:t>
      </w:r>
      <w:r>
        <w:rPr>
          <w:b/>
          <w:bCs/>
        </w:rPr>
        <w:t xml:space="preserve"> </w:t>
      </w:r>
      <w:r>
        <w:rPr>
          <w:b/>
          <w:bCs/>
        </w:rPr>
        <w:t xml:space="preserve">“All of Us”</w:t>
      </w:r>
      <w:r>
        <w:rPr>
          <w:b/>
          <w:bCs/>
        </w:rPr>
        <w:t xml:space="preserve"> </w:t>
      </w:r>
      <w:r>
        <w:rPr>
          <w:b/>
          <w:bCs/>
        </w:rPr>
        <w:t xml:space="preserve">Research Program</w:t>
      </w:r>
      <w:r>
        <w:t xml:space="preserve"> </w:t>
      </w:r>
      <w:r>
        <w:rPr>
          <w:i/>
          <w:iCs/>
        </w:rPr>
        <w:t xml:space="preserve">New England Journal of Medicine</w:t>
      </w:r>
      <w:r>
        <w:t xml:space="preserve"> </w:t>
      </w:r>
      <w:r>
        <w:t xml:space="preserve">(2019-08-15)</w:t>
      </w:r>
      <w:r>
        <w:t xml:space="preserve"> </w:t>
      </w:r>
      <w:hyperlink r:id="rId55">
        <w:r>
          <w:rPr>
            <w:rStyle w:val="Hyperlink"/>
          </w:rPr>
          <w:t xml:space="preserve">https://doi.org/ggjdzj</w:t>
        </w:r>
      </w:hyperlink>
      <w:r>
        <w:t xml:space="preserve"> </w:t>
      </w:r>
      <w:r>
        <w:t xml:space="preserve">DOI:</w:t>
      </w:r>
      <w:r>
        <w:t xml:space="preserve"> </w:t>
      </w:r>
      <w:hyperlink r:id="rId56">
        <w:r>
          <w:rPr>
            <w:rStyle w:val="Hyperlink"/>
          </w:rPr>
          <w:t xml:space="preserve">10.1056/nejmsr1809937</w:t>
        </w:r>
      </w:hyperlink>
      <w:r>
        <w:t xml:space="preserve"> </w:t>
      </w:r>
      <w:r>
        <w:t xml:space="preserve">· PMID:</w:t>
      </w:r>
      <w:r>
        <w:t xml:space="preserve"> </w:t>
      </w:r>
      <w:hyperlink r:id="rId57">
        <w:r>
          <w:rPr>
            <w:rStyle w:val="Hyperlink"/>
          </w:rPr>
          <w:t xml:space="preserve">31412182</w:t>
        </w:r>
      </w:hyperlink>
    </w:p>
    <w:bookmarkEnd w:id="58"/>
    <w:bookmarkStart w:id="62" w:name="ref-doi:10.1158/0008-5472.CAN-17-0387"/>
    <w:p>
      <w:pPr>
        <w:pStyle w:val="Bibliography"/>
      </w:pPr>
      <w:r>
        <w:t xml:space="preserve">5.</w:t>
      </w:r>
      <w:r>
        <w:t xml:space="preserve"> </w:t>
      </w:r>
      <w:r>
        <w:t xml:space="preserve">	</w:t>
      </w:r>
      <w:r>
        <w:rPr>
          <w:b/>
          <w:bCs/>
        </w:rPr>
        <w:t xml:space="preserve">The Cancer Genomics Cloud: Collaborative, Reproducible, and Democratized—A New Paradigm in Large-Scale Computational Research</w:t>
      </w:r>
      <w:r>
        <w:t xml:space="preserve"> </w:t>
      </w:r>
      <w:r>
        <w:t xml:space="preserve">Jessica W Lau, Erik Lehnert, Anurag Sethi, Raunaq Malhotra, Gaurav Kaushik, Zeynep Onder, Nick Groves-Kirkby, Aleksandar Mihajlovic, Jack DiGiovanna, Mladen Srdic, … Brandi Davis-Dusenbery</w:t>
      </w:r>
      <w:r>
        <w:t xml:space="preserve"> </w:t>
      </w:r>
      <w:r>
        <w:rPr>
          <w:i/>
          <w:iCs/>
        </w:rPr>
        <w:t xml:space="preserve">Cancer Research</w:t>
      </w:r>
      <w:r>
        <w:t xml:space="preserve"> </w:t>
      </w:r>
      <w:r>
        <w:t xml:space="preserve">(2017-10-31)</w:t>
      </w:r>
      <w:r>
        <w:t xml:space="preserve"> </w:t>
      </w:r>
      <w:hyperlink r:id="rId59">
        <w:r>
          <w:rPr>
            <w:rStyle w:val="Hyperlink"/>
          </w:rPr>
          <w:t xml:space="preserve">https://doi.org/gcjxm2</w:t>
        </w:r>
      </w:hyperlink>
      <w:r>
        <w:t xml:space="preserve"> </w:t>
      </w:r>
      <w:r>
        <w:t xml:space="preserve">DOI:</w:t>
      </w:r>
      <w:r>
        <w:t xml:space="preserve"> </w:t>
      </w:r>
      <w:hyperlink r:id="rId60">
        <w:r>
          <w:rPr>
            <w:rStyle w:val="Hyperlink"/>
          </w:rPr>
          <w:t xml:space="preserve">10.1158/0008-5472.can-17-0387</w:t>
        </w:r>
      </w:hyperlink>
      <w:r>
        <w:t xml:space="preserve"> </w:t>
      </w:r>
      <w:r>
        <w:t xml:space="preserve">· PMID:</w:t>
      </w:r>
      <w:r>
        <w:t xml:space="preserve"> </w:t>
      </w:r>
      <w:hyperlink r:id="rId61">
        <w:r>
          <w:rPr>
            <w:rStyle w:val="Hyperlink"/>
          </w:rPr>
          <w:t xml:space="preserve">29092927</w:t>
        </w:r>
      </w:hyperlink>
    </w:p>
    <w:bookmarkEnd w:id="62"/>
    <w:bookmarkStart w:id="65" w:name="ref-doi:10.5281/zenodo.3822858"/>
    <w:p>
      <w:pPr>
        <w:pStyle w:val="Bibliography"/>
      </w:pPr>
      <w:r>
        <w:t xml:space="preserve">6.</w:t>
      </w:r>
      <w:r>
        <w:t xml:space="preserve"> </w:t>
      </w:r>
      <w:r>
        <w:t xml:space="preserve">	</w:t>
      </w:r>
      <w:r>
        <w:rPr>
          <w:b/>
          <w:bCs/>
        </w:rPr>
        <w:t xml:space="preserve">The NHLBI BioData Catalyst</w:t>
      </w:r>
      <w:r>
        <w:t xml:space="preserve"> </w:t>
      </w:r>
      <w:r>
        <w:t xml:space="preserve">Lung National Heart</w:t>
      </w:r>
      <w:r>
        <w:t xml:space="preserve"> </w:t>
      </w:r>
      <w:r>
        <w:rPr>
          <w:i/>
          <w:iCs/>
        </w:rPr>
        <w:t xml:space="preserve">Zenodo</w:t>
      </w:r>
      <w:r>
        <w:t xml:space="preserve"> </w:t>
      </w:r>
      <w:r>
        <w:t xml:space="preserve">(2020)</w:t>
      </w:r>
      <w:r>
        <w:t xml:space="preserve"> </w:t>
      </w:r>
      <w:hyperlink r:id="rId63">
        <w:r>
          <w:rPr>
            <w:rStyle w:val="Hyperlink"/>
          </w:rPr>
          <w:t xml:space="preserve">https://doi.org/hbswtd</w:t>
        </w:r>
      </w:hyperlink>
      <w:r>
        <w:t xml:space="preserve"> </w:t>
      </w:r>
      <w:r>
        <w:t xml:space="preserve">DOI:</w:t>
      </w:r>
      <w:r>
        <w:t xml:space="preserve"> </w:t>
      </w:r>
      <w:hyperlink r:id="rId64">
        <w:r>
          <w:rPr>
            <w:rStyle w:val="Hyperlink"/>
          </w:rPr>
          <w:t xml:space="preserve">10.5281/zenodo.3822858</w:t>
        </w:r>
      </w:hyperlink>
    </w:p>
    <w:bookmarkEnd w:id="65"/>
    <w:bookmarkStart w:id="70" w:name="ref-doi:10.1016/j.xgen.2021.100085"/>
    <w:p>
      <w:pPr>
        <w:pStyle w:val="Bibliography"/>
      </w:pPr>
      <w:r>
        <w:t xml:space="preserve">7.</w:t>
      </w:r>
      <w:r>
        <w:t xml:space="preserve"> </w:t>
      </w:r>
      <w:r>
        <w:t xml:space="preserve">	</w:t>
      </w:r>
      <w:r>
        <w:rPr>
          <w:b/>
          <w:bCs/>
        </w:rPr>
        <w:t xml:space="preserve">Inverting the model of genomics data sharing with the NHGRI Genomic Data Science Analysis, Visualization, and Informatics Lab-space</w:t>
      </w:r>
      <w:r>
        <w:t xml:space="preserve"> </w:t>
      </w:r>
      <w:r>
        <w:t xml:space="preserve">Michael C Schatz, Anthony A Philippakis, Enis Afgan, Eric Banks, Vincent J Carey, Robert J Carroll, Alessandro Culotti, Kyle Ellrott, Jeremy Goecks, Robert L Grossman, … Jason Walker</w:t>
      </w:r>
      <w:r>
        <w:t xml:space="preserve"> </w:t>
      </w:r>
      <w:r>
        <w:rPr>
          <w:i/>
          <w:iCs/>
        </w:rPr>
        <w:t xml:space="preserve">Cell Genomics</w:t>
      </w:r>
      <w:r>
        <w:t xml:space="preserve"> </w:t>
      </w:r>
      <w:r>
        <w:t xml:space="preserve">(2022-01)</w:t>
      </w:r>
      <w:r>
        <w:t xml:space="preserve"> </w:t>
      </w:r>
      <w:hyperlink r:id="rId66">
        <w:r>
          <w:rPr>
            <w:rStyle w:val="Hyperlink"/>
          </w:rPr>
          <w:t xml:space="preserve">https://doi.org/gn7rf9</w:t>
        </w:r>
      </w:hyperlink>
      <w:r>
        <w:t xml:space="preserve"> </w:t>
      </w:r>
      <w:r>
        <w:t xml:space="preserve">DOI:</w:t>
      </w:r>
      <w:r>
        <w:t xml:space="preserve"> </w:t>
      </w:r>
      <w:hyperlink r:id="rId67">
        <w:r>
          <w:rPr>
            <w:rStyle w:val="Hyperlink"/>
          </w:rPr>
          <w:t xml:space="preserve">10.1016/j.xgen.2021.100085</w:t>
        </w:r>
      </w:hyperlink>
      <w:r>
        <w:t xml:space="preserve"> </w:t>
      </w:r>
      <w:r>
        <w:t xml:space="preserve">· PMID:</w:t>
      </w:r>
      <w:r>
        <w:t xml:space="preserve"> </w:t>
      </w:r>
      <w:hyperlink r:id="rId68">
        <w:r>
          <w:rPr>
            <w:rStyle w:val="Hyperlink"/>
          </w:rPr>
          <w:t xml:space="preserve">35199087</w:t>
        </w:r>
      </w:hyperlink>
      <w:r>
        <w:t xml:space="preserve"> </w:t>
      </w:r>
      <w:r>
        <w:t xml:space="preserve">· PMCID:</w:t>
      </w:r>
      <w:r>
        <w:t xml:space="preserve"> </w:t>
      </w:r>
      <w:hyperlink r:id="rId69">
        <w:r>
          <w:rPr>
            <w:rStyle w:val="Hyperlink"/>
          </w:rPr>
          <w:t xml:space="preserve">PMC8863334</w:t>
        </w:r>
      </w:hyperlink>
    </w:p>
    <w:bookmarkEnd w:id="70"/>
    <w:bookmarkStart w:id="75" w:name="ref-doi:10.1038/ng.2653"/>
    <w:p>
      <w:pPr>
        <w:pStyle w:val="Bibliography"/>
      </w:pPr>
      <w:r>
        <w:t xml:space="preserve">8.</w:t>
      </w:r>
      <w:r>
        <w:t xml:space="preserve"> </w:t>
      </w:r>
      <w:r>
        <w:t xml:space="preserve">	</w:t>
      </w:r>
      <w:r>
        <w:rPr>
          <w:b/>
          <w:bCs/>
        </w:rPr>
        <w:t xml:space="preserve">The Genotype-Tissue Expression (GTEx) project</w:t>
      </w:r>
      <w:r>
        <w:t xml:space="preserve"> </w:t>
      </w:r>
      <w:r>
        <w:t xml:space="preserve">John Lonsdale, Jeffrey Thomas, Mike Salvatore, Rebecca Phillips, Edmund Lo, Saboor Shad, Richard Hasz, Gary Walters, Fernando Garcia, Nancy Young, … Helen F Moore</w:t>
      </w:r>
      <w:r>
        <w:t xml:space="preserve"> </w:t>
      </w:r>
      <w:r>
        <w:rPr>
          <w:i/>
          <w:iCs/>
        </w:rPr>
        <w:t xml:space="preserve">Nature Genetics</w:t>
      </w:r>
      <w:r>
        <w:t xml:space="preserve"> </w:t>
      </w:r>
      <w:r>
        <w:t xml:space="preserve">(2013-05-29)</w:t>
      </w:r>
      <w:r>
        <w:t xml:space="preserve"> </w:t>
      </w:r>
      <w:hyperlink r:id="rId71">
        <w:r>
          <w:rPr>
            <w:rStyle w:val="Hyperlink"/>
          </w:rPr>
          <w:t xml:space="preserve">https://doi.org/gd5z68</w:t>
        </w:r>
      </w:hyperlink>
      <w:r>
        <w:t xml:space="preserve"> </w:t>
      </w:r>
      <w:r>
        <w:t xml:space="preserve">DOI:</w:t>
      </w:r>
      <w:r>
        <w:t xml:space="preserve"> </w:t>
      </w:r>
      <w:hyperlink r:id="rId72">
        <w:r>
          <w:rPr>
            <w:rStyle w:val="Hyperlink"/>
          </w:rPr>
          <w:t xml:space="preserve">10.1038/ng.2653</w:t>
        </w:r>
      </w:hyperlink>
      <w:r>
        <w:t xml:space="preserve"> </w:t>
      </w:r>
      <w:r>
        <w:t xml:space="preserve">· PMID:</w:t>
      </w:r>
      <w:r>
        <w:t xml:space="preserve"> </w:t>
      </w:r>
      <w:hyperlink r:id="rId73">
        <w:r>
          <w:rPr>
            <w:rStyle w:val="Hyperlink"/>
          </w:rPr>
          <w:t xml:space="preserve">23715323</w:t>
        </w:r>
      </w:hyperlink>
      <w:r>
        <w:t xml:space="preserve"> </w:t>
      </w:r>
      <w:r>
        <w:t xml:space="preserve">· PMCID:</w:t>
      </w:r>
      <w:r>
        <w:t xml:space="preserve"> </w:t>
      </w:r>
      <w:hyperlink r:id="rId74">
        <w:r>
          <w:rPr>
            <w:rStyle w:val="Hyperlink"/>
          </w:rPr>
          <w:t xml:space="preserve">PMC4010069</w:t>
        </w:r>
      </w:hyperlink>
    </w:p>
    <w:bookmarkEnd w:id="75"/>
    <w:bookmarkStart w:id="80" w:name="ref-doi:10.1038/nature11234"/>
    <w:p>
      <w:pPr>
        <w:pStyle w:val="Bibliography"/>
      </w:pPr>
      <w:r>
        <w:t xml:space="preserve">9.</w:t>
      </w:r>
      <w:r>
        <w:t xml:space="preserve"> </w:t>
      </w:r>
      <w:r>
        <w:t xml:space="preserve">	</w:t>
      </w:r>
      <w:r>
        <w:rPr>
          <w:b/>
          <w:bCs/>
        </w:rPr>
        <w:t xml:space="preserve">Structure, function and diversity of the healthy human microbiome</w:t>
      </w:r>
      <w:r>
        <w:t xml:space="preserve"> </w:t>
      </w:r>
      <w:r>
        <w:rPr>
          <w:i/>
          <w:iCs/>
        </w:rPr>
        <w:t xml:space="preserve">Nature</w:t>
      </w:r>
      <w:r>
        <w:t xml:space="preserve"> </w:t>
      </w:r>
      <w:r>
        <w:t xml:space="preserve">(2012-06)</w:t>
      </w:r>
      <w:r>
        <w:t xml:space="preserve"> </w:t>
      </w:r>
      <w:hyperlink r:id="rId76">
        <w:r>
          <w:rPr>
            <w:rStyle w:val="Hyperlink"/>
          </w:rPr>
          <w:t xml:space="preserve">https://doi.org/hzm</w:t>
        </w:r>
      </w:hyperlink>
      <w:r>
        <w:t xml:space="preserve"> </w:t>
      </w:r>
      <w:r>
        <w:t xml:space="preserve">DOI:</w:t>
      </w:r>
      <w:r>
        <w:t xml:space="preserve"> </w:t>
      </w:r>
      <w:hyperlink r:id="rId77">
        <w:r>
          <w:rPr>
            <w:rStyle w:val="Hyperlink"/>
          </w:rPr>
          <w:t xml:space="preserve">10.1038/nature11234</w:t>
        </w:r>
      </w:hyperlink>
      <w:r>
        <w:t xml:space="preserve"> </w:t>
      </w:r>
      <w:r>
        <w:t xml:space="preserve">· PMID:</w:t>
      </w:r>
      <w:r>
        <w:t xml:space="preserve"> </w:t>
      </w:r>
      <w:hyperlink r:id="rId78">
        <w:r>
          <w:rPr>
            <w:rStyle w:val="Hyperlink"/>
          </w:rPr>
          <w:t xml:space="preserve">22699609</w:t>
        </w:r>
      </w:hyperlink>
      <w:r>
        <w:t xml:space="preserve"> </w:t>
      </w:r>
      <w:r>
        <w:t xml:space="preserve">· PMCID:</w:t>
      </w:r>
      <w:r>
        <w:t xml:space="preserve"> </w:t>
      </w:r>
      <w:hyperlink r:id="rId79">
        <w:r>
          <w:rPr>
            <w:rStyle w:val="Hyperlink"/>
          </w:rPr>
          <w:t xml:space="preserve">PMC3564958</w:t>
        </w:r>
      </w:hyperlink>
    </w:p>
    <w:bookmarkEnd w:id="80"/>
    <w:bookmarkStart w:id="85" w:name="ref-doi:10.1038/nature11209"/>
    <w:p>
      <w:pPr>
        <w:pStyle w:val="Bibliography"/>
      </w:pPr>
      <w:r>
        <w:t xml:space="preserve">10.</w:t>
      </w:r>
      <w:r>
        <w:t xml:space="preserve"> </w:t>
      </w:r>
      <w:r>
        <w:t xml:space="preserve">	</w:t>
      </w:r>
      <w:r>
        <w:rPr>
          <w:b/>
          <w:bCs/>
        </w:rPr>
        <w:t xml:space="preserve">A framework for human microbiome research</w:t>
      </w:r>
      <w:r>
        <w:t xml:space="preserve"> </w:t>
      </w:r>
      <w:r>
        <w:rPr>
          <w:i/>
          <w:iCs/>
        </w:rPr>
        <w:t xml:space="preserve">Nature</w:t>
      </w:r>
      <w:r>
        <w:t xml:space="preserve"> </w:t>
      </w:r>
      <w:r>
        <w:t xml:space="preserve">(2012-06)</w:t>
      </w:r>
      <w:r>
        <w:t xml:space="preserve"> </w:t>
      </w:r>
      <w:hyperlink r:id="rId81">
        <w:r>
          <w:rPr>
            <w:rStyle w:val="Hyperlink"/>
          </w:rPr>
          <w:t xml:space="preserve">https://doi.org/f32svq</w:t>
        </w:r>
      </w:hyperlink>
      <w:r>
        <w:t xml:space="preserve"> </w:t>
      </w:r>
      <w:r>
        <w:t xml:space="preserve">DOI:</w:t>
      </w:r>
      <w:r>
        <w:t xml:space="preserve"> </w:t>
      </w:r>
      <w:hyperlink r:id="rId82">
        <w:r>
          <w:rPr>
            <w:rStyle w:val="Hyperlink"/>
          </w:rPr>
          <w:t xml:space="preserve">10.1038/nature11209</w:t>
        </w:r>
      </w:hyperlink>
      <w:r>
        <w:t xml:space="preserve"> </w:t>
      </w:r>
      <w:r>
        <w:t xml:space="preserve">· PMID:</w:t>
      </w:r>
      <w:r>
        <w:t xml:space="preserve"> </w:t>
      </w:r>
      <w:hyperlink r:id="rId83">
        <w:r>
          <w:rPr>
            <w:rStyle w:val="Hyperlink"/>
          </w:rPr>
          <w:t xml:space="preserve">22699610</w:t>
        </w:r>
      </w:hyperlink>
      <w:r>
        <w:t xml:space="preserve"> </w:t>
      </w:r>
      <w:r>
        <w:t xml:space="preserve">· PMCID:</w:t>
      </w:r>
      <w:r>
        <w:t xml:space="preserve"> </w:t>
      </w:r>
      <w:hyperlink r:id="rId84">
        <w:r>
          <w:rPr>
            <w:rStyle w:val="Hyperlink"/>
          </w:rPr>
          <w:t xml:space="preserve">PMC3377744</w:t>
        </w:r>
      </w:hyperlink>
    </w:p>
    <w:bookmarkEnd w:id="85"/>
    <w:bookmarkStart w:id="89" w:name="ref-pmid:31597973"/>
    <w:p>
      <w:pPr>
        <w:pStyle w:val="Bibliography"/>
      </w:pPr>
      <w:r>
        <w:t xml:space="preserve">11.</w:t>
      </w:r>
      <w:r>
        <w:t xml:space="preserve"> </w:t>
      </w:r>
      <w:r>
        <w:t xml:space="preserve">	</w:t>
      </w:r>
      <w:r>
        <w:rPr>
          <w:b/>
          <w:bCs/>
        </w:rPr>
        <w:t xml:space="preserve">The human body at cellular resolution: the NIH Human Biomolecular Atlas Program.</w:t>
      </w:r>
      <w:r>
        <w:t xml:space="preserve"> </w:t>
      </w:r>
      <w:r>
        <w:rPr>
          <w:i/>
          <w:iCs/>
        </w:rPr>
        <w:t xml:space="preserve">Nature</w:t>
      </w:r>
      <w:r>
        <w:t xml:space="preserve"> </w:t>
      </w:r>
      <w:r>
        <w:t xml:space="preserve">(2019-10-09)</w:t>
      </w:r>
      <w:r>
        <w:t xml:space="preserve"> </w:t>
      </w:r>
      <w:hyperlink r:id="rId86">
        <w:r>
          <w:rPr>
            <w:rStyle w:val="Hyperlink"/>
          </w:rPr>
          <w:t xml:space="preserve">https://www.ncbi.nlm.nih.gov/pubmed/31597973</w:t>
        </w:r>
      </w:hyperlink>
      <w:r>
        <w:t xml:space="preserve"> </w:t>
      </w:r>
      <w:r>
        <w:t xml:space="preserve">DOI:</w:t>
      </w:r>
      <w:r>
        <w:t xml:space="preserve"> </w:t>
      </w:r>
      <w:hyperlink r:id="rId87">
        <w:r>
          <w:rPr>
            <w:rStyle w:val="Hyperlink"/>
          </w:rPr>
          <w:t xml:space="preserve">10.1038/s41586-019-1629-x</w:t>
        </w:r>
      </w:hyperlink>
      <w:r>
        <w:t xml:space="preserve"> </w:t>
      </w:r>
      <w:r>
        <w:t xml:space="preserve">· PMID:</w:t>
      </w:r>
      <w:r>
        <w:t xml:space="preserve"> </w:t>
      </w:r>
      <w:hyperlink r:id="rId86">
        <w:r>
          <w:rPr>
            <w:rStyle w:val="Hyperlink"/>
          </w:rPr>
          <w:t xml:space="preserve">31597973</w:t>
        </w:r>
      </w:hyperlink>
      <w:r>
        <w:t xml:space="preserve"> </w:t>
      </w:r>
      <w:r>
        <w:t xml:space="preserve">· PMCID:</w:t>
      </w:r>
      <w:r>
        <w:t xml:space="preserve"> </w:t>
      </w:r>
      <w:hyperlink r:id="rId88">
        <w:r>
          <w:rPr>
            <w:rStyle w:val="Hyperlink"/>
          </w:rPr>
          <w:t xml:space="preserve">PMC6800388</w:t>
        </w:r>
      </w:hyperlink>
    </w:p>
    <w:bookmarkEnd w:id="89"/>
    <w:bookmarkStart w:id="94" w:name="ref-doi:10.1093/glycob/cwz080"/>
    <w:p>
      <w:pPr>
        <w:pStyle w:val="Bibliography"/>
      </w:pPr>
      <w:r>
        <w:t xml:space="preserve">12.</w:t>
      </w:r>
      <w:r>
        <w:t xml:space="preserve"> </w:t>
      </w:r>
      <w:r>
        <w:t xml:space="preserve">	</w:t>
      </w:r>
      <w:r>
        <w:rPr>
          <w:b/>
          <w:bCs/>
        </w:rPr>
        <w:t xml:space="preserve">GlyGen: Computational and Informatics Resources for Glycoscience</w:t>
      </w:r>
      <w:r>
        <w:t xml:space="preserve"> </w:t>
      </w:r>
      <w:r>
        <w:t xml:space="preserve">William S York, Raja Mazumder, Rene Ranzinger, Nathan Edwards, Robel Kahsay, Kiyoko F Aoki-Kinoshita, Matthew P Campbell, Richard D Cummings, Ten Feizi, Maria Martin, … Wenjin Zhang</w:t>
      </w:r>
      <w:r>
        <w:t xml:space="preserve"> </w:t>
      </w:r>
      <w:r>
        <w:rPr>
          <w:i/>
          <w:iCs/>
        </w:rPr>
        <w:t xml:space="preserve">Glycobiology</w:t>
      </w:r>
      <w:r>
        <w:t xml:space="preserve"> </w:t>
      </w:r>
      <w:r>
        <w:t xml:space="preserve">(2019-10-16)</w:t>
      </w:r>
      <w:r>
        <w:t xml:space="preserve"> </w:t>
      </w:r>
      <w:hyperlink r:id="rId90">
        <w:r>
          <w:rPr>
            <w:rStyle w:val="Hyperlink"/>
          </w:rPr>
          <w:t xml:space="preserve">https://doi.org/hbswtb</w:t>
        </w:r>
      </w:hyperlink>
      <w:r>
        <w:t xml:space="preserve"> </w:t>
      </w:r>
      <w:r>
        <w:t xml:space="preserve">DOI:</w:t>
      </w:r>
      <w:r>
        <w:t xml:space="preserve"> </w:t>
      </w:r>
      <w:hyperlink r:id="rId91">
        <w:r>
          <w:rPr>
            <w:rStyle w:val="Hyperlink"/>
          </w:rPr>
          <w:t xml:space="preserve">10.1093/glycob/cwz080</w:t>
        </w:r>
      </w:hyperlink>
      <w:r>
        <w:t xml:space="preserve"> </w:t>
      </w:r>
      <w:r>
        <w:t xml:space="preserve">· PMID:</w:t>
      </w:r>
      <w:r>
        <w:t xml:space="preserve"> </w:t>
      </w:r>
      <w:hyperlink r:id="rId92">
        <w:r>
          <w:rPr>
            <w:rStyle w:val="Hyperlink"/>
          </w:rPr>
          <w:t xml:space="preserve">31616925</w:t>
        </w:r>
      </w:hyperlink>
      <w:r>
        <w:t xml:space="preserve"> </w:t>
      </w:r>
      <w:r>
        <w:t xml:space="preserve">· PMCID:</w:t>
      </w:r>
      <w:r>
        <w:t xml:space="preserve"> </w:t>
      </w:r>
      <w:hyperlink r:id="rId93">
        <w:r>
          <w:rPr>
            <w:rStyle w:val="Hyperlink"/>
          </w:rPr>
          <w:t xml:space="preserve">PMC7335483</w:t>
        </w:r>
      </w:hyperlink>
    </w:p>
    <w:bookmarkEnd w:id="94"/>
    <w:bookmarkStart w:id="99" w:name="ref-doi:10.1101/2024.03.11.584478"/>
    <w:p>
      <w:pPr>
        <w:pStyle w:val="Bibliography"/>
      </w:pPr>
      <w:r>
        <w:t xml:space="preserve">13.</w:t>
      </w:r>
      <w:r>
        <w:t xml:space="preserve"> </w:t>
      </w:r>
      <w:r>
        <w:t xml:space="preserve">	</w:t>
      </w:r>
      <w:r>
        <w:rPr>
          <w:b/>
          <w:bCs/>
        </w:rPr>
        <w:t xml:space="preserve">Reproducible generation of human liver organoids (HLOs) on a pillar plate platform</w:t>
      </w:r>
      <w:r>
        <w:rPr>
          <w:b/>
          <w:bCs/>
        </w:rPr>
        <w:t xml:space="preserve"> </w:t>
      </w:r>
      <w:r>
        <w:rPr>
          <w:b/>
          <w:bCs/>
          <w:i/>
          <w:iCs/>
        </w:rPr>
        <w:t xml:space="preserve">via</w:t>
      </w:r>
      <w:r>
        <w:rPr>
          <w:b/>
          <w:bCs/>
        </w:rPr>
        <w:t xml:space="preserve"> </w:t>
      </w:r>
      <w:r>
        <w:rPr>
          <w:b/>
          <w:bCs/>
        </w:rPr>
        <w:t xml:space="preserve">microarray 3D bioprinting</w:t>
      </w:r>
      <w:r>
        <w:t xml:space="preserve"> </w:t>
      </w:r>
      <w:r>
        <w:t xml:space="preserve">Sunil Shrestha, Vinod Kumar Reddy Lekkala, Prabha Acharya, Soo-Yeon Kang, Manav Goud Vanga, Moo-Yeal Lee</w:t>
      </w:r>
      <w:r>
        <w:t xml:space="preserve"> </w:t>
      </w:r>
      <w:r>
        <w:rPr>
          <w:i/>
          <w:iCs/>
        </w:rPr>
        <w:t xml:space="preserve">openRxiv</w:t>
      </w:r>
      <w:r>
        <w:t xml:space="preserve"> </w:t>
      </w:r>
      <w:r>
        <w:t xml:space="preserve">(2024-03-13)</w:t>
      </w:r>
      <w:r>
        <w:t xml:space="preserve"> </w:t>
      </w:r>
      <w:hyperlink r:id="rId95">
        <w:r>
          <w:rPr>
            <w:rStyle w:val="Hyperlink"/>
          </w:rPr>
          <w:t xml:space="preserve">https://doi.org/hbswtc</w:t>
        </w:r>
      </w:hyperlink>
      <w:r>
        <w:t xml:space="preserve"> </w:t>
      </w:r>
      <w:r>
        <w:t xml:space="preserve">DOI:</w:t>
      </w:r>
      <w:r>
        <w:t xml:space="preserve"> </w:t>
      </w:r>
      <w:hyperlink r:id="rId96">
        <w:r>
          <w:rPr>
            <w:rStyle w:val="Hyperlink"/>
          </w:rPr>
          <w:t xml:space="preserve">10.1101/2024.03.11.584478</w:t>
        </w:r>
      </w:hyperlink>
      <w:r>
        <w:t xml:space="preserve"> </w:t>
      </w:r>
      <w:r>
        <w:t xml:space="preserve">· PMID:</w:t>
      </w:r>
      <w:r>
        <w:t xml:space="preserve"> </w:t>
      </w:r>
      <w:hyperlink r:id="rId97">
        <w:r>
          <w:rPr>
            <w:rStyle w:val="Hyperlink"/>
          </w:rPr>
          <w:t xml:space="preserve">38559126</w:t>
        </w:r>
      </w:hyperlink>
      <w:r>
        <w:t xml:space="preserve"> </w:t>
      </w:r>
      <w:r>
        <w:t xml:space="preserve">· PMCID:</w:t>
      </w:r>
      <w:r>
        <w:t xml:space="preserve"> </w:t>
      </w:r>
      <w:hyperlink r:id="rId98">
        <w:r>
          <w:rPr>
            <w:rStyle w:val="Hyperlink"/>
          </w:rPr>
          <w:t xml:space="preserve">PMC10979895</w:t>
        </w:r>
      </w:hyperlink>
    </w:p>
    <w:bookmarkEnd w:id="99"/>
    <w:bookmarkStart w:id="104" w:name="ref-doi:10.1093/gigascience/giac105"/>
    <w:p>
      <w:pPr>
        <w:pStyle w:val="Bibliography"/>
      </w:pPr>
      <w:r>
        <w:t xml:space="preserve">14.</w:t>
      </w:r>
      <w:r>
        <w:t xml:space="preserve"> </w:t>
      </w:r>
      <w:r>
        <w:t xml:space="preserve">	</w:t>
      </w:r>
      <w:r>
        <w:rPr>
          <w:b/>
          <w:bCs/>
        </w:rPr>
        <w:t xml:space="preserve">Making Common Fund data more findable: catalyzing a data ecosystem</w:t>
      </w:r>
      <w:r>
        <w:t xml:space="preserve"> </w:t>
      </w:r>
      <w:r>
        <w:t xml:space="preserve">Amanda L Charbonneau, Arthur Brady, Karl Czajkowski, Jain Aluvathingal, Saranya Canchi, Robert Carter, Kyle Chard, Daniel JB Clarke, Jonathan Crabtree, Heather H Creasy, … Owen White</w:t>
      </w:r>
      <w:r>
        <w:t xml:space="preserve"> </w:t>
      </w:r>
      <w:r>
        <w:rPr>
          <w:i/>
          <w:iCs/>
        </w:rPr>
        <w:t xml:space="preserve">GigaScience</w:t>
      </w:r>
      <w:r>
        <w:t xml:space="preserve"> </w:t>
      </w:r>
      <w:r>
        <w:t xml:space="preserve">(2022)</w:t>
      </w:r>
      <w:r>
        <w:t xml:space="preserve"> </w:t>
      </w:r>
      <w:hyperlink r:id="rId100">
        <w:r>
          <w:rPr>
            <w:rStyle w:val="Hyperlink"/>
          </w:rPr>
          <w:t xml:space="preserve">https://doi.org/gsxq6b</w:t>
        </w:r>
      </w:hyperlink>
      <w:r>
        <w:t xml:space="preserve"> </w:t>
      </w:r>
      <w:r>
        <w:t xml:space="preserve">DOI:</w:t>
      </w:r>
      <w:r>
        <w:t xml:space="preserve"> </w:t>
      </w:r>
      <w:hyperlink r:id="rId101">
        <w:r>
          <w:rPr>
            <w:rStyle w:val="Hyperlink"/>
          </w:rPr>
          <w:t xml:space="preserve">10.1093/gigascience/giac105</w:t>
        </w:r>
      </w:hyperlink>
      <w:r>
        <w:t xml:space="preserve"> </w:t>
      </w:r>
      <w:r>
        <w:t xml:space="preserve">· PMID:</w:t>
      </w:r>
      <w:r>
        <w:t xml:space="preserve"> </w:t>
      </w:r>
      <w:hyperlink r:id="rId102">
        <w:r>
          <w:rPr>
            <w:rStyle w:val="Hyperlink"/>
          </w:rPr>
          <w:t xml:space="preserve">36409836</w:t>
        </w:r>
      </w:hyperlink>
      <w:r>
        <w:t xml:space="preserve"> </w:t>
      </w:r>
      <w:r>
        <w:t xml:space="preserve">· PMCID:</w:t>
      </w:r>
      <w:r>
        <w:t xml:space="preserve"> </w:t>
      </w:r>
      <w:hyperlink r:id="rId103">
        <w:r>
          <w:rPr>
            <w:rStyle w:val="Hyperlink"/>
          </w:rPr>
          <w:t xml:space="preserve">PMC9677336</w:t>
        </w:r>
      </w:hyperlink>
    </w:p>
    <w:bookmarkEnd w:id="104"/>
    <w:bookmarkStart w:id="106" w:name="X7a93631224c49a632e3119c84b1b3a6b629c733"/>
    <w:p>
      <w:pPr>
        <w:pStyle w:val="Bibliography"/>
      </w:pPr>
      <w:r>
        <w:t xml:space="preserve">15.</w:t>
      </w:r>
      <w:r>
        <w:t xml:space="preserve"> </w:t>
      </w:r>
      <w:r>
        <w:t xml:space="preserve">	</w:t>
      </w:r>
      <w:hyperlink r:id="rId105">
        <w:r>
          <w:rPr>
            <w:rStyle w:val="Hyperlink"/>
          </w:rPr>
          <w:t xml:space="preserve">https://dpcpsi.nih.gov/sites/default/files/Day2-1225PM-Final-Report-CFDE-CoC-WG-HorwitzWilder_.pdf</w:t>
        </w:r>
      </w:hyperlink>
    </w:p>
    <w:bookmarkEnd w:id="106"/>
    <w:bookmarkStart w:id="108" w:name="Xbd435956a17184c05f78812072a6977d95df0e7"/>
    <w:p>
      <w:pPr>
        <w:pStyle w:val="Bibliography"/>
      </w:pPr>
      <w:r>
        <w:t xml:space="preserve">16.</w:t>
      </w:r>
      <w:r>
        <w:t xml:space="preserve"> </w:t>
      </w:r>
      <w:r>
        <w:t xml:space="preserve">	</w:t>
      </w:r>
      <w:r>
        <w:rPr>
          <w:b/>
          <w:bCs/>
        </w:rPr>
        <w:t xml:space="preserve">RICE: Simple prioritization for product managers</w:t>
      </w:r>
      <w:r>
        <w:t xml:space="preserve"> </w:t>
      </w:r>
      <w:r>
        <w:t xml:space="preserve">Sean McBride</w:t>
      </w:r>
      <w:r>
        <w:t xml:space="preserve"> </w:t>
      </w:r>
      <w:r>
        <w:rPr>
          <w:i/>
          <w:iCs/>
        </w:rPr>
        <w:t xml:space="preserve">The Intercom Blog</w:t>
      </w:r>
      <w:r>
        <w:t xml:space="preserve"> </w:t>
      </w:r>
      <w:r>
        <w:t xml:space="preserve">(2018-01-05)</w:t>
      </w:r>
      <w:r>
        <w:t xml:space="preserve"> </w:t>
      </w:r>
      <w:hyperlink r:id="rId107">
        <w:r>
          <w:rPr>
            <w:rStyle w:val="Hyperlink"/>
          </w:rPr>
          <w:t xml:space="preserve">https://www.intercom.com/blog/rice-simple-prioritization-for-product-managers/</w:t>
        </w:r>
      </w:hyperlink>
    </w:p>
    <w:bookmarkEnd w:id="108"/>
    <w:bookmarkStart w:id="109" w:name="ref-isbn:9780201624328"/>
    <w:p>
      <w:pPr>
        <w:pStyle w:val="Bibliography"/>
      </w:pPr>
      <w:r>
        <w:t xml:space="preserve">17.</w:t>
      </w:r>
      <w:r>
        <w:t xml:space="preserve"> </w:t>
      </w:r>
      <w:r>
        <w:t xml:space="preserve">	</w:t>
      </w:r>
      <w:r>
        <w:rPr>
          <w:b/>
          <w:bCs/>
        </w:rPr>
        <w:t xml:space="preserve">CASE method fast track: a RAD approach</w:t>
      </w:r>
      <w:r>
        <w:t xml:space="preserve"> </w:t>
      </w:r>
      <w:r>
        <w:t xml:space="preserve">Dai Clegg, Richard Barker</w:t>
      </w:r>
      <w:r>
        <w:t xml:space="preserve"> </w:t>
      </w:r>
      <w:r>
        <w:rPr>
          <w:i/>
          <w:iCs/>
        </w:rPr>
        <w:t xml:space="preserve">Addison-Wesley Pub. Co</w:t>
      </w:r>
      <w:r>
        <w:t xml:space="preserve"> </w:t>
      </w:r>
      <w:r>
        <w:t xml:space="preserve">(1994)</w:t>
      </w:r>
      <w:r>
        <w:t xml:space="preserve"> </w:t>
      </w:r>
      <w:r>
        <w:t xml:space="preserve">ISBN: 9780201624328</w:t>
      </w:r>
    </w:p>
    <w:bookmarkEnd w:id="109"/>
    <w:bookmarkStart w:id="110" w:name="ref-isbn:9780875846514"/>
    <w:p>
      <w:pPr>
        <w:pStyle w:val="Bibliography"/>
      </w:pPr>
      <w:r>
        <w:t xml:space="preserve">18.</w:t>
      </w:r>
      <w:r>
        <w:t xml:space="preserve"> </w:t>
      </w:r>
      <w:r>
        <w:t xml:space="preserve">	</w:t>
      </w:r>
      <w:r>
        <w:rPr>
          <w:b/>
          <w:bCs/>
        </w:rPr>
        <w:t xml:space="preserve">The balanced scorecard: translating strategy into action</w:t>
      </w:r>
      <w:r>
        <w:t xml:space="preserve"> </w:t>
      </w:r>
      <w:r>
        <w:t xml:space="preserve">Robert S Kaplan, David P Norton</w:t>
      </w:r>
      <w:r>
        <w:t xml:space="preserve"> </w:t>
      </w:r>
      <w:r>
        <w:rPr>
          <w:i/>
          <w:iCs/>
        </w:rPr>
        <w:t xml:space="preserve">Harvard Business School Press</w:t>
      </w:r>
      <w:r>
        <w:t xml:space="preserve"> </w:t>
      </w:r>
      <w:r>
        <w:t xml:space="preserve">(1996)</w:t>
      </w:r>
      <w:r>
        <w:t xml:space="preserve"> </w:t>
      </w:r>
      <w:r>
        <w:t xml:space="preserve">ISBN: 9780875846514</w:t>
      </w:r>
    </w:p>
    <w:bookmarkEnd w:id="110"/>
    <w:bookmarkStart w:id="111" w:name="ref-isbn:9780273653349"/>
    <w:p>
      <w:pPr>
        <w:pStyle w:val="Bibliography"/>
      </w:pPr>
      <w:r>
        <w:t xml:space="preserve">19.</w:t>
      </w:r>
      <w:r>
        <w:t xml:space="preserve"> </w:t>
      </w:r>
      <w:r>
        <w:t xml:space="preserve">	</w:t>
      </w:r>
      <w:r>
        <w:rPr>
          <w:b/>
          <w:bCs/>
        </w:rPr>
        <w:t xml:space="preserve">The performance prism: the scorecard for measuring and managing business success</w:t>
      </w:r>
      <w:r>
        <w:t xml:space="preserve"> </w:t>
      </w:r>
      <w:r>
        <w:t xml:space="preserve">Andy D Neely, Chris Adams, Mike Kennerley</w:t>
      </w:r>
      <w:r>
        <w:t xml:space="preserve"> </w:t>
      </w:r>
      <w:r>
        <w:rPr>
          <w:i/>
          <w:iCs/>
        </w:rPr>
        <w:t xml:space="preserve">Financial Times Prentice Hall</w:t>
      </w:r>
      <w:r>
        <w:t xml:space="preserve"> </w:t>
      </w:r>
      <w:r>
        <w:t xml:space="preserve">(2002)</w:t>
      </w:r>
      <w:r>
        <w:t xml:space="preserve"> </w:t>
      </w:r>
      <w:r>
        <w:t xml:space="preserve">ISBN: 9780273653349</w:t>
      </w:r>
    </w:p>
    <w:bookmarkEnd w:id="111"/>
    <w:bookmarkStart w:id="112" w:name="ref-isbn:9780471465102"/>
    <w:p>
      <w:pPr>
        <w:pStyle w:val="Bibliography"/>
      </w:pPr>
      <w:r>
        <w:t xml:space="preserve">20.</w:t>
      </w:r>
      <w:r>
        <w:t xml:space="preserve"> </w:t>
      </w:r>
      <w:r>
        <w:t xml:space="preserve">	</w:t>
      </w:r>
      <w:r>
        <w:rPr>
          <w:b/>
          <w:bCs/>
        </w:rPr>
        <w:t xml:space="preserve">Decisions with multiple objectives: preferences and value tradeoffs</w:t>
      </w:r>
      <w:r>
        <w:t xml:space="preserve"> </w:t>
      </w:r>
      <w:r>
        <w:t xml:space="preserve">Ralph L Keeney, Howard Raiffa</w:t>
      </w:r>
      <w:r>
        <w:t xml:space="preserve"> </w:t>
      </w:r>
      <w:r>
        <w:rPr>
          <w:i/>
          <w:iCs/>
        </w:rPr>
        <w:t xml:space="preserve">Wiley</w:t>
      </w:r>
      <w:r>
        <w:t xml:space="preserve"> </w:t>
      </w:r>
      <w:r>
        <w:t xml:space="preserve">(1976)</w:t>
      </w:r>
      <w:r>
        <w:t xml:space="preserve"> </w:t>
      </w:r>
      <w:r>
        <w:t xml:space="preserve">ISBN: 9780471465102</w:t>
      </w:r>
    </w:p>
    <w:bookmarkEnd w:id="112"/>
    <w:bookmarkStart w:id="113" w:name="ref-isbn:9780792375067"/>
    <w:p>
      <w:pPr>
        <w:pStyle w:val="Bibliography"/>
      </w:pPr>
      <w:r>
        <w:t xml:space="preserve">21.</w:t>
      </w:r>
      <w:r>
        <w:t xml:space="preserve"> </w:t>
      </w:r>
      <w:r>
        <w:t xml:space="preserve">	</w:t>
      </w:r>
      <w:r>
        <w:rPr>
          <w:b/>
          <w:b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w:t>
      </w:r>
      <w:r>
        <w:t xml:space="preserve">Jan HP Eloff (editor)</w:t>
      </w:r>
      <w:r>
        <w:t xml:space="preserve"> </w:t>
      </w:r>
      <w:r>
        <w:rPr>
          <w:i/>
          <w:iCs/>
        </w:rPr>
        <w:t xml:space="preserve">Kluwer Academic Publishers</w:t>
      </w:r>
      <w:r>
        <w:t xml:space="preserve"> </w:t>
      </w:r>
      <w:r>
        <w:t xml:space="preserve">(2001)</w:t>
      </w:r>
      <w:r>
        <w:t xml:space="preserve"> </w:t>
      </w:r>
      <w:r>
        <w:t xml:space="preserve">ISBN: 9780792375067</w:t>
      </w:r>
    </w:p>
    <w:bookmarkEnd w:id="113"/>
    <w:bookmarkStart w:id="118" w:name="ref-doi:10.1038/sdata.2016.18"/>
    <w:p>
      <w:pPr>
        <w:pStyle w:val="Bibliography"/>
      </w:pPr>
      <w:r>
        <w:t xml:space="preserve">22.</w:t>
      </w:r>
      <w:r>
        <w:t xml:space="preserve"> </w:t>
      </w:r>
      <w:r>
        <w:t xml:space="preserve">	</w:t>
      </w:r>
      <w:r>
        <w:rPr>
          <w:b/>
          <w:bCs/>
        </w:rPr>
        <w:t xml:space="preserve">The FAIR Guiding Principles for scientific data management and stewardship</w:t>
      </w:r>
      <w:r>
        <w:t xml:space="preserve"> </w:t>
      </w:r>
      <w:r>
        <w:t xml:space="preserve">Mark D Wilkinson, Michel Dumontier, IJsbrand Jan Aalbersberg, Gabrielle Appleton, Myles Axton, Arie Baak, Niklas Blomberg, Jan-Willem Boiten, Luiz Bonino da Silva Santos, Philip E Bourne, … Barend Mons</w:t>
      </w:r>
      <w:r>
        <w:t xml:space="preserve"> </w:t>
      </w:r>
      <w:r>
        <w:rPr>
          <w:i/>
          <w:iCs/>
        </w:rPr>
        <w:t xml:space="preserve">Scientific Data</w:t>
      </w:r>
      <w:r>
        <w:t xml:space="preserve"> </w:t>
      </w:r>
      <w:r>
        <w:t xml:space="preserve">(2016-03-15)</w:t>
      </w:r>
      <w:r>
        <w:t xml:space="preserve"> </w:t>
      </w:r>
      <w:hyperlink r:id="rId114">
        <w:r>
          <w:rPr>
            <w:rStyle w:val="Hyperlink"/>
          </w:rPr>
          <w:t xml:space="preserve">https://doi.org/bdd4</w:t>
        </w:r>
      </w:hyperlink>
      <w:r>
        <w:t xml:space="preserve"> </w:t>
      </w:r>
      <w:r>
        <w:t xml:space="preserve">DOI:</w:t>
      </w:r>
      <w:r>
        <w:t xml:space="preserve"> </w:t>
      </w:r>
      <w:hyperlink r:id="rId115">
        <w:r>
          <w:rPr>
            <w:rStyle w:val="Hyperlink"/>
          </w:rPr>
          <w:t xml:space="preserve">10.1038/sdata.2016.18</w:t>
        </w:r>
      </w:hyperlink>
      <w:r>
        <w:t xml:space="preserve"> </w:t>
      </w:r>
      <w:r>
        <w:t xml:space="preserve">· PMID:</w:t>
      </w:r>
      <w:r>
        <w:t xml:space="preserve"> </w:t>
      </w:r>
      <w:hyperlink r:id="rId116">
        <w:r>
          <w:rPr>
            <w:rStyle w:val="Hyperlink"/>
          </w:rPr>
          <w:t xml:space="preserve">26978244</w:t>
        </w:r>
      </w:hyperlink>
      <w:r>
        <w:t xml:space="preserve"> </w:t>
      </w:r>
      <w:r>
        <w:t xml:space="preserve">· PMCID:</w:t>
      </w:r>
      <w:r>
        <w:t xml:space="preserve"> </w:t>
      </w:r>
      <w:hyperlink r:id="rId117">
        <w:r>
          <w:rPr>
            <w:rStyle w:val="Hyperlink"/>
          </w:rPr>
          <w:t xml:space="preserve">PMC4792175</w:t>
        </w:r>
      </w:hyperlink>
    </w:p>
    <w:bookmarkEnd w:id="118"/>
    <w:bookmarkStart w:id="123" w:name="ref-doi:10.1038/sdata.2018.118"/>
    <w:p>
      <w:pPr>
        <w:pStyle w:val="Bibliography"/>
      </w:pPr>
      <w:r>
        <w:t xml:space="preserve">23.</w:t>
      </w:r>
      <w:r>
        <w:t xml:space="preserve"> </w:t>
      </w:r>
      <w:r>
        <w:t xml:space="preserve">	</w:t>
      </w:r>
      <w:r>
        <w:rPr>
          <w:b/>
          <w:bCs/>
        </w:rPr>
        <w:t xml:space="preserve">A design framework and exemplar metrics for FAIRness</w:t>
      </w:r>
      <w:r>
        <w:t xml:space="preserve"> </w:t>
      </w:r>
      <w:r>
        <w:t xml:space="preserve">Mark D Wilkinson, Susanna-Assunta Sansone, Erik Schultes, Peter Doorn, Luiz Olavo Bonino da Silva Santos, Michel Dumontier</w:t>
      </w:r>
      <w:r>
        <w:t xml:space="preserve"> </w:t>
      </w:r>
      <w:r>
        <w:rPr>
          <w:i/>
          <w:iCs/>
        </w:rPr>
        <w:t xml:space="preserve">Scientific Data</w:t>
      </w:r>
      <w:r>
        <w:t xml:space="preserve"> </w:t>
      </w:r>
      <w:r>
        <w:t xml:space="preserve">(2018-06-26)</w:t>
      </w:r>
      <w:r>
        <w:t xml:space="preserve"> </w:t>
      </w:r>
      <w:hyperlink r:id="rId119">
        <w:r>
          <w:rPr>
            <w:rStyle w:val="Hyperlink"/>
          </w:rPr>
          <w:t xml:space="preserve">https://doi.org/gfkrrt</w:t>
        </w:r>
      </w:hyperlink>
      <w:r>
        <w:t xml:space="preserve"> </w:t>
      </w:r>
      <w:r>
        <w:t xml:space="preserve">DOI:</w:t>
      </w:r>
      <w:r>
        <w:t xml:space="preserve"> </w:t>
      </w:r>
      <w:hyperlink r:id="rId120">
        <w:r>
          <w:rPr>
            <w:rStyle w:val="Hyperlink"/>
          </w:rPr>
          <w:t xml:space="preserve">10.1038/sdata.2018.118</w:t>
        </w:r>
      </w:hyperlink>
      <w:r>
        <w:t xml:space="preserve"> </w:t>
      </w:r>
      <w:r>
        <w:t xml:space="preserve">· PMID:</w:t>
      </w:r>
      <w:r>
        <w:t xml:space="preserve"> </w:t>
      </w:r>
      <w:hyperlink r:id="rId121">
        <w:r>
          <w:rPr>
            <w:rStyle w:val="Hyperlink"/>
          </w:rPr>
          <w:t xml:space="preserve">29944145</w:t>
        </w:r>
      </w:hyperlink>
      <w:r>
        <w:t xml:space="preserve"> </w:t>
      </w:r>
      <w:r>
        <w:t xml:space="preserve">· PMCID:</w:t>
      </w:r>
      <w:r>
        <w:t xml:space="preserve"> </w:t>
      </w:r>
      <w:hyperlink r:id="rId122">
        <w:r>
          <w:rPr>
            <w:rStyle w:val="Hyperlink"/>
          </w:rPr>
          <w:t xml:space="preserve">PMC6018520</w:t>
        </w:r>
      </w:hyperlink>
    </w:p>
    <w:bookmarkEnd w:id="123"/>
    <w:bookmarkStart w:id="125" w:name="X0c476e0dc488839bbf9fe4bc72ce2e5c6de7346"/>
    <w:p>
      <w:pPr>
        <w:pStyle w:val="Bibliography"/>
      </w:pPr>
      <w:r>
        <w:t xml:space="preserve">24.</w:t>
      </w:r>
      <w:r>
        <w:t xml:space="preserve"> </w:t>
      </w:r>
      <w:r>
        <w:t xml:space="preserve">	</w:t>
      </w:r>
      <w:r>
        <w:rPr>
          <w:b/>
          <w:bCs/>
        </w:rPr>
        <w:t xml:space="preserve">Analytics Tools &amp; Solutions for Your Business - Google Analytics</w:t>
      </w:r>
      <w:r>
        <w:t xml:space="preserve"> </w:t>
      </w:r>
      <w:r>
        <w:t xml:space="preserve">Google Marketing Platform</w:t>
      </w:r>
      <w:r>
        <w:t xml:space="preserve"> </w:t>
      </w:r>
      <w:hyperlink r:id="rId124">
        <w:r>
          <w:rPr>
            <w:rStyle w:val="Hyperlink"/>
          </w:rPr>
          <w:t xml:space="preserve">https://marketingplatform.google.com/about/analytics/</w:t>
        </w:r>
      </w:hyperlink>
    </w:p>
    <w:bookmarkEnd w:id="125"/>
    <w:bookmarkStart w:id="127" w:name="ref-url:https://matomo.org"/>
    <w:p>
      <w:pPr>
        <w:pStyle w:val="Bibliography"/>
      </w:pPr>
      <w:r>
        <w:t xml:space="preserve">25.</w:t>
      </w:r>
      <w:r>
        <w:t xml:space="preserve"> </w:t>
      </w:r>
      <w:r>
        <w:t xml:space="preserve">	</w:t>
      </w:r>
      <w:r>
        <w:rPr>
          <w:b/>
          <w:bCs/>
        </w:rPr>
        <w:t xml:space="preserve">Privacy-first analytics you can trust</w:t>
      </w:r>
      <w:r>
        <w:t xml:space="preserve"> </w:t>
      </w:r>
      <w:r>
        <w:t xml:space="preserve">Analytics Platform - Matomo</w:t>
      </w:r>
      <w:r>
        <w:t xml:space="preserve"> </w:t>
      </w:r>
      <w:hyperlink r:id="rId126">
        <w:r>
          <w:rPr>
            <w:rStyle w:val="Hyperlink"/>
          </w:rPr>
          <w:t xml:space="preserve">https://matomo.org/</w:t>
        </w:r>
      </w:hyperlink>
    </w:p>
    <w:bookmarkEnd w:id="127"/>
    <w:bookmarkStart w:id="129" w:name="ref-url:https://semrush.com"/>
    <w:p>
      <w:pPr>
        <w:pStyle w:val="Bibliography"/>
      </w:pPr>
      <w:r>
        <w:t xml:space="preserve">26.</w:t>
      </w:r>
      <w:r>
        <w:t xml:space="preserve"> </w:t>
      </w:r>
      <w:r>
        <w:t xml:space="preserve">	</w:t>
      </w:r>
      <w:r>
        <w:rPr>
          <w:b/>
          <w:bCs/>
        </w:rPr>
        <w:t xml:space="preserve">Semrush: Your Unfair Advantage for Growing Brand Visibility</w:t>
      </w:r>
      <w:r>
        <w:t xml:space="preserve"> </w:t>
      </w:r>
      <w:r>
        <w:t xml:space="preserve">Semrush</w:t>
      </w:r>
      <w:r>
        <w:t xml:space="preserve"> </w:t>
      </w:r>
      <w:hyperlink r:id="rId128">
        <w:r>
          <w:rPr>
            <w:rStyle w:val="Hyperlink"/>
          </w:rPr>
          <w:t xml:space="preserve">https://www.semrush.com/</w:t>
        </w:r>
      </w:hyperlink>
    </w:p>
    <w:bookmarkEnd w:id="129"/>
    <w:bookmarkStart w:id="131" w:name="ref-url:https://www.similarweb.com"/>
    <w:p>
      <w:pPr>
        <w:pStyle w:val="Bibliography"/>
      </w:pPr>
      <w:r>
        <w:t xml:space="preserve">27.</w:t>
      </w:r>
      <w:r>
        <w:t xml:space="preserve"> </w:t>
      </w:r>
      <w:r>
        <w:t xml:space="preserve">	</w:t>
      </w:r>
      <w:r>
        <w:rPr>
          <w:b/>
          <w:bCs/>
        </w:rPr>
        <w:t xml:space="preserve">Similarweb: AI-Powered Digital Data Intelligence Solutions</w:t>
      </w:r>
      <w:r>
        <w:t xml:space="preserve"> </w:t>
      </w:r>
      <w:r>
        <w:t xml:space="preserve">Similarweb</w:t>
      </w:r>
      <w:r>
        <w:t xml:space="preserve"> </w:t>
      </w:r>
      <w:hyperlink r:id="rId130">
        <w:r>
          <w:rPr>
            <w:rStyle w:val="Hyperlink"/>
          </w:rPr>
          <w:t xml:space="preserve">https://www.similarweb.com/</w:t>
        </w:r>
      </w:hyperlink>
    </w:p>
    <w:bookmarkEnd w:id="131"/>
    <w:bookmarkStart w:id="133" w:name="ref-url:https://pubmed.ncbi.nlm.nih.gov"/>
    <w:p>
      <w:pPr>
        <w:pStyle w:val="Bibliography"/>
      </w:pPr>
      <w:r>
        <w:t xml:space="preserve">28.</w:t>
      </w:r>
      <w:r>
        <w:t xml:space="preserve"> </w:t>
      </w:r>
      <w:r>
        <w:t xml:space="preserve">	</w:t>
      </w:r>
      <w:r>
        <w:rPr>
          <w:b/>
          <w:bCs/>
        </w:rPr>
        <w:t xml:space="preserve">PubMed</w:t>
      </w:r>
      <w:r>
        <w:t xml:space="preserve"> </w:t>
      </w:r>
      <w:r>
        <w:t xml:space="preserve">PubMed</w:t>
      </w:r>
      <w:r>
        <w:t xml:space="preserve"> </w:t>
      </w:r>
      <w:hyperlink r:id="rId132">
        <w:r>
          <w:rPr>
            <w:rStyle w:val="Hyperlink"/>
          </w:rPr>
          <w:t xml:space="preserve">https://pubmed.ncbi.nlm.nih.gov/</w:t>
        </w:r>
      </w:hyperlink>
    </w:p>
    <w:bookmarkEnd w:id="133"/>
    <w:bookmarkStart w:id="135" w:name="ref-url:https://www.scopus.com"/>
    <w:p>
      <w:pPr>
        <w:pStyle w:val="Bibliography"/>
      </w:pPr>
      <w:r>
        <w:t xml:space="preserve">29.</w:t>
      </w:r>
      <w:r>
        <w:t xml:space="preserve"> </w:t>
      </w:r>
      <w:r>
        <w:t xml:space="preserve">	</w:t>
      </w:r>
      <w:hyperlink r:id="rId134">
        <w:r>
          <w:rPr>
            <w:rStyle w:val="Hyperlink"/>
          </w:rPr>
          <w:t xml:space="preserve">https://www.scopus.com</w:t>
        </w:r>
      </w:hyperlink>
    </w:p>
    <w:bookmarkEnd w:id="135"/>
    <w:bookmarkStart w:id="137" w:name="ref-url:https://scholar.google.com"/>
    <w:p>
      <w:pPr>
        <w:pStyle w:val="Bibliography"/>
      </w:pPr>
      <w:r>
        <w:t xml:space="preserve">30.</w:t>
      </w:r>
      <w:r>
        <w:t xml:space="preserve"> </w:t>
      </w:r>
      <w:r>
        <w:t xml:space="preserve">	</w:t>
      </w:r>
      <w:r>
        <w:rPr>
          <w:b/>
          <w:bCs/>
        </w:rPr>
        <w:t xml:space="preserve">Google Scholar</w:t>
      </w:r>
      <w:r>
        <w:t xml:space="preserve"> </w:t>
      </w:r>
      <w:hyperlink r:id="rId136">
        <w:r>
          <w:rPr>
            <w:rStyle w:val="Hyperlink"/>
          </w:rPr>
          <w:t xml:space="preserve">https://scholar.google.com/</w:t>
        </w:r>
      </w:hyperlink>
    </w:p>
    <w:bookmarkEnd w:id="137"/>
    <w:bookmarkStart w:id="139" w:name="ref-url:https://clarivate.com"/>
    <w:p>
      <w:pPr>
        <w:pStyle w:val="Bibliography"/>
      </w:pPr>
      <w:r>
        <w:t xml:space="preserve">31.</w:t>
      </w:r>
      <w:r>
        <w:t xml:space="preserve"> </w:t>
      </w:r>
      <w:r>
        <w:t xml:space="preserve">	</w:t>
      </w:r>
      <w:r>
        <w:rPr>
          <w:b/>
          <w:bCs/>
        </w:rPr>
        <w:t xml:space="preserve">Clarivate - Leading Global Transformative Intelligence</w:t>
      </w:r>
      <w:r>
        <w:t xml:space="preserve"> </w:t>
      </w:r>
      <w:r>
        <w:t xml:space="preserve">(2024-02-07)</w:t>
      </w:r>
      <w:r>
        <w:t xml:space="preserve"> </w:t>
      </w:r>
      <w:hyperlink r:id="rId138">
        <w:r>
          <w:rPr>
            <w:rStyle w:val="Hyperlink"/>
          </w:rPr>
          <w:t xml:space="preserve">https://clarivate.com/</w:t>
        </w:r>
      </w:hyperlink>
    </w:p>
    <w:bookmarkEnd w:id="139"/>
    <w:bookmarkStart w:id="141" w:name="ref-url:https://openalex.org"/>
    <w:p>
      <w:pPr>
        <w:pStyle w:val="Bibliography"/>
      </w:pPr>
      <w:r>
        <w:t xml:space="preserve">32.</w:t>
      </w:r>
      <w:r>
        <w:t xml:space="preserve"> </w:t>
      </w:r>
      <w:r>
        <w:t xml:space="preserve">	</w:t>
      </w:r>
      <w:r>
        <w:rPr>
          <w:b/>
          <w:bCs/>
        </w:rPr>
        <w:t xml:space="preserve">OpenAlex</w:t>
      </w:r>
      <w:r>
        <w:t xml:space="preserve"> </w:t>
      </w:r>
      <w:hyperlink r:id="rId140">
        <w:r>
          <w:rPr>
            <w:rStyle w:val="Hyperlink"/>
          </w:rPr>
          <w:t xml:space="preserve">https://openalex.org/</w:t>
        </w:r>
      </w:hyperlink>
    </w:p>
    <w:bookmarkEnd w:id="141"/>
    <w:bookmarkStart w:id="146" w:name="ref-doi:10.1371/journal.pone.0311493"/>
    <w:p>
      <w:pPr>
        <w:pStyle w:val="Bibliography"/>
      </w:pPr>
      <w:r>
        <w:t xml:space="preserve">33.</w:t>
      </w:r>
      <w:r>
        <w:t xml:space="preserve"> </w:t>
      </w:r>
      <w:r>
        <w:t xml:space="preserve">	</w:t>
      </w:r>
      <w:r>
        <w:rPr>
          <w:b/>
          <w:bCs/>
        </w:rPr>
        <w:t xml:space="preserve">An analysis of the effects of sharing research data, code, and preprints on citations</w:t>
      </w:r>
      <w:r>
        <w:t xml:space="preserve"> </w:t>
      </w:r>
      <w:r>
        <w:t xml:space="preserve">Giovanni Colavizza, Lauren Cadwallader, Marcel LaFlamme, Grégory Dozot, Stéphane Lecorney, Daniel Rappo, Iain Hrynaszkiewicz</w:t>
      </w:r>
      <w:r>
        <w:t xml:space="preserve"> </w:t>
      </w:r>
      <w:r>
        <w:rPr>
          <w:i/>
          <w:iCs/>
        </w:rPr>
        <w:t xml:space="preserve">PLOS ONE</w:t>
      </w:r>
      <w:r>
        <w:t xml:space="preserve"> </w:t>
      </w:r>
      <w:r>
        <w:t xml:space="preserve">(2024-10-30)</w:t>
      </w:r>
      <w:r>
        <w:t xml:space="preserve"> </w:t>
      </w:r>
      <w:hyperlink r:id="rId142">
        <w:r>
          <w:rPr>
            <w:rStyle w:val="Hyperlink"/>
          </w:rPr>
          <w:t xml:space="preserve">https://doi.org/g8p57w</w:t>
        </w:r>
      </w:hyperlink>
      <w:r>
        <w:t xml:space="preserve"> </w:t>
      </w:r>
      <w:r>
        <w:t xml:space="preserve">DOI:</w:t>
      </w:r>
      <w:r>
        <w:t xml:space="preserve"> </w:t>
      </w:r>
      <w:hyperlink r:id="rId143">
        <w:r>
          <w:rPr>
            <w:rStyle w:val="Hyperlink"/>
          </w:rPr>
          <w:t xml:space="preserve">10.1371/journal.pone.0311493</w:t>
        </w:r>
      </w:hyperlink>
      <w:r>
        <w:t xml:space="preserve"> </w:t>
      </w:r>
      <w:r>
        <w:t xml:space="preserve">· PMID:</w:t>
      </w:r>
      <w:r>
        <w:t xml:space="preserve"> </w:t>
      </w:r>
      <w:hyperlink r:id="rId144">
        <w:r>
          <w:rPr>
            <w:rStyle w:val="Hyperlink"/>
          </w:rPr>
          <w:t xml:space="preserve">39475849</w:t>
        </w:r>
      </w:hyperlink>
      <w:r>
        <w:t xml:space="preserve"> </w:t>
      </w:r>
      <w:r>
        <w:t xml:space="preserve">· PMCID:</w:t>
      </w:r>
      <w:r>
        <w:t xml:space="preserve"> </w:t>
      </w:r>
      <w:hyperlink r:id="rId145">
        <w:r>
          <w:rPr>
            <w:rStyle w:val="Hyperlink"/>
          </w:rPr>
          <w:t xml:space="preserve">PMC11524460</w:t>
        </w:r>
      </w:hyperlink>
    </w:p>
    <w:bookmarkEnd w:id="146"/>
    <w:bookmarkStart w:id="150" w:name="ref-doi:10.1038/520429a"/>
    <w:p>
      <w:pPr>
        <w:pStyle w:val="Bibliography"/>
      </w:pPr>
      <w:r>
        <w:t xml:space="preserve">34.</w:t>
      </w:r>
      <w:r>
        <w:t xml:space="preserve"> </w:t>
      </w:r>
      <w:r>
        <w:t xml:space="preserve">	</w:t>
      </w:r>
      <w:r>
        <w:rPr>
          <w:b/>
          <w:bCs/>
        </w:rPr>
        <w:t xml:space="preserve">Bibliometrics: The Leiden Manifesto for research metrics</w:t>
      </w:r>
      <w:r>
        <w:t xml:space="preserve"> </w:t>
      </w:r>
      <w:r>
        <w:t xml:space="preserve">Diana Hicks, Paul Wouters, Ludo Waltman, Sarah de Rijcke, Ismael Rafols</w:t>
      </w:r>
      <w:r>
        <w:t xml:space="preserve"> </w:t>
      </w:r>
      <w:r>
        <w:rPr>
          <w:i/>
          <w:iCs/>
        </w:rPr>
        <w:t xml:space="preserve">Nature</w:t>
      </w:r>
      <w:r>
        <w:t xml:space="preserve"> </w:t>
      </w:r>
      <w:r>
        <w:t xml:space="preserve">(2015-04-22)</w:t>
      </w:r>
      <w:r>
        <w:t xml:space="preserve"> </w:t>
      </w:r>
      <w:hyperlink r:id="rId147">
        <w:r>
          <w:rPr>
            <w:rStyle w:val="Hyperlink"/>
          </w:rPr>
          <w:t xml:space="preserve">https://doi.org/gdg44f</w:t>
        </w:r>
      </w:hyperlink>
      <w:r>
        <w:t xml:space="preserve"> </w:t>
      </w:r>
      <w:r>
        <w:t xml:space="preserve">DOI:</w:t>
      </w:r>
      <w:r>
        <w:t xml:space="preserve"> </w:t>
      </w:r>
      <w:hyperlink r:id="rId148">
        <w:r>
          <w:rPr>
            <w:rStyle w:val="Hyperlink"/>
          </w:rPr>
          <w:t xml:space="preserve">10.1038/520429a</w:t>
        </w:r>
      </w:hyperlink>
      <w:r>
        <w:t xml:space="preserve"> </w:t>
      </w:r>
      <w:r>
        <w:t xml:space="preserve">· PMID:</w:t>
      </w:r>
      <w:r>
        <w:t xml:space="preserve"> </w:t>
      </w:r>
      <w:hyperlink r:id="rId149">
        <w:r>
          <w:rPr>
            <w:rStyle w:val="Hyperlink"/>
          </w:rPr>
          <w:t xml:space="preserve">25903611</w:t>
        </w:r>
      </w:hyperlink>
    </w:p>
    <w:bookmarkEnd w:id="150"/>
    <w:bookmarkStart w:id="154" w:name="ref-doi:10.4103/1008-682X.171582"/>
    <w:p>
      <w:pPr>
        <w:pStyle w:val="Bibliography"/>
      </w:pPr>
      <w:r>
        <w:t xml:space="preserve">35.</w:t>
      </w:r>
      <w:r>
        <w:t xml:space="preserve"> </w:t>
      </w:r>
      <w:r>
        <w:t xml:space="preserve">	</w:t>
      </w:r>
      <w:r>
        <w:rPr>
          <w:b/>
          <w:bCs/>
        </w:rPr>
        <w:t xml:space="preserve">Bibliometrics: tracking research impact by selecting the appropriate metrics</w:t>
      </w:r>
      <w:r>
        <w:t xml:space="preserve"> </w:t>
      </w:r>
      <w:r>
        <w:t xml:space="preserve">Ashok Agarwal, Damayanthi Durairajanayagam, Sindhuja Tatagari, SandroC Esteves, Avi Harlev, Ralf Henkel, Shubhadeep Roychoudhury, Sheryl Homa, NicolásGarrido Puchalt, Ranjith Ramasamy, … Asher Bashiri</w:t>
      </w:r>
      <w:r>
        <w:t xml:space="preserve"> </w:t>
      </w:r>
      <w:r>
        <w:rPr>
          <w:i/>
          <w:iCs/>
        </w:rPr>
        <w:t xml:space="preserve">Asian Journal of Andrology</w:t>
      </w:r>
      <w:r>
        <w:t xml:space="preserve"> </w:t>
      </w:r>
      <w:r>
        <w:t xml:space="preserve">(2016)</w:t>
      </w:r>
      <w:r>
        <w:t xml:space="preserve"> </w:t>
      </w:r>
      <w:hyperlink r:id="rId151">
        <w:r>
          <w:rPr>
            <w:rStyle w:val="Hyperlink"/>
          </w:rPr>
          <w:t xml:space="preserve">https://doi.org/f877jx</w:t>
        </w:r>
      </w:hyperlink>
      <w:r>
        <w:t xml:space="preserve"> </w:t>
      </w:r>
      <w:r>
        <w:t xml:space="preserve">DOI:</w:t>
      </w:r>
      <w:r>
        <w:t xml:space="preserve"> </w:t>
      </w:r>
      <w:hyperlink r:id="rId152">
        <w:r>
          <w:rPr>
            <w:rStyle w:val="Hyperlink"/>
          </w:rPr>
          <w:t xml:space="preserve">10.4103/1008-682x.171582</w:t>
        </w:r>
      </w:hyperlink>
      <w:r>
        <w:t xml:space="preserve"> </w:t>
      </w:r>
      <w:r>
        <w:t xml:space="preserve">· PMID:</w:t>
      </w:r>
      <w:r>
        <w:t xml:space="preserve"> </w:t>
      </w:r>
      <w:hyperlink r:id="rId153">
        <w:r>
          <w:rPr>
            <w:rStyle w:val="Hyperlink"/>
          </w:rPr>
          <w:t xml:space="preserve">26806079</w:t>
        </w:r>
      </w:hyperlink>
    </w:p>
    <w:bookmarkEnd w:id="154"/>
    <w:bookmarkStart w:id="159" w:name="ref-doi:10.1101/2023.09.12.557386"/>
    <w:p>
      <w:pPr>
        <w:pStyle w:val="Bibliography"/>
      </w:pPr>
      <w:r>
        <w:t xml:space="preserve">36.</w:t>
      </w:r>
      <w:r>
        <w:t xml:space="preserve"> </w:t>
      </w:r>
      <w:r>
        <w:t xml:space="preserve">	</w:t>
      </w:r>
      <w:r>
        <w:rPr>
          <w:b/>
          <w:bCs/>
        </w:rPr>
        <w:t xml:space="preserve">Bibliometric analysis of neuroscience publications quantifies the impact of data sharing</w:t>
      </w:r>
      <w:r>
        <w:t xml:space="preserve"> </w:t>
      </w:r>
      <w:r>
        <w:t xml:space="preserve">Herve Emissah, Bengt Ljungquist, Giorgio A Ascoli</w:t>
      </w:r>
      <w:r>
        <w:t xml:space="preserve"> </w:t>
      </w:r>
      <w:r>
        <w:rPr>
          <w:i/>
          <w:iCs/>
        </w:rPr>
        <w:t xml:space="preserve">openRxiv</w:t>
      </w:r>
      <w:r>
        <w:t xml:space="preserve"> </w:t>
      </w:r>
      <w:r>
        <w:t xml:space="preserve">(2023-09-13)</w:t>
      </w:r>
      <w:r>
        <w:t xml:space="preserve"> </w:t>
      </w:r>
      <w:hyperlink r:id="rId155">
        <w:r>
          <w:rPr>
            <w:rStyle w:val="Hyperlink"/>
          </w:rPr>
          <w:t xml:space="preserve">https://doi.org/hbsw6q</w:t>
        </w:r>
      </w:hyperlink>
      <w:r>
        <w:t xml:space="preserve"> </w:t>
      </w:r>
      <w:r>
        <w:t xml:space="preserve">DOI:</w:t>
      </w:r>
      <w:r>
        <w:t xml:space="preserve"> </w:t>
      </w:r>
      <w:hyperlink r:id="rId156">
        <w:r>
          <w:rPr>
            <w:rStyle w:val="Hyperlink"/>
          </w:rPr>
          <w:t xml:space="preserve">10.1101/2023.09.12.557386</w:t>
        </w:r>
      </w:hyperlink>
      <w:r>
        <w:t xml:space="preserve"> </w:t>
      </w:r>
      <w:r>
        <w:t xml:space="preserve">· PMID:</w:t>
      </w:r>
      <w:r>
        <w:t xml:space="preserve"> </w:t>
      </w:r>
      <w:hyperlink r:id="rId157">
        <w:r>
          <w:rPr>
            <w:rStyle w:val="Hyperlink"/>
          </w:rPr>
          <w:t xml:space="preserve">37745378</w:t>
        </w:r>
      </w:hyperlink>
      <w:r>
        <w:t xml:space="preserve"> </w:t>
      </w:r>
      <w:r>
        <w:t xml:space="preserve">· PMCID:</w:t>
      </w:r>
      <w:r>
        <w:t xml:space="preserve"> </w:t>
      </w:r>
      <w:hyperlink r:id="rId158">
        <w:r>
          <w:rPr>
            <w:rStyle w:val="Hyperlink"/>
          </w:rPr>
          <w:t xml:space="preserve">PMC10515804</w:t>
        </w:r>
      </w:hyperlink>
    </w:p>
    <w:bookmarkEnd w:id="159"/>
    <w:bookmarkStart w:id="164" w:name="ref-doi:10.2196/63544"/>
    <w:p>
      <w:pPr>
        <w:pStyle w:val="Bibliography"/>
      </w:pPr>
      <w:r>
        <w:t xml:space="preserve">37.</w:t>
      </w:r>
      <w:r>
        <w:t xml:space="preserve"> </w:t>
      </w:r>
      <w:r>
        <w:t xml:space="preserve">	</w:t>
      </w:r>
      <w:r>
        <w:rPr>
          <w:b/>
          <w:bCs/>
        </w:rPr>
        <w:t xml:space="preserve">Medical Science Data Value Evaluation Model: Mixed Methods Study</w:t>
      </w:r>
      <w:r>
        <w:t xml:space="preserve"> </w:t>
      </w:r>
      <w:r>
        <w:t xml:space="preserve">Dandan Wang, Yaning Liu</w:t>
      </w:r>
      <w:r>
        <w:t xml:space="preserve"> </w:t>
      </w:r>
      <w:r>
        <w:rPr>
          <w:i/>
          <w:iCs/>
        </w:rPr>
        <w:t xml:space="preserve">JMIR Medical Informatics</w:t>
      </w:r>
      <w:r>
        <w:t xml:space="preserve"> </w:t>
      </w:r>
      <w:r>
        <w:t xml:space="preserve">(2025-08-21)</w:t>
      </w:r>
      <w:r>
        <w:t xml:space="preserve"> </w:t>
      </w:r>
      <w:hyperlink r:id="rId160">
        <w:r>
          <w:rPr>
            <w:rStyle w:val="Hyperlink"/>
          </w:rPr>
          <w:t xml:space="preserve">https://doi.org/hbsw6s</w:t>
        </w:r>
      </w:hyperlink>
      <w:r>
        <w:t xml:space="preserve"> </w:t>
      </w:r>
      <w:r>
        <w:t xml:space="preserve">DOI:</w:t>
      </w:r>
      <w:r>
        <w:t xml:space="preserve"> </w:t>
      </w:r>
      <w:hyperlink r:id="rId161">
        <w:r>
          <w:rPr>
            <w:rStyle w:val="Hyperlink"/>
          </w:rPr>
          <w:t xml:space="preserve">10.2196/63544</w:t>
        </w:r>
      </w:hyperlink>
      <w:r>
        <w:t xml:space="preserve"> </w:t>
      </w:r>
      <w:r>
        <w:t xml:space="preserve">· PMID:</w:t>
      </w:r>
      <w:r>
        <w:t xml:space="preserve"> </w:t>
      </w:r>
      <w:hyperlink r:id="rId162">
        <w:r>
          <w:rPr>
            <w:rStyle w:val="Hyperlink"/>
          </w:rPr>
          <w:t xml:space="preserve">40839787</w:t>
        </w:r>
      </w:hyperlink>
      <w:r>
        <w:t xml:space="preserve"> </w:t>
      </w:r>
      <w:r>
        <w:t xml:space="preserve">· PMCID:</w:t>
      </w:r>
      <w:r>
        <w:t xml:space="preserve"> </w:t>
      </w:r>
      <w:hyperlink r:id="rId163">
        <w:r>
          <w:rPr>
            <w:rStyle w:val="Hyperlink"/>
          </w:rPr>
          <w:t xml:space="preserve">PMC12369987</w:t>
        </w:r>
      </w:hyperlink>
    </w:p>
    <w:bookmarkEnd w:id="164"/>
    <w:bookmarkStart w:id="168" w:name="ref-doi:10.15265/IY-2014-0020"/>
    <w:p>
      <w:pPr>
        <w:pStyle w:val="Bibliography"/>
      </w:pPr>
      <w:r>
        <w:t xml:space="preserve">38.</w:t>
      </w:r>
      <w:r>
        <w:t xml:space="preserve"> </w:t>
      </w:r>
      <w:r>
        <w:t xml:space="preserve">	</w:t>
      </w:r>
      <w:r>
        <w:rPr>
          <w:b/>
          <w:bCs/>
        </w:rPr>
        <w:t xml:space="preserve">Big Data in Medicine Is Driving Big Changes</w:t>
      </w:r>
      <w:r>
        <w:t xml:space="preserve"> </w:t>
      </w:r>
      <w:r>
        <w:t xml:space="preserve">K Verspoor, F Martin-Sanchez</w:t>
      </w:r>
      <w:r>
        <w:t xml:space="preserve"> </w:t>
      </w:r>
      <w:r>
        <w:rPr>
          <w:i/>
          <w:iCs/>
        </w:rPr>
        <w:t xml:space="preserve">Yearbook of Medical Informatics</w:t>
      </w:r>
      <w:r>
        <w:t xml:space="preserve"> </w:t>
      </w:r>
      <w:r>
        <w:t xml:space="preserve">(2014-08)</w:t>
      </w:r>
      <w:r>
        <w:t xml:space="preserve"> </w:t>
      </w:r>
      <w:hyperlink r:id="rId165">
        <w:r>
          <w:rPr>
            <w:rStyle w:val="Hyperlink"/>
          </w:rPr>
          <w:t xml:space="preserve">https://doi.org/gtwq2b</w:t>
        </w:r>
      </w:hyperlink>
      <w:r>
        <w:t xml:space="preserve"> </w:t>
      </w:r>
      <w:r>
        <w:t xml:space="preserve">DOI:</w:t>
      </w:r>
      <w:r>
        <w:t xml:space="preserve"> </w:t>
      </w:r>
      <w:hyperlink r:id="rId166">
        <w:r>
          <w:rPr>
            <w:rStyle w:val="Hyperlink"/>
          </w:rPr>
          <w:t xml:space="preserve">10.15265/iy-2014-0020</w:t>
        </w:r>
      </w:hyperlink>
      <w:r>
        <w:t xml:space="preserve"> </w:t>
      </w:r>
      <w:r>
        <w:t xml:space="preserve">· PMID:</w:t>
      </w:r>
      <w:r>
        <w:t xml:space="preserve"> </w:t>
      </w:r>
      <w:hyperlink r:id="rId167">
        <w:r>
          <w:rPr>
            <w:rStyle w:val="Hyperlink"/>
          </w:rPr>
          <w:t xml:space="preserve">25123716</w:t>
        </w:r>
      </w:hyperlink>
    </w:p>
    <w:bookmarkEnd w:id="168"/>
    <w:bookmarkStart w:id="173" w:name="ref-doi:10.1371/journal.pone.0229003"/>
    <w:p>
      <w:pPr>
        <w:pStyle w:val="Bibliography"/>
      </w:pPr>
      <w:r>
        <w:t xml:space="preserve">39.</w:t>
      </w:r>
      <w:r>
        <w:t xml:space="preserve"> </w:t>
      </w:r>
      <w:r>
        <w:t xml:space="preserve">	</w:t>
      </w:r>
      <w:r>
        <w:rPr>
          <w:b/>
          <w:bCs/>
        </w:rPr>
        <w:t xml:space="preserve">Data sharing, management, use, and reuse: Practices and perceptions of scientists worldwide</w:t>
      </w:r>
      <w:r>
        <w:t xml:space="preserve"> </w:t>
      </w:r>
      <w:r>
        <w:t xml:space="preserve">Carol Tenopir, Natalie M Rice, Suzie Allard, Lynn Baird, Josh Borycz, Lisa Christian, Bruce Grant, Robert Olendorf, Robert J Sandusky</w:t>
      </w:r>
      <w:r>
        <w:t xml:space="preserve"> </w:t>
      </w:r>
      <w:r>
        <w:rPr>
          <w:i/>
          <w:iCs/>
        </w:rPr>
        <w:t xml:space="preserve">PLOS ONE</w:t>
      </w:r>
      <w:r>
        <w:t xml:space="preserve"> </w:t>
      </w:r>
      <w:r>
        <w:t xml:space="preserve">(2020-03-11)</w:t>
      </w:r>
      <w:r>
        <w:t xml:space="preserve"> </w:t>
      </w:r>
      <w:hyperlink r:id="rId169">
        <w:r>
          <w:rPr>
            <w:rStyle w:val="Hyperlink"/>
          </w:rPr>
          <w:t xml:space="preserve">https://doi.org/gnm52c</w:t>
        </w:r>
      </w:hyperlink>
      <w:r>
        <w:t xml:space="preserve"> </w:t>
      </w:r>
      <w:r>
        <w:t xml:space="preserve">DOI:</w:t>
      </w:r>
      <w:r>
        <w:t xml:space="preserve"> </w:t>
      </w:r>
      <w:hyperlink r:id="rId170">
        <w:r>
          <w:rPr>
            <w:rStyle w:val="Hyperlink"/>
          </w:rPr>
          <w:t xml:space="preserve">10.1371/journal.pone.0229003</w:t>
        </w:r>
      </w:hyperlink>
      <w:r>
        <w:t xml:space="preserve"> </w:t>
      </w:r>
      <w:r>
        <w:t xml:space="preserve">· PMID:</w:t>
      </w:r>
      <w:r>
        <w:t xml:space="preserve"> </w:t>
      </w:r>
      <w:hyperlink r:id="rId171">
        <w:r>
          <w:rPr>
            <w:rStyle w:val="Hyperlink"/>
          </w:rPr>
          <w:t xml:space="preserve">32160189</w:t>
        </w:r>
      </w:hyperlink>
      <w:r>
        <w:t xml:space="preserve"> </w:t>
      </w:r>
      <w:r>
        <w:t xml:space="preserve">· PMCID:</w:t>
      </w:r>
      <w:r>
        <w:t xml:space="preserve"> </w:t>
      </w:r>
      <w:hyperlink r:id="rId172">
        <w:r>
          <w:rPr>
            <w:rStyle w:val="Hyperlink"/>
          </w:rPr>
          <w:t xml:space="preserve">PMC7065823</w:t>
        </w:r>
      </w:hyperlink>
    </w:p>
    <w:bookmarkEnd w:id="173"/>
    <w:bookmarkStart w:id="178" w:name="ref-doi:10.15585/mmwr.su7303a1"/>
    <w:p>
      <w:pPr>
        <w:pStyle w:val="Bibliography"/>
      </w:pPr>
      <w:r>
        <w:t xml:space="preserve">40.</w:t>
      </w:r>
      <w:r>
        <w:t xml:space="preserve"> </w:t>
      </w:r>
      <w:r>
        <w:t xml:space="preserve">	</w:t>
      </w:r>
      <w:r>
        <w:rPr>
          <w:b/>
          <w:bCs/>
        </w:rPr>
        <w:t xml:space="preserve">A Standard Framework for Evaluating Large Health Care Data and Related Resources</w:t>
      </w:r>
      <w:r>
        <w:t xml:space="preserve"> </w:t>
      </w:r>
      <w:r>
        <w:t xml:space="preserve">Suad El Burai Felix, Hussain Yusuf, Matthew Ritchey, Sebastian Romano, Gonza Namulanda, Natalie Wilkins, Tegan K Boehmer</w:t>
      </w:r>
      <w:r>
        <w:t xml:space="preserve"> </w:t>
      </w:r>
      <w:r>
        <w:rPr>
          <w:i/>
          <w:iCs/>
        </w:rPr>
        <w:t xml:space="preserve">MMWR Supplements</w:t>
      </w:r>
      <w:r>
        <w:t xml:space="preserve"> </w:t>
      </w:r>
      <w:r>
        <w:t xml:space="preserve">(2024-05-09)</w:t>
      </w:r>
      <w:r>
        <w:t xml:space="preserve"> </w:t>
      </w:r>
      <w:hyperlink r:id="rId174">
        <w:r>
          <w:rPr>
            <w:rStyle w:val="Hyperlink"/>
          </w:rPr>
          <w:t xml:space="preserve">https://doi.org/hbsw6r</w:t>
        </w:r>
      </w:hyperlink>
      <w:r>
        <w:t xml:space="preserve"> </w:t>
      </w:r>
      <w:r>
        <w:t xml:space="preserve">DOI:</w:t>
      </w:r>
      <w:r>
        <w:t xml:space="preserve"> </w:t>
      </w:r>
      <w:hyperlink r:id="rId175">
        <w:r>
          <w:rPr>
            <w:rStyle w:val="Hyperlink"/>
          </w:rPr>
          <w:t xml:space="preserve">10.15585/mmwr.su7303a1</w:t>
        </w:r>
      </w:hyperlink>
      <w:r>
        <w:t xml:space="preserve"> </w:t>
      </w:r>
      <w:r>
        <w:t xml:space="preserve">· PMID:</w:t>
      </w:r>
      <w:r>
        <w:t xml:space="preserve"> </w:t>
      </w:r>
      <w:hyperlink r:id="rId176">
        <w:r>
          <w:rPr>
            <w:rStyle w:val="Hyperlink"/>
          </w:rPr>
          <w:t xml:space="preserve">38713639</w:t>
        </w:r>
      </w:hyperlink>
      <w:r>
        <w:t xml:space="preserve"> </w:t>
      </w:r>
      <w:r>
        <w:t xml:space="preserve">· PMCID:</w:t>
      </w:r>
      <w:r>
        <w:t xml:space="preserve"> </w:t>
      </w:r>
      <w:hyperlink r:id="rId177">
        <w:r>
          <w:rPr>
            <w:rStyle w:val="Hyperlink"/>
          </w:rPr>
          <w:t xml:space="preserve">PMC11078514</w:t>
        </w:r>
      </w:hyperlink>
    </w:p>
    <w:bookmarkEnd w:id="178"/>
    <w:bookmarkStart w:id="183" w:name="ref-doi:10.1038/nbt.3780"/>
    <w:p>
      <w:pPr>
        <w:pStyle w:val="Bibliography"/>
      </w:pPr>
      <w:r>
        <w:t xml:space="preserve">41.</w:t>
      </w:r>
      <w:r>
        <w:t xml:space="preserve"> </w:t>
      </w:r>
      <w:r>
        <w:t xml:space="preserve">	</w:t>
      </w:r>
      <w:r>
        <w:rPr>
          <w:b/>
          <w:bCs/>
        </w:rPr>
        <w:t xml:space="preserve">Reproducibility of computational workflows is automated using continuous analysis</w:t>
      </w:r>
      <w:r>
        <w:t xml:space="preserve"> </w:t>
      </w:r>
      <w:r>
        <w:t xml:space="preserve">Brett K Beaulieu-Jones, Casey S Greene</w:t>
      </w:r>
      <w:r>
        <w:t xml:space="preserve"> </w:t>
      </w:r>
      <w:r>
        <w:rPr>
          <w:i/>
          <w:iCs/>
        </w:rPr>
        <w:t xml:space="preserve">Nature Biotechnology</w:t>
      </w:r>
      <w:r>
        <w:t xml:space="preserve"> </w:t>
      </w:r>
      <w:r>
        <w:t xml:space="preserve">(2017-03-13)</w:t>
      </w:r>
      <w:r>
        <w:t xml:space="preserve"> </w:t>
      </w:r>
      <w:hyperlink r:id="rId179">
        <w:r>
          <w:rPr>
            <w:rStyle w:val="Hyperlink"/>
          </w:rPr>
          <w:t xml:space="preserve">https://doi.org/f9ttx6</w:t>
        </w:r>
      </w:hyperlink>
      <w:r>
        <w:t xml:space="preserve"> </w:t>
      </w:r>
      <w:r>
        <w:t xml:space="preserve">DOI:</w:t>
      </w:r>
      <w:r>
        <w:t xml:space="preserve"> </w:t>
      </w:r>
      <w:hyperlink r:id="rId180">
        <w:r>
          <w:rPr>
            <w:rStyle w:val="Hyperlink"/>
          </w:rPr>
          <w:t xml:space="preserve">10.1038/nbt.3780</w:t>
        </w:r>
      </w:hyperlink>
      <w:r>
        <w:t xml:space="preserve"> </w:t>
      </w:r>
      <w:r>
        <w:t xml:space="preserve">· PMID:</w:t>
      </w:r>
      <w:r>
        <w:t xml:space="preserve"> </w:t>
      </w:r>
      <w:hyperlink r:id="rId181">
        <w:r>
          <w:rPr>
            <w:rStyle w:val="Hyperlink"/>
          </w:rPr>
          <w:t xml:space="preserve">28288103</w:t>
        </w:r>
      </w:hyperlink>
      <w:r>
        <w:t xml:space="preserve"> </w:t>
      </w:r>
      <w:r>
        <w:t xml:space="preserve">· PMCID:</w:t>
      </w:r>
      <w:r>
        <w:t xml:space="preserve"> </w:t>
      </w:r>
      <w:hyperlink r:id="rId182">
        <w:r>
          <w:rPr>
            <w:rStyle w:val="Hyperlink"/>
          </w:rPr>
          <w:t xml:space="preserve">PMC6103790</w:t>
        </w:r>
      </w:hyperlink>
    </w:p>
    <w:bookmarkEnd w:id="183"/>
    <w:bookmarkStart w:id="188" w:name="ref-doi:10.1186/gb-2004-5-10-r80"/>
    <w:p>
      <w:pPr>
        <w:pStyle w:val="Bibliography"/>
      </w:pPr>
      <w:r>
        <w:t xml:space="preserve">42.</w:t>
      </w:r>
      <w:r>
        <w:t xml:space="preserve"> </w:t>
      </w:r>
      <w:r>
        <w:t xml:space="preserve">	</w:t>
      </w:r>
      <w:r>
        <w:rPr>
          <w:b/>
          <w:bCs/>
        </w:rPr>
        <w:t xml:space="preserve">Bioconductor: open software development for computational biology and bioinformatics</w:t>
      </w:r>
      <w:r>
        <w:t xml:space="preserve"> </w:t>
      </w:r>
      <w:r>
        <w:t xml:space="preserve">Robert C Gentleman, Vincent J Carey, Douglas M Bates, Ben Bolstad, Marcel Dettling, Sandrine Dudoit, Byron Ellis, Laurent Gautier, Yongchao Ge, Jeff Gentry, … Jianhua Zhang</w:t>
      </w:r>
      <w:r>
        <w:t xml:space="preserve"> </w:t>
      </w:r>
      <w:r>
        <w:rPr>
          <w:i/>
          <w:iCs/>
        </w:rPr>
        <w:t xml:space="preserve">Genome Biology</w:t>
      </w:r>
      <w:r>
        <w:t xml:space="preserve"> </w:t>
      </w:r>
      <w:r>
        <w:t xml:space="preserve">(2004-09-15)</w:t>
      </w:r>
      <w:r>
        <w:t xml:space="preserve"> </w:t>
      </w:r>
      <w:hyperlink r:id="rId184">
        <w:r>
          <w:rPr>
            <w:rStyle w:val="Hyperlink"/>
          </w:rPr>
          <w:t xml:space="preserve">https://doi.org/c2xm5v</w:t>
        </w:r>
      </w:hyperlink>
      <w:r>
        <w:t xml:space="preserve"> </w:t>
      </w:r>
      <w:r>
        <w:t xml:space="preserve">DOI:</w:t>
      </w:r>
      <w:r>
        <w:t xml:space="preserve"> </w:t>
      </w:r>
      <w:hyperlink r:id="rId185">
        <w:r>
          <w:rPr>
            <w:rStyle w:val="Hyperlink"/>
          </w:rPr>
          <w:t xml:space="preserve">10.1186/gb-2004-5-10-r80</w:t>
        </w:r>
      </w:hyperlink>
      <w:r>
        <w:t xml:space="preserve"> </w:t>
      </w:r>
      <w:r>
        <w:t xml:space="preserve">· PMID:</w:t>
      </w:r>
      <w:r>
        <w:t xml:space="preserve"> </w:t>
      </w:r>
      <w:hyperlink r:id="rId186">
        <w:r>
          <w:rPr>
            <w:rStyle w:val="Hyperlink"/>
          </w:rPr>
          <w:t xml:space="preserve">15461798</w:t>
        </w:r>
      </w:hyperlink>
      <w:r>
        <w:t xml:space="preserve"> </w:t>
      </w:r>
      <w:r>
        <w:t xml:space="preserve">· PMCID:</w:t>
      </w:r>
      <w:r>
        <w:t xml:space="preserve"> </w:t>
      </w:r>
      <w:hyperlink r:id="rId187">
        <w:r>
          <w:rPr>
            <w:rStyle w:val="Hyperlink"/>
          </w:rPr>
          <w:t xml:space="preserve">PMC545600</w:t>
        </w:r>
      </w:hyperlink>
    </w:p>
    <w:bookmarkEnd w:id="188"/>
    <w:bookmarkStart w:id="193" w:name="ref-doi:10.12688/f1000research.9206.1"/>
    <w:p>
      <w:pPr>
        <w:pStyle w:val="Bibliography"/>
      </w:pPr>
      <w:r>
        <w:t xml:space="preserve">43.</w:t>
      </w:r>
      <w:r>
        <w:t xml:space="preserve"> </w:t>
      </w:r>
      <w:r>
        <w:t xml:space="preserve">	</w:t>
      </w:r>
      <w:r>
        <w:rPr>
          <w:b/>
          <w:bCs/>
        </w:rPr>
        <w:t xml:space="preserve">Top 10 metrics for life science software good practices</w:t>
      </w:r>
      <w:r>
        <w:t xml:space="preserve"> </w:t>
      </w:r>
      <w:r>
        <w:t xml:space="preserve">Haydee Artaza, Neil Chue Hong, Manuel Corpas, Angel Corpuz, Rob WW Hooft, Rafael C Jiménez, Brane Leskošek, Brett G Olivier, Jan Stourac, Radka Svobodová Vařeková, … Daniel Vaughan</w:t>
      </w:r>
      <w:r>
        <w:t xml:space="preserve"> </w:t>
      </w:r>
      <w:r>
        <w:rPr>
          <w:i/>
          <w:iCs/>
        </w:rPr>
        <w:t xml:space="preserve">F1000Research</w:t>
      </w:r>
      <w:r>
        <w:t xml:space="preserve"> </w:t>
      </w:r>
      <w:r>
        <w:t xml:space="preserve">(2016-08-16)</w:t>
      </w:r>
      <w:r>
        <w:t xml:space="preserve"> </w:t>
      </w:r>
      <w:hyperlink r:id="rId189">
        <w:r>
          <w:rPr>
            <w:rStyle w:val="Hyperlink"/>
          </w:rPr>
          <w:t xml:space="preserve">https://doi.org/gfvpq7</w:t>
        </w:r>
      </w:hyperlink>
      <w:r>
        <w:t xml:space="preserve"> </w:t>
      </w:r>
      <w:r>
        <w:t xml:space="preserve">DOI:</w:t>
      </w:r>
      <w:r>
        <w:t xml:space="preserve"> </w:t>
      </w:r>
      <w:hyperlink r:id="rId190">
        <w:r>
          <w:rPr>
            <w:rStyle w:val="Hyperlink"/>
          </w:rPr>
          <w:t xml:space="preserve">10.12688/f1000research.9206.1</w:t>
        </w:r>
      </w:hyperlink>
      <w:r>
        <w:t xml:space="preserve"> </w:t>
      </w:r>
      <w:r>
        <w:t xml:space="preserve">· PMID:</w:t>
      </w:r>
      <w:r>
        <w:t xml:space="preserve"> </w:t>
      </w:r>
      <w:hyperlink r:id="rId191">
        <w:r>
          <w:rPr>
            <w:rStyle w:val="Hyperlink"/>
          </w:rPr>
          <w:t xml:space="preserve">27635232</w:t>
        </w:r>
      </w:hyperlink>
      <w:r>
        <w:t xml:space="preserve"> </w:t>
      </w:r>
      <w:r>
        <w:t xml:space="preserve">· PMCID:</w:t>
      </w:r>
      <w:r>
        <w:t xml:space="preserve"> </w:t>
      </w:r>
      <w:hyperlink r:id="rId192">
        <w:r>
          <w:rPr>
            <w:rStyle w:val="Hyperlink"/>
          </w:rPr>
          <w:t xml:space="preserve">PMC5007752</w:t>
        </w:r>
      </w:hyperlink>
    </w:p>
    <w:bookmarkEnd w:id="193"/>
    <w:bookmarkStart w:id="195" w:name="X2b10f9b9a4270be0d96aba4cc529b1548cdbabe"/>
    <w:p>
      <w:pPr>
        <w:pStyle w:val="Bibliography"/>
      </w:pPr>
      <w:r>
        <w:t xml:space="preserve">44.</w:t>
      </w:r>
      <w:r>
        <w:t xml:space="preserve"> </w:t>
      </w:r>
      <w:r>
        <w:t xml:space="preserve">	</w:t>
      </w:r>
      <w:r>
        <w:rPr>
          <w:b/>
          <w:bCs/>
        </w:rPr>
        <w:t xml:space="preserve">Indicators</w:t>
      </w:r>
      <w:r>
        <w:t xml:space="preserve"> </w:t>
      </w:r>
      <w:r>
        <w:t xml:space="preserve">FAIRplus Data Maturity</w:t>
      </w:r>
      <w:r>
        <w:t xml:space="preserve"> </w:t>
      </w:r>
      <w:hyperlink r:id="rId194">
        <w:r>
          <w:rPr>
            <w:rStyle w:val="Hyperlink"/>
          </w:rPr>
          <w:t xml:space="preserve">https://fairplus.github.io/Data-Maturity/docs/Indicators/</w:t>
        </w:r>
      </w:hyperlink>
    </w:p>
    <w:bookmarkEnd w:id="195"/>
    <w:bookmarkStart w:id="197" w:name="X7ad42e4ba87689c7356ff47da0c3a62acb6be13"/>
    <w:p>
      <w:pPr>
        <w:pStyle w:val="Bibliography"/>
      </w:pPr>
      <w:r>
        <w:t xml:space="preserve">45.</w:t>
      </w:r>
      <w:r>
        <w:t xml:space="preserve"> </w:t>
      </w:r>
      <w:r>
        <w:t xml:space="preserve">	</w:t>
      </w:r>
      <w:r>
        <w:rPr>
          <w:b/>
          <w:bCs/>
        </w:rPr>
        <w:t xml:space="preserve">The Cost-Forecasting Framework: Identifying Cost Drivers in the Biomedical Data Life Cycle</w:t>
      </w:r>
      <w:r>
        <w:t xml:space="preserve"> </w:t>
      </w:r>
      <w:r>
        <w:t xml:space="preserve">Engineering National Academies of Sciences, Policy and Global Affairs, Division on Earth and Life Studies, Division on Engineering and Physical Sciences, Board on Research Data and Information, Board on Life Sciences, Computer Science and Telecommunications Board, Committee on Applied and Theoretical Statistics, Board on Mathematical Sciences and Analytics, Committee on Forecasting Costs for Preserving and Promoting Access to Biomedical Data</w:t>
      </w:r>
      <w:r>
        <w:t xml:space="preserve"> </w:t>
      </w:r>
      <w:r>
        <w:rPr>
          <w:i/>
          <w:iCs/>
        </w:rPr>
        <w:t xml:space="preserve">Life-Cycle Decisions for Biomedical Data: The Challenge of Forecasting Costs</w:t>
      </w:r>
      <w:r>
        <w:t xml:space="preserve"> </w:t>
      </w:r>
      <w:r>
        <w:t xml:space="preserve">(2020-06-08)</w:t>
      </w:r>
      <w:r>
        <w:t xml:space="preserve"> </w:t>
      </w:r>
      <w:hyperlink r:id="rId196">
        <w:r>
          <w:rPr>
            <w:rStyle w:val="Hyperlink"/>
          </w:rPr>
          <w:t xml:space="preserve">https://www.ncbi.nlm.nih.gov/books/NBK562708/</w:t>
        </w:r>
      </w:hyperlink>
    </w:p>
    <w:bookmarkEnd w:id="197"/>
    <w:bookmarkStart w:id="202" w:name="ref-doi:10.1093/jamia/ocab278"/>
    <w:p>
      <w:pPr>
        <w:pStyle w:val="Bibliography"/>
      </w:pPr>
      <w:r>
        <w:t xml:space="preserve">46.</w:t>
      </w:r>
      <w:r>
        <w:t xml:space="preserve"> </w:t>
      </w:r>
      <w:r>
        <w:t xml:space="preserve">	</w:t>
      </w:r>
      <w:r>
        <w:rPr>
          <w:b/>
          <w:bCs/>
        </w:rPr>
        <w:t xml:space="preserve">Migrating a research data warehouse to a public cloud: challenges and opportunities</w:t>
      </w:r>
      <w:r>
        <w:t xml:space="preserve"> </w:t>
      </w:r>
      <w:r>
        <w:t xml:space="preserve">Michael G Kahn, Joyce Y Mui, Michael J Ames, Anoop K Yamsani, Nikita Pozdeyev, Nicholas Rafaels, Ian M Brooks</w:t>
      </w:r>
      <w:r>
        <w:t xml:space="preserve"> </w:t>
      </w:r>
      <w:r>
        <w:rPr>
          <w:i/>
          <w:iCs/>
        </w:rPr>
        <w:t xml:space="preserve">Journal of the American Medical Informatics Association</w:t>
      </w:r>
      <w:r>
        <w:t xml:space="preserve"> </w:t>
      </w:r>
      <w:r>
        <w:t xml:space="preserve">(2021-12-17)</w:t>
      </w:r>
      <w:r>
        <w:t xml:space="preserve"> </w:t>
      </w:r>
      <w:hyperlink r:id="rId198">
        <w:r>
          <w:rPr>
            <w:rStyle w:val="Hyperlink"/>
          </w:rPr>
          <w:t xml:space="preserve">https://doi.org/hbs2bg</w:t>
        </w:r>
      </w:hyperlink>
      <w:r>
        <w:t xml:space="preserve"> </w:t>
      </w:r>
      <w:r>
        <w:t xml:space="preserve">DOI:</w:t>
      </w:r>
      <w:r>
        <w:t xml:space="preserve"> </w:t>
      </w:r>
      <w:hyperlink r:id="rId199">
        <w:r>
          <w:rPr>
            <w:rStyle w:val="Hyperlink"/>
          </w:rPr>
          <w:t xml:space="preserve">10.1093/jamia/ocab278</w:t>
        </w:r>
      </w:hyperlink>
      <w:r>
        <w:t xml:space="preserve"> </w:t>
      </w:r>
      <w:r>
        <w:t xml:space="preserve">· PMID:</w:t>
      </w:r>
      <w:r>
        <w:t xml:space="preserve"> </w:t>
      </w:r>
      <w:hyperlink r:id="rId200">
        <w:r>
          <w:rPr>
            <w:rStyle w:val="Hyperlink"/>
          </w:rPr>
          <w:t xml:space="preserve">34919694</w:t>
        </w:r>
      </w:hyperlink>
      <w:r>
        <w:t xml:space="preserve"> </w:t>
      </w:r>
      <w:r>
        <w:t xml:space="preserve">· PMCID:</w:t>
      </w:r>
      <w:r>
        <w:t xml:space="preserve"> </w:t>
      </w:r>
      <w:hyperlink r:id="rId201">
        <w:r>
          <w:rPr>
            <w:rStyle w:val="Hyperlink"/>
          </w:rPr>
          <w:t xml:space="preserve">PMC8922165</w:t>
        </w:r>
      </w:hyperlink>
    </w:p>
    <w:bookmarkEnd w:id="202"/>
    <w:bookmarkStart w:id="204" w:name="ref-url:https://orcid.org"/>
    <w:p>
      <w:pPr>
        <w:pStyle w:val="Bibliography"/>
      </w:pPr>
      <w:r>
        <w:t xml:space="preserve">47.</w:t>
      </w:r>
      <w:r>
        <w:t xml:space="preserve"> </w:t>
      </w:r>
      <w:r>
        <w:t xml:space="preserve">	</w:t>
      </w:r>
      <w:r>
        <w:rPr>
          <w:b/>
          <w:bCs/>
        </w:rPr>
        <w:t xml:space="preserve">ORCID</w:t>
      </w:r>
      <w:r>
        <w:t xml:space="preserve"> </w:t>
      </w:r>
      <w:hyperlink r:id="rId203">
        <w:r>
          <w:rPr>
            <w:rStyle w:val="Hyperlink"/>
          </w:rPr>
          <w:t xml:space="preserve">https://orcid.org/</w:t>
        </w:r>
      </w:hyperlink>
    </w:p>
    <w:bookmarkEnd w:id="204"/>
    <w:bookmarkStart w:id="207" w:name="ref-doi:10.48550/arXiv.2509.12709"/>
    <w:p>
      <w:pPr>
        <w:pStyle w:val="Bibliography"/>
      </w:pPr>
      <w:r>
        <w:t xml:space="preserve">48.</w:t>
      </w:r>
      <w:r>
        <w:t xml:space="preserve"> </w:t>
      </w:r>
      <w:r>
        <w:t xml:space="preserve">	</w:t>
      </w:r>
      <w:r>
        <w:rPr>
          <w:b/>
          <w:bCs/>
        </w:rPr>
        <w:t xml:space="preserve">Harnessing the Power of AI in Qualitative Research: Role Assignment, Engagement, and User Perceptions of AI-Generated Follow-Up Questions in Semi-Structured Interviews</w:t>
      </w:r>
      <w:r>
        <w:t xml:space="preserve"> </w:t>
      </w:r>
      <w:r>
        <w:t xml:space="preserve">He Zhang, Yueyan Liu, Xin Guan, Jie Cai, John M Carroll</w:t>
      </w:r>
      <w:r>
        <w:t xml:space="preserve"> </w:t>
      </w:r>
      <w:r>
        <w:rPr>
          <w:i/>
          <w:iCs/>
        </w:rPr>
        <w:t xml:space="preserve">arXiv</w:t>
      </w:r>
      <w:r>
        <w:t xml:space="preserve"> </w:t>
      </w:r>
      <w:r>
        <w:t xml:space="preserve">(2025)</w:t>
      </w:r>
      <w:r>
        <w:t xml:space="preserve"> </w:t>
      </w:r>
      <w:hyperlink r:id="rId205">
        <w:r>
          <w:rPr>
            <w:rStyle w:val="Hyperlink"/>
          </w:rPr>
          <w:t xml:space="preserve">https://doi.org/hbs2fv</w:t>
        </w:r>
      </w:hyperlink>
      <w:r>
        <w:t xml:space="preserve"> </w:t>
      </w:r>
      <w:r>
        <w:t xml:space="preserve">DOI:</w:t>
      </w:r>
      <w:r>
        <w:t xml:space="preserve"> </w:t>
      </w:r>
      <w:hyperlink r:id="rId206">
        <w:r>
          <w:rPr>
            <w:rStyle w:val="Hyperlink"/>
          </w:rPr>
          <w:t xml:space="preserve">10.48550/arxiv.2509.12709</w:t>
        </w:r>
      </w:hyperlink>
    </w:p>
    <w:bookmarkEnd w:id="207"/>
    <w:bookmarkStart w:id="209" w:name="Xc1554ee4988a5c64dd2a8bc05a8ce444d54a496"/>
    <w:p>
      <w:pPr>
        <w:pStyle w:val="Bibliography"/>
      </w:pPr>
      <w:r>
        <w:t xml:space="preserve">49.</w:t>
      </w:r>
      <w:r>
        <w:t xml:space="preserve"> </w:t>
      </w:r>
      <w:r>
        <w:t xml:space="preserve">	</w:t>
      </w:r>
      <w:r>
        <w:rPr>
          <w:b/>
          <w:bCs/>
        </w:rPr>
        <w:t xml:space="preserve">Common Fund Data Ecosystem (CFDE) | NIH Common Fund</w:t>
      </w:r>
      <w:r>
        <w:t xml:space="preserve"> </w:t>
      </w:r>
      <w:hyperlink r:id="rId208">
        <w:r>
          <w:rPr>
            <w:rStyle w:val="Hyperlink"/>
          </w:rPr>
          <w:t xml:space="preserve">https://commonfund.nih.gov/dataecosystem</w:t>
        </w:r>
      </w:hyperlink>
    </w:p>
    <w:bookmarkEnd w:id="209"/>
    <w:bookmarkStart w:id="214" w:name="ref-doi:10.1007/s10488-013-0528-y"/>
    <w:p>
      <w:pPr>
        <w:pStyle w:val="Bibliography"/>
      </w:pPr>
      <w:r>
        <w:t xml:space="preserve">50.</w:t>
      </w:r>
      <w:r>
        <w:t xml:space="preserve"> </w:t>
      </w:r>
      <w:r>
        <w:t xml:space="preserve">	</w:t>
      </w:r>
      <w:r>
        <w:rPr>
          <w:b/>
          <w:bCs/>
        </w:rPr>
        <w:t xml:space="preserve">Purposeful Sampling for Qualitative Data Collection and Analysis in Mixed Method Implementation Research</w:t>
      </w:r>
      <w:r>
        <w:t xml:space="preserve"> </w:t>
      </w:r>
      <w:r>
        <w:t xml:space="preserve">Lawrence A Palinkas, Sarah M Horwitz, Carla A Green, Jennifer P Wisdom, Naihua Duan, Kimberly Hoagwood</w:t>
      </w:r>
      <w:r>
        <w:t xml:space="preserve"> </w:t>
      </w:r>
      <w:r>
        <w:rPr>
          <w:i/>
          <w:iCs/>
        </w:rPr>
        <w:t xml:space="preserve">Administration and Policy in Mental Health and Mental Health Services Research</w:t>
      </w:r>
      <w:r>
        <w:t xml:space="preserve"> </w:t>
      </w:r>
      <w:r>
        <w:t xml:space="preserve">(2013-11-06)</w:t>
      </w:r>
      <w:r>
        <w:t xml:space="preserve"> </w:t>
      </w:r>
      <w:hyperlink r:id="rId210">
        <w:r>
          <w:rPr>
            <w:rStyle w:val="Hyperlink"/>
          </w:rPr>
          <w:t xml:space="preserve">https://doi.org/f7nxzd</w:t>
        </w:r>
      </w:hyperlink>
      <w:r>
        <w:t xml:space="preserve"> </w:t>
      </w:r>
      <w:r>
        <w:t xml:space="preserve">DOI:</w:t>
      </w:r>
      <w:r>
        <w:t xml:space="preserve"> </w:t>
      </w:r>
      <w:hyperlink r:id="rId211">
        <w:r>
          <w:rPr>
            <w:rStyle w:val="Hyperlink"/>
          </w:rPr>
          <w:t xml:space="preserve">10.1007/s10488-013-0528-y</w:t>
        </w:r>
      </w:hyperlink>
      <w:r>
        <w:t xml:space="preserve"> </w:t>
      </w:r>
      <w:r>
        <w:t xml:space="preserve">· PMID:</w:t>
      </w:r>
      <w:r>
        <w:t xml:space="preserve"> </w:t>
      </w:r>
      <w:hyperlink r:id="rId212">
        <w:r>
          <w:rPr>
            <w:rStyle w:val="Hyperlink"/>
          </w:rPr>
          <w:t xml:space="preserve">24193818</w:t>
        </w:r>
      </w:hyperlink>
      <w:r>
        <w:t xml:space="preserve"> </w:t>
      </w:r>
      <w:r>
        <w:t xml:space="preserve">· PMCID:</w:t>
      </w:r>
      <w:r>
        <w:t xml:space="preserve"> </w:t>
      </w:r>
      <w:hyperlink r:id="rId213">
        <w:r>
          <w:rPr>
            <w:rStyle w:val="Hyperlink"/>
          </w:rPr>
          <w:t xml:space="preserve">PMC4012002</w:t>
        </w:r>
      </w:hyperlink>
    </w:p>
    <w:bookmarkEnd w:id="214"/>
    <w:bookmarkStart w:id="219" w:name="ref-doi:10.1002/jgf2.736"/>
    <w:p>
      <w:pPr>
        <w:pStyle w:val="Bibliography"/>
      </w:pPr>
      <w:r>
        <w:t xml:space="preserve">51.</w:t>
      </w:r>
      <w:r>
        <w:t xml:space="preserve"> </w:t>
      </w:r>
      <w:r>
        <w:t xml:space="preserve">	</w:t>
      </w:r>
      <w:r>
        <w:rPr>
          <w:b/>
          <w:bCs/>
        </w:rPr>
        <w:t xml:space="preserve">A process for conducting mixed methods data analysis</w:t>
      </w:r>
      <w:r>
        <w:t xml:space="preserve"> </w:t>
      </w:r>
      <w:r>
        <w:t xml:space="preserve">John W Creswell, Machiko Inoue</w:t>
      </w:r>
      <w:r>
        <w:t xml:space="preserve"> </w:t>
      </w:r>
      <w:r>
        <w:rPr>
          <w:i/>
          <w:iCs/>
        </w:rPr>
        <w:t xml:space="preserve">Journal of General and Family Medicine</w:t>
      </w:r>
      <w:r>
        <w:t xml:space="preserve"> </w:t>
      </w:r>
      <w:r>
        <w:t xml:space="preserve">(2024-10-03)</w:t>
      </w:r>
      <w:r>
        <w:t xml:space="preserve"> </w:t>
      </w:r>
      <w:hyperlink r:id="rId215">
        <w:r>
          <w:rPr>
            <w:rStyle w:val="Hyperlink"/>
          </w:rPr>
          <w:t xml:space="preserve">https://doi.org/hbs2bf</w:t>
        </w:r>
      </w:hyperlink>
      <w:r>
        <w:t xml:space="preserve"> </w:t>
      </w:r>
      <w:r>
        <w:t xml:space="preserve">DOI:</w:t>
      </w:r>
      <w:r>
        <w:t xml:space="preserve"> </w:t>
      </w:r>
      <w:hyperlink r:id="rId216">
        <w:r>
          <w:rPr>
            <w:rStyle w:val="Hyperlink"/>
          </w:rPr>
          <w:t xml:space="preserve">10.1002/jgf2.736</w:t>
        </w:r>
      </w:hyperlink>
      <w:r>
        <w:t xml:space="preserve"> </w:t>
      </w:r>
      <w:r>
        <w:t xml:space="preserve">· PMID:</w:t>
      </w:r>
      <w:r>
        <w:t xml:space="preserve"> </w:t>
      </w:r>
      <w:hyperlink r:id="rId217">
        <w:r>
          <w:rPr>
            <w:rStyle w:val="Hyperlink"/>
          </w:rPr>
          <w:t xml:space="preserve">39776872</w:t>
        </w:r>
      </w:hyperlink>
      <w:r>
        <w:t xml:space="preserve"> </w:t>
      </w:r>
      <w:r>
        <w:t xml:space="preserve">· PMCID:</w:t>
      </w:r>
      <w:r>
        <w:t xml:space="preserve"> </w:t>
      </w:r>
      <w:hyperlink r:id="rId218">
        <w:r>
          <w:rPr>
            <w:rStyle w:val="Hyperlink"/>
          </w:rPr>
          <w:t xml:space="preserve">PMC11702478</w:t>
        </w:r>
      </w:hyperlink>
    </w:p>
    <w:bookmarkEnd w:id="219"/>
    <w:bookmarkStart w:id="221" w:name="X76ee81cf61288aec0f48b9d17d5a06038eee18d"/>
    <w:p>
      <w:pPr>
        <w:pStyle w:val="Bibliography"/>
      </w:pPr>
      <w:r>
        <w:t xml:space="preserve">52.</w:t>
      </w:r>
      <w:r>
        <w:t xml:space="preserve"> </w:t>
      </w:r>
      <w:r>
        <w:t xml:space="preserve">	</w:t>
      </w:r>
      <w:hyperlink r:id="rId220">
        <w:r>
          <w:rPr>
            <w:rStyle w:val="Hyperlink"/>
          </w:rPr>
          <w:t xml:space="preserve">https://www.wkkf.org/resource-directory/resources/2004/01/logic-model-development-guide</w:t>
        </w:r>
      </w:hyperlink>
    </w:p>
    <w:bookmarkEnd w:id="221"/>
    <w:bookmarkStart w:id="224" w:name="ref-pmid:30861395"/>
    <w:p>
      <w:pPr>
        <w:pStyle w:val="Bibliography"/>
      </w:pPr>
      <w:r>
        <w:t xml:space="preserve">53.</w:t>
      </w:r>
      <w:r>
        <w:t xml:space="preserve"> </w:t>
      </w:r>
      <w:r>
        <w:t xml:space="preserve">	</w:t>
      </w:r>
      <w:r>
        <w:rPr>
          <w:b/>
          <w:bCs/>
        </w:rPr>
        <w:t xml:space="preserve">Using logic model and visualization to conduct portfolio evaluation.</w:t>
      </w:r>
      <w:r>
        <w:t xml:space="preserve"> </w:t>
      </w:r>
      <w:r>
        <w:t xml:space="preserve">Huang Wu, Jianping Shen, Jeffrey Jones, Xingyuan Gao, Yunzheng Zheng, Huilan Y Krenn</w:t>
      </w:r>
      <w:r>
        <w:t xml:space="preserve"> </w:t>
      </w:r>
      <w:r>
        <w:rPr>
          <w:i/>
          <w:iCs/>
        </w:rPr>
        <w:t xml:space="preserve">Evaluation and program planning</w:t>
      </w:r>
      <w:r>
        <w:t xml:space="preserve"> </w:t>
      </w:r>
      <w:r>
        <w:t xml:space="preserve">(2019-02-26)</w:t>
      </w:r>
      <w:r>
        <w:t xml:space="preserve"> </w:t>
      </w:r>
      <w:hyperlink r:id="rId222">
        <w:r>
          <w:rPr>
            <w:rStyle w:val="Hyperlink"/>
          </w:rPr>
          <w:t xml:space="preserve">https://www.ncbi.nlm.nih.gov/pubmed/30861395</w:t>
        </w:r>
      </w:hyperlink>
      <w:r>
        <w:t xml:space="preserve"> </w:t>
      </w:r>
      <w:r>
        <w:t xml:space="preserve">DOI:</w:t>
      </w:r>
      <w:r>
        <w:t xml:space="preserve"> </w:t>
      </w:r>
      <w:hyperlink r:id="rId223">
        <w:r>
          <w:rPr>
            <w:rStyle w:val="Hyperlink"/>
          </w:rPr>
          <w:t xml:space="preserve">10.1016/j.evalprogplan.2019.02.011</w:t>
        </w:r>
      </w:hyperlink>
      <w:r>
        <w:t xml:space="preserve"> </w:t>
      </w:r>
      <w:r>
        <w:t xml:space="preserve">· PMID:</w:t>
      </w:r>
      <w:r>
        <w:t xml:space="preserve"> </w:t>
      </w:r>
      <w:hyperlink r:id="rId222">
        <w:r>
          <w:rPr>
            <w:rStyle w:val="Hyperlink"/>
          </w:rPr>
          <w:t xml:space="preserve">30861395</w:t>
        </w:r>
      </w:hyperlink>
    </w:p>
    <w:bookmarkEnd w:id="224"/>
    <w:bookmarkStart w:id="229" w:name="ref-doi:10.1016/j.socscimed.2017.03.041"/>
    <w:p>
      <w:pPr>
        <w:pStyle w:val="Bibliography"/>
      </w:pPr>
      <w:r>
        <w:t xml:space="preserve">54.</w:t>
      </w:r>
      <w:r>
        <w:t xml:space="preserve"> </w:t>
      </w:r>
      <w:r>
        <w:t xml:space="preserve">	</w:t>
      </w:r>
      <w:r>
        <w:rPr>
          <w:b/>
          <w:bCs/>
        </w:rPr>
        <w:t xml:space="preserve">Changing health care provider performance through measurement</w:t>
      </w:r>
      <w:r>
        <w:t xml:space="preserve"> </w:t>
      </w:r>
      <w:r>
        <w:t xml:space="preserve">Kenneth L Leonard, Melkiory C Masatu</w:t>
      </w:r>
      <w:r>
        <w:t xml:space="preserve"> </w:t>
      </w:r>
      <w:r>
        <w:rPr>
          <w:i/>
          <w:iCs/>
        </w:rPr>
        <w:t xml:space="preserve">Social Science &amp;amp; Medicine</w:t>
      </w:r>
      <w:r>
        <w:t xml:space="preserve"> </w:t>
      </w:r>
      <w:r>
        <w:t xml:space="preserve">(2017-05)</w:t>
      </w:r>
      <w:r>
        <w:t xml:space="preserve"> </w:t>
      </w:r>
      <w:hyperlink r:id="rId225">
        <w:r>
          <w:rPr>
            <w:rStyle w:val="Hyperlink"/>
          </w:rPr>
          <w:t xml:space="preserve">https://doi.org/f98fz3</w:t>
        </w:r>
      </w:hyperlink>
      <w:r>
        <w:t xml:space="preserve"> </w:t>
      </w:r>
      <w:r>
        <w:t xml:space="preserve">DOI:</w:t>
      </w:r>
      <w:r>
        <w:t xml:space="preserve"> </w:t>
      </w:r>
      <w:hyperlink r:id="rId226">
        <w:r>
          <w:rPr>
            <w:rStyle w:val="Hyperlink"/>
          </w:rPr>
          <w:t xml:space="preserve">10.1016/j.socscimed.2017.03.041</w:t>
        </w:r>
      </w:hyperlink>
      <w:r>
        <w:t xml:space="preserve"> </w:t>
      </w:r>
      <w:r>
        <w:t xml:space="preserve">· PMID:</w:t>
      </w:r>
      <w:r>
        <w:t xml:space="preserve"> </w:t>
      </w:r>
      <w:hyperlink r:id="rId227">
        <w:r>
          <w:rPr>
            <w:rStyle w:val="Hyperlink"/>
          </w:rPr>
          <w:t xml:space="preserve">28371629</w:t>
        </w:r>
      </w:hyperlink>
      <w:r>
        <w:t xml:space="preserve"> </w:t>
      </w:r>
      <w:r>
        <w:t xml:space="preserve">· PMCID:</w:t>
      </w:r>
      <w:r>
        <w:t xml:space="preserve"> </w:t>
      </w:r>
      <w:hyperlink r:id="rId228">
        <w:r>
          <w:rPr>
            <w:rStyle w:val="Hyperlink"/>
          </w:rPr>
          <w:t xml:space="preserve">PMC5616207</w:t>
        </w:r>
      </w:hyperlink>
    </w:p>
    <w:bookmarkEnd w:id="229"/>
    <w:bookmarkStart w:id="231" w:name="X95f22a201431050b3e5367321fb4ecc35cbc91c"/>
    <w:p>
      <w:pPr>
        <w:pStyle w:val="Bibliography"/>
      </w:pPr>
      <w:r>
        <w:t xml:space="preserve">55.</w:t>
      </w:r>
      <w:r>
        <w:t xml:space="preserve"> </w:t>
      </w:r>
      <w:r>
        <w:t xml:space="preserve">	</w:t>
      </w:r>
      <w:r>
        <w:rPr>
          <w:b/>
          <w:bCs/>
        </w:rPr>
        <w:t xml:space="preserve">NOT-OD-21-013: Final NIH Policy for Data Management and Sharing</w:t>
      </w:r>
      <w:r>
        <w:t xml:space="preserve"> </w:t>
      </w:r>
      <w:hyperlink r:id="rId230">
        <w:r>
          <w:rPr>
            <w:rStyle w:val="Hyperlink"/>
          </w:rPr>
          <w:t xml:space="preserve">https://grants.nih.gov/grants/guide/notice-files/NOT-OD-21-013.html</w:t>
        </w:r>
      </w:hyperlink>
    </w:p>
    <w:bookmarkEnd w:id="231"/>
    <w:bookmarkStart w:id="233" w:name="X999055200295ead81fddf881b6ef724ff612aa1"/>
    <w:p>
      <w:pPr>
        <w:pStyle w:val="Bibliography"/>
      </w:pPr>
      <w:r>
        <w:t xml:space="preserve">56.</w:t>
      </w:r>
      <w:r>
        <w:t xml:space="preserve"> </w:t>
      </w:r>
      <w:r>
        <w:t xml:space="preserve">	</w:t>
      </w:r>
      <w:r>
        <w:rPr>
          <w:b/>
          <w:bCs/>
        </w:rPr>
        <w:t xml:space="preserve">Strategic Road Map</w:t>
      </w:r>
      <w:r>
        <w:t xml:space="preserve"> </w:t>
      </w:r>
      <w:hyperlink r:id="rId232">
        <w:r>
          <w:rPr>
            <w:rStyle w:val="Hyperlink"/>
          </w:rPr>
          <w:t xml:space="preserve">https://www.ga4gh.org/about-us/strategic-road-map/</w:t>
        </w:r>
      </w:hyperlink>
    </w:p>
    <w:bookmarkEnd w:id="233"/>
    <w:bookmarkEnd w:id="234"/>
    <w:bookmarkEnd w:id="2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6" Target="media/rId26.png" /><Relationship Type="http://schemas.openxmlformats.org/officeDocument/2006/relationships/image" Id="rId15" Target="media/rId15.png" /><Relationship Type="http://schemas.openxmlformats.org/officeDocument/2006/relationships/hyperlink" Id="rId138" Target="https://clarivate.com/" TargetMode="External" /><Relationship Type="http://schemas.openxmlformats.org/officeDocument/2006/relationships/hyperlink" Id="rId208" Target="https://commonfund.nih.gov/dataecosystem" TargetMode="External" /><Relationship Type="http://schemas.openxmlformats.org/officeDocument/2006/relationships/hyperlink" Id="rId216" Target="https://doi.org/10.1002/jgf2.736" TargetMode="External" /><Relationship Type="http://schemas.openxmlformats.org/officeDocument/2006/relationships/hyperlink" Id="rId211" Target="https://doi.org/10.1007/s10488-013-0528-y" TargetMode="External" /><Relationship Type="http://schemas.openxmlformats.org/officeDocument/2006/relationships/hyperlink" Id="rId223" Target="https://doi.org/10.1016/j.evalprogplan.2019.02.011" TargetMode="External" /><Relationship Type="http://schemas.openxmlformats.org/officeDocument/2006/relationships/hyperlink" Id="rId226" Target="https://doi.org/10.1016/j.socscimed.2017.03.041" TargetMode="External" /><Relationship Type="http://schemas.openxmlformats.org/officeDocument/2006/relationships/hyperlink" Id="rId67" Target="https://doi.org/10.1016/j.xgen.2021.100085" TargetMode="External" /><Relationship Type="http://schemas.openxmlformats.org/officeDocument/2006/relationships/hyperlink" Id="rId148" Target="https://doi.org/10.1038/520429a" TargetMode="External" /><Relationship Type="http://schemas.openxmlformats.org/officeDocument/2006/relationships/hyperlink" Id="rId82" Target="https://doi.org/10.1038/nature11209" TargetMode="External" /><Relationship Type="http://schemas.openxmlformats.org/officeDocument/2006/relationships/hyperlink" Id="rId77" Target="https://doi.org/10.1038/nature11234" TargetMode="External" /><Relationship Type="http://schemas.openxmlformats.org/officeDocument/2006/relationships/hyperlink" Id="rId180" Target="https://doi.org/10.1038/nbt.3780" TargetMode="External" /><Relationship Type="http://schemas.openxmlformats.org/officeDocument/2006/relationships/hyperlink" Id="rId72" Target="https://doi.org/10.1038/ng.2653" TargetMode="External" /><Relationship Type="http://schemas.openxmlformats.org/officeDocument/2006/relationships/hyperlink" Id="rId47" Target="https://doi.org/10.1038/ng.2764" TargetMode="External" /><Relationship Type="http://schemas.openxmlformats.org/officeDocument/2006/relationships/hyperlink" Id="rId87" Target="https://doi.org/10.1038/s41586-019-1629-x" TargetMode="External" /><Relationship Type="http://schemas.openxmlformats.org/officeDocument/2006/relationships/hyperlink" Id="rId51" Target="https://doi.org/10.1038/s41586-021-03205-y" TargetMode="External" /><Relationship Type="http://schemas.openxmlformats.org/officeDocument/2006/relationships/hyperlink" Id="rId115" Target="https://doi.org/10.1038/sdata.2016.18" TargetMode="External" /><Relationship Type="http://schemas.openxmlformats.org/officeDocument/2006/relationships/hyperlink" Id="rId120" Target="https://doi.org/10.1038/sdata.2018.118" TargetMode="External" /><Relationship Type="http://schemas.openxmlformats.org/officeDocument/2006/relationships/hyperlink" Id="rId56" Target="https://doi.org/10.1056/nejmsr1809937" TargetMode="External" /><Relationship Type="http://schemas.openxmlformats.org/officeDocument/2006/relationships/hyperlink" Id="rId101" Target="https://doi.org/10.1093/gigascience/giac105" TargetMode="External" /><Relationship Type="http://schemas.openxmlformats.org/officeDocument/2006/relationships/hyperlink" Id="rId91" Target="https://doi.org/10.1093/glycob/cwz080" TargetMode="External" /><Relationship Type="http://schemas.openxmlformats.org/officeDocument/2006/relationships/hyperlink" Id="rId199" Target="https://doi.org/10.1093/jamia/ocab278" TargetMode="External" /><Relationship Type="http://schemas.openxmlformats.org/officeDocument/2006/relationships/hyperlink" Id="rId156" Target="https://doi.org/10.1101/2023.09.12.557386" TargetMode="External" /><Relationship Type="http://schemas.openxmlformats.org/officeDocument/2006/relationships/hyperlink" Id="rId96" Target="https://doi.org/10.1101/2024.03.11.584478" TargetMode="External" /><Relationship Type="http://schemas.openxmlformats.org/officeDocument/2006/relationships/hyperlink" Id="rId60" Target="https://doi.org/10.1158/0008-5472.can-17-0387" TargetMode="External" /><Relationship Type="http://schemas.openxmlformats.org/officeDocument/2006/relationships/hyperlink" Id="rId185" Target="https://doi.org/10.1186/gb-2004-5-10-r80" TargetMode="External" /><Relationship Type="http://schemas.openxmlformats.org/officeDocument/2006/relationships/hyperlink" Id="rId190" Target="https://doi.org/10.12688/f1000research.9206.1" TargetMode="External" /><Relationship Type="http://schemas.openxmlformats.org/officeDocument/2006/relationships/hyperlink" Id="rId170" Target="https://doi.org/10.1371/journal.pone.0229003" TargetMode="External" /><Relationship Type="http://schemas.openxmlformats.org/officeDocument/2006/relationships/hyperlink" Id="rId143" Target="https://doi.org/10.1371/journal.pone.0311493" TargetMode="External" /><Relationship Type="http://schemas.openxmlformats.org/officeDocument/2006/relationships/hyperlink" Id="rId166" Target="https://doi.org/10.15265/iy-2014-0020" TargetMode="External" /><Relationship Type="http://schemas.openxmlformats.org/officeDocument/2006/relationships/hyperlink" Id="rId175" Target="https://doi.org/10.15585/mmwr.su7303a1" TargetMode="External" /><Relationship Type="http://schemas.openxmlformats.org/officeDocument/2006/relationships/hyperlink" Id="rId161" Target="https://doi.org/10.2196/63544" TargetMode="External" /><Relationship Type="http://schemas.openxmlformats.org/officeDocument/2006/relationships/hyperlink" Id="rId42" Target="https://doi.org/10.3389/fcell.2017.00083" TargetMode="External" /><Relationship Type="http://schemas.openxmlformats.org/officeDocument/2006/relationships/hyperlink" Id="rId152" Target="https://doi.org/10.4103/1008-682x.171582" TargetMode="External" /><Relationship Type="http://schemas.openxmlformats.org/officeDocument/2006/relationships/hyperlink" Id="rId206" Target="https://doi.org/10.48550/arxiv.2509.12709" TargetMode="External" /><Relationship Type="http://schemas.openxmlformats.org/officeDocument/2006/relationships/hyperlink" Id="rId64" Target="https://doi.org/10.5281/zenodo.3822858" TargetMode="External" /><Relationship Type="http://schemas.openxmlformats.org/officeDocument/2006/relationships/hyperlink" Id="rId114" Target="https://doi.org/bdd4" TargetMode="External" /><Relationship Type="http://schemas.openxmlformats.org/officeDocument/2006/relationships/hyperlink" Id="rId184" Target="https://doi.org/c2xm5v" TargetMode="External" /><Relationship Type="http://schemas.openxmlformats.org/officeDocument/2006/relationships/hyperlink" Id="rId81" Target="https://doi.org/f32svq" TargetMode="External" /><Relationship Type="http://schemas.openxmlformats.org/officeDocument/2006/relationships/hyperlink" Id="rId210" Target="https://doi.org/f7nxzd" TargetMode="External" /><Relationship Type="http://schemas.openxmlformats.org/officeDocument/2006/relationships/hyperlink" Id="rId151" Target="https://doi.org/f877jx" TargetMode="External" /><Relationship Type="http://schemas.openxmlformats.org/officeDocument/2006/relationships/hyperlink" Id="rId225" Target="https://doi.org/f98fz3" TargetMode="External" /><Relationship Type="http://schemas.openxmlformats.org/officeDocument/2006/relationships/hyperlink" Id="rId179" Target="https://doi.org/f9ttx6" TargetMode="External" /><Relationship Type="http://schemas.openxmlformats.org/officeDocument/2006/relationships/hyperlink" Id="rId142" Target="https://doi.org/g8p57w" TargetMode="External" /><Relationship Type="http://schemas.openxmlformats.org/officeDocument/2006/relationships/hyperlink" Id="rId59" Target="https://doi.org/gcjxm2" TargetMode="External" /><Relationship Type="http://schemas.openxmlformats.org/officeDocument/2006/relationships/hyperlink" Id="rId71" Target="https://doi.org/gd5z68" TargetMode="External" /><Relationship Type="http://schemas.openxmlformats.org/officeDocument/2006/relationships/hyperlink" Id="rId147" Target="https://doi.org/gdg44f" TargetMode="External" /><Relationship Type="http://schemas.openxmlformats.org/officeDocument/2006/relationships/hyperlink" Id="rId119" Target="https://doi.org/gfkrrt" TargetMode="External" /><Relationship Type="http://schemas.openxmlformats.org/officeDocument/2006/relationships/hyperlink" Id="rId189" Target="https://doi.org/gfvpq7" TargetMode="External" /><Relationship Type="http://schemas.openxmlformats.org/officeDocument/2006/relationships/hyperlink" Id="rId55" Target="https://doi.org/ggjdzj" TargetMode="External" /><Relationship Type="http://schemas.openxmlformats.org/officeDocument/2006/relationships/hyperlink" Id="rId50" Target="https://doi.org/gh4bkp" TargetMode="External" /><Relationship Type="http://schemas.openxmlformats.org/officeDocument/2006/relationships/hyperlink" Id="rId66" Target="https://doi.org/gn7rf9" TargetMode="External" /><Relationship Type="http://schemas.openxmlformats.org/officeDocument/2006/relationships/hyperlink" Id="rId169" Target="https://doi.org/gnm52c" TargetMode="External" /><Relationship Type="http://schemas.openxmlformats.org/officeDocument/2006/relationships/hyperlink" Id="rId41" Target="https://doi.org/gpf2r8" TargetMode="External" /><Relationship Type="http://schemas.openxmlformats.org/officeDocument/2006/relationships/hyperlink" Id="rId100" Target="https://doi.org/gsxq6b" TargetMode="External" /><Relationship Type="http://schemas.openxmlformats.org/officeDocument/2006/relationships/hyperlink" Id="rId165" Target="https://doi.org/gtwq2b" TargetMode="External" /><Relationship Type="http://schemas.openxmlformats.org/officeDocument/2006/relationships/hyperlink" Id="rId215" Target="https://doi.org/hbs2bf" TargetMode="External" /><Relationship Type="http://schemas.openxmlformats.org/officeDocument/2006/relationships/hyperlink" Id="rId198" Target="https://doi.org/hbs2bg" TargetMode="External" /><Relationship Type="http://schemas.openxmlformats.org/officeDocument/2006/relationships/hyperlink" Id="rId205" Target="https://doi.org/hbs2fv" TargetMode="External" /><Relationship Type="http://schemas.openxmlformats.org/officeDocument/2006/relationships/hyperlink" Id="rId155" Target="https://doi.org/hbsw6q" TargetMode="External" /><Relationship Type="http://schemas.openxmlformats.org/officeDocument/2006/relationships/hyperlink" Id="rId174" Target="https://doi.org/hbsw6r" TargetMode="External" /><Relationship Type="http://schemas.openxmlformats.org/officeDocument/2006/relationships/hyperlink" Id="rId160" Target="https://doi.org/hbsw6s" TargetMode="External" /><Relationship Type="http://schemas.openxmlformats.org/officeDocument/2006/relationships/hyperlink" Id="rId90" Target="https://doi.org/hbswtb" TargetMode="External" /><Relationship Type="http://schemas.openxmlformats.org/officeDocument/2006/relationships/hyperlink" Id="rId95" Target="https://doi.org/hbswtc" TargetMode="External" /><Relationship Type="http://schemas.openxmlformats.org/officeDocument/2006/relationships/hyperlink" Id="rId63" Target="https://doi.org/hbswtd" TargetMode="External" /><Relationship Type="http://schemas.openxmlformats.org/officeDocument/2006/relationships/hyperlink" Id="rId76" Target="https://doi.org/hzm" TargetMode="External" /><Relationship Type="http://schemas.openxmlformats.org/officeDocument/2006/relationships/hyperlink" Id="rId105" Target="https://dpcpsi.nih.gov/sites/default/files/Day2-1225PM-Final-Report-CFDE-CoC-WG-HorwitzWilder_.pdf" TargetMode="External" /><Relationship Type="http://schemas.openxmlformats.org/officeDocument/2006/relationships/hyperlink" Id="rId194" Target="https://fairplus.github.io/Data-Maturity/docs/Indicators/" TargetMode="External" /><Relationship Type="http://schemas.openxmlformats.org/officeDocument/2006/relationships/hyperlink" Id="rId230" Target="https://grants.nih.gov/grants/guide/notice-files/NOT-OD-21-013.html" TargetMode="External" /><Relationship Type="http://schemas.openxmlformats.org/officeDocument/2006/relationships/hyperlink" Id="rId124" Target="https://marketingplatform.google.com/about/analytics/" TargetMode="External" /><Relationship Type="http://schemas.openxmlformats.org/officeDocument/2006/relationships/hyperlink" Id="rId126" Target="https://matomo.org/" TargetMode="External" /><Relationship Type="http://schemas.openxmlformats.org/officeDocument/2006/relationships/hyperlink" Id="rId140" Target="https://openalex.org/" TargetMode="External" /><Relationship Type="http://schemas.openxmlformats.org/officeDocument/2006/relationships/hyperlink" Id="rId203" Target="https://orcid.org/" TargetMode="External" /><Relationship Type="http://schemas.openxmlformats.org/officeDocument/2006/relationships/hyperlink" Id="rId132" Target="https://pubmed.ncbi.nlm.nih.gov/" TargetMode="External" /><Relationship Type="http://schemas.openxmlformats.org/officeDocument/2006/relationships/hyperlink" Id="rId136" Target="https://scholar.google.com/" TargetMode="External" /><Relationship Type="http://schemas.openxmlformats.org/officeDocument/2006/relationships/hyperlink" Id="rId232" Target="https://www.ga4gh.org/about-us/strategic-road-map/" TargetMode="External" /><Relationship Type="http://schemas.openxmlformats.org/officeDocument/2006/relationships/hyperlink" Id="rId107" Target="https://www.intercom.com/blog/rice-simple-prioritization-for-product-managers/" TargetMode="External" /><Relationship Type="http://schemas.openxmlformats.org/officeDocument/2006/relationships/hyperlink" Id="rId196" Target="https://www.ncbi.nlm.nih.gov/books/NBK562708/" TargetMode="External" /><Relationship Type="http://schemas.openxmlformats.org/officeDocument/2006/relationships/hyperlink" Id="rId158" Target="https://www.ncbi.nlm.nih.gov/pmc/articles/PMC10515804" TargetMode="External" /><Relationship Type="http://schemas.openxmlformats.org/officeDocument/2006/relationships/hyperlink" Id="rId98" Target="https://www.ncbi.nlm.nih.gov/pmc/articles/PMC10979895" TargetMode="External" /><Relationship Type="http://schemas.openxmlformats.org/officeDocument/2006/relationships/hyperlink" Id="rId177" Target="https://www.ncbi.nlm.nih.gov/pmc/articles/PMC11078514" TargetMode="External" /><Relationship Type="http://schemas.openxmlformats.org/officeDocument/2006/relationships/hyperlink" Id="rId145" Target="https://www.ncbi.nlm.nih.gov/pmc/articles/PMC11524460" TargetMode="External" /><Relationship Type="http://schemas.openxmlformats.org/officeDocument/2006/relationships/hyperlink" Id="rId218" Target="https://www.ncbi.nlm.nih.gov/pmc/articles/PMC11702478" TargetMode="External" /><Relationship Type="http://schemas.openxmlformats.org/officeDocument/2006/relationships/hyperlink" Id="rId163" Target="https://www.ncbi.nlm.nih.gov/pmc/articles/PMC12369987" TargetMode="External" /><Relationship Type="http://schemas.openxmlformats.org/officeDocument/2006/relationships/hyperlink" Id="rId84" Target="https://www.ncbi.nlm.nih.gov/pmc/articles/PMC3377744" TargetMode="External" /><Relationship Type="http://schemas.openxmlformats.org/officeDocument/2006/relationships/hyperlink" Id="rId79" Target="https://www.ncbi.nlm.nih.gov/pmc/articles/PMC3564958" TargetMode="External" /><Relationship Type="http://schemas.openxmlformats.org/officeDocument/2006/relationships/hyperlink" Id="rId48" Target="https://www.ncbi.nlm.nih.gov/pmc/articles/PMC3919969" TargetMode="External" /><Relationship Type="http://schemas.openxmlformats.org/officeDocument/2006/relationships/hyperlink" Id="rId74" Target="https://www.ncbi.nlm.nih.gov/pmc/articles/PMC4010069" TargetMode="External" /><Relationship Type="http://schemas.openxmlformats.org/officeDocument/2006/relationships/hyperlink" Id="rId213" Target="https://www.ncbi.nlm.nih.gov/pmc/articles/PMC4012002" TargetMode="External" /><Relationship Type="http://schemas.openxmlformats.org/officeDocument/2006/relationships/hyperlink" Id="rId117" Target="https://www.ncbi.nlm.nih.gov/pmc/articles/PMC4792175" TargetMode="External" /><Relationship Type="http://schemas.openxmlformats.org/officeDocument/2006/relationships/hyperlink" Id="rId192" Target="https://www.ncbi.nlm.nih.gov/pmc/articles/PMC5007752" TargetMode="External" /><Relationship Type="http://schemas.openxmlformats.org/officeDocument/2006/relationships/hyperlink" Id="rId187" Target="https://www.ncbi.nlm.nih.gov/pmc/articles/PMC545600" TargetMode="External" /><Relationship Type="http://schemas.openxmlformats.org/officeDocument/2006/relationships/hyperlink" Id="rId44" Target="https://www.ncbi.nlm.nih.gov/pmc/articles/PMC5613113" TargetMode="External" /><Relationship Type="http://schemas.openxmlformats.org/officeDocument/2006/relationships/hyperlink" Id="rId228" Target="https://www.ncbi.nlm.nih.gov/pmc/articles/PMC5616207" TargetMode="External" /><Relationship Type="http://schemas.openxmlformats.org/officeDocument/2006/relationships/hyperlink" Id="rId122" Target="https://www.ncbi.nlm.nih.gov/pmc/articles/PMC6018520" TargetMode="External" /><Relationship Type="http://schemas.openxmlformats.org/officeDocument/2006/relationships/hyperlink" Id="rId182" Target="https://www.ncbi.nlm.nih.gov/pmc/articles/PMC6103790" TargetMode="External" /><Relationship Type="http://schemas.openxmlformats.org/officeDocument/2006/relationships/hyperlink" Id="rId88" Target="https://www.ncbi.nlm.nih.gov/pmc/articles/PMC6800388" TargetMode="External" /><Relationship Type="http://schemas.openxmlformats.org/officeDocument/2006/relationships/hyperlink" Id="rId172" Target="https://www.ncbi.nlm.nih.gov/pmc/articles/PMC7065823" TargetMode="External" /><Relationship Type="http://schemas.openxmlformats.org/officeDocument/2006/relationships/hyperlink" Id="rId93" Target="https://www.ncbi.nlm.nih.gov/pmc/articles/PMC7335483" TargetMode="External" /><Relationship Type="http://schemas.openxmlformats.org/officeDocument/2006/relationships/hyperlink" Id="rId53" Target="https://www.ncbi.nlm.nih.gov/pmc/articles/PMC7875770" TargetMode="External" /><Relationship Type="http://schemas.openxmlformats.org/officeDocument/2006/relationships/hyperlink" Id="rId69" Target="https://www.ncbi.nlm.nih.gov/pmc/articles/PMC8863334" TargetMode="External" /><Relationship Type="http://schemas.openxmlformats.org/officeDocument/2006/relationships/hyperlink" Id="rId201" Target="https://www.ncbi.nlm.nih.gov/pmc/articles/PMC8922165" TargetMode="External" /><Relationship Type="http://schemas.openxmlformats.org/officeDocument/2006/relationships/hyperlink" Id="rId103" Target="https://www.ncbi.nlm.nih.gov/pmc/articles/PMC9677336" TargetMode="External" /><Relationship Type="http://schemas.openxmlformats.org/officeDocument/2006/relationships/hyperlink" Id="rId186" Target="https://www.ncbi.nlm.nih.gov/pubmed/15461798" TargetMode="External" /><Relationship Type="http://schemas.openxmlformats.org/officeDocument/2006/relationships/hyperlink" Id="rId78" Target="https://www.ncbi.nlm.nih.gov/pubmed/22699609" TargetMode="External" /><Relationship Type="http://schemas.openxmlformats.org/officeDocument/2006/relationships/hyperlink" Id="rId83" Target="https://www.ncbi.nlm.nih.gov/pubmed/22699610" TargetMode="External" /><Relationship Type="http://schemas.openxmlformats.org/officeDocument/2006/relationships/hyperlink" Id="rId73" Target="https://www.ncbi.nlm.nih.gov/pubmed/23715323" TargetMode="External" /><Relationship Type="http://schemas.openxmlformats.org/officeDocument/2006/relationships/hyperlink" Id="rId46" Target="https://www.ncbi.nlm.nih.gov/pubmed/24071849" TargetMode="External" /><Relationship Type="http://schemas.openxmlformats.org/officeDocument/2006/relationships/hyperlink" Id="rId212" Target="https://www.ncbi.nlm.nih.gov/pubmed/24193818" TargetMode="External" /><Relationship Type="http://schemas.openxmlformats.org/officeDocument/2006/relationships/hyperlink" Id="rId167" Target="https://www.ncbi.nlm.nih.gov/pubmed/25123716" TargetMode="External" /><Relationship Type="http://schemas.openxmlformats.org/officeDocument/2006/relationships/hyperlink" Id="rId149" Target="https://www.ncbi.nlm.nih.gov/pubmed/25903611" TargetMode="External" /><Relationship Type="http://schemas.openxmlformats.org/officeDocument/2006/relationships/hyperlink" Id="rId153" Target="https://www.ncbi.nlm.nih.gov/pubmed/26806079" TargetMode="External" /><Relationship Type="http://schemas.openxmlformats.org/officeDocument/2006/relationships/hyperlink" Id="rId116" Target="https://www.ncbi.nlm.nih.gov/pubmed/26978244" TargetMode="External" /><Relationship Type="http://schemas.openxmlformats.org/officeDocument/2006/relationships/hyperlink" Id="rId191" Target="https://www.ncbi.nlm.nih.gov/pubmed/27635232" TargetMode="External" /><Relationship Type="http://schemas.openxmlformats.org/officeDocument/2006/relationships/hyperlink" Id="rId181" Target="https://www.ncbi.nlm.nih.gov/pubmed/28288103" TargetMode="External" /><Relationship Type="http://schemas.openxmlformats.org/officeDocument/2006/relationships/hyperlink" Id="rId227" Target="https://www.ncbi.nlm.nih.gov/pubmed/28371629" TargetMode="External" /><Relationship Type="http://schemas.openxmlformats.org/officeDocument/2006/relationships/hyperlink" Id="rId43" Target="https://www.ncbi.nlm.nih.gov/pubmed/28983483" TargetMode="External" /><Relationship Type="http://schemas.openxmlformats.org/officeDocument/2006/relationships/hyperlink" Id="rId61" Target="https://www.ncbi.nlm.nih.gov/pubmed/29092927" TargetMode="External" /><Relationship Type="http://schemas.openxmlformats.org/officeDocument/2006/relationships/hyperlink" Id="rId121" Target="https://www.ncbi.nlm.nih.gov/pubmed/29944145" TargetMode="External" /><Relationship Type="http://schemas.openxmlformats.org/officeDocument/2006/relationships/hyperlink" Id="rId222" Target="https://www.ncbi.nlm.nih.gov/pubmed/30861395" TargetMode="External" /><Relationship Type="http://schemas.openxmlformats.org/officeDocument/2006/relationships/hyperlink" Id="rId57" Target="https://www.ncbi.nlm.nih.gov/pubmed/31412182" TargetMode="External" /><Relationship Type="http://schemas.openxmlformats.org/officeDocument/2006/relationships/hyperlink" Id="rId86" Target="https://www.ncbi.nlm.nih.gov/pubmed/31597973" TargetMode="External" /><Relationship Type="http://schemas.openxmlformats.org/officeDocument/2006/relationships/hyperlink" Id="rId92" Target="https://www.ncbi.nlm.nih.gov/pubmed/31616925" TargetMode="External" /><Relationship Type="http://schemas.openxmlformats.org/officeDocument/2006/relationships/hyperlink" Id="rId171" Target="https://www.ncbi.nlm.nih.gov/pubmed/32160189" TargetMode="External" /><Relationship Type="http://schemas.openxmlformats.org/officeDocument/2006/relationships/hyperlink" Id="rId52" Target="https://www.ncbi.nlm.nih.gov/pubmed/33568819" TargetMode="External" /><Relationship Type="http://schemas.openxmlformats.org/officeDocument/2006/relationships/hyperlink" Id="rId200" Target="https://www.ncbi.nlm.nih.gov/pubmed/34919694" TargetMode="External" /><Relationship Type="http://schemas.openxmlformats.org/officeDocument/2006/relationships/hyperlink" Id="rId68" Target="https://www.ncbi.nlm.nih.gov/pubmed/35199087" TargetMode="External" /><Relationship Type="http://schemas.openxmlformats.org/officeDocument/2006/relationships/hyperlink" Id="rId102" Target="https://www.ncbi.nlm.nih.gov/pubmed/36409836" TargetMode="External" /><Relationship Type="http://schemas.openxmlformats.org/officeDocument/2006/relationships/hyperlink" Id="rId157" Target="https://www.ncbi.nlm.nih.gov/pubmed/37745378" TargetMode="External" /><Relationship Type="http://schemas.openxmlformats.org/officeDocument/2006/relationships/hyperlink" Id="rId97" Target="https://www.ncbi.nlm.nih.gov/pubmed/38559126" TargetMode="External" /><Relationship Type="http://schemas.openxmlformats.org/officeDocument/2006/relationships/hyperlink" Id="rId176" Target="https://www.ncbi.nlm.nih.gov/pubmed/38713639" TargetMode="External" /><Relationship Type="http://schemas.openxmlformats.org/officeDocument/2006/relationships/hyperlink" Id="rId144" Target="https://www.ncbi.nlm.nih.gov/pubmed/39475849" TargetMode="External" /><Relationship Type="http://schemas.openxmlformats.org/officeDocument/2006/relationships/hyperlink" Id="rId217" Target="https://www.ncbi.nlm.nih.gov/pubmed/39776872" TargetMode="External" /><Relationship Type="http://schemas.openxmlformats.org/officeDocument/2006/relationships/hyperlink" Id="rId162" Target="https://www.ncbi.nlm.nih.gov/pubmed/40839787" TargetMode="External" /><Relationship Type="http://schemas.openxmlformats.org/officeDocument/2006/relationships/hyperlink" Id="rId134" Target="https://www.scopus.com" TargetMode="External" /><Relationship Type="http://schemas.openxmlformats.org/officeDocument/2006/relationships/hyperlink" Id="rId128" Target="https://www.semrush.com/" TargetMode="External" /><Relationship Type="http://schemas.openxmlformats.org/officeDocument/2006/relationships/hyperlink" Id="rId130" Target="https://www.similarweb.com/" TargetMode="External" /><Relationship Type="http://schemas.openxmlformats.org/officeDocument/2006/relationships/hyperlink" Id="rId220"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138" Target="https://clarivate.com/" TargetMode="External" /><Relationship Type="http://schemas.openxmlformats.org/officeDocument/2006/relationships/hyperlink" Id="rId208" Target="https://commonfund.nih.gov/dataecosystem" TargetMode="External" /><Relationship Type="http://schemas.openxmlformats.org/officeDocument/2006/relationships/hyperlink" Id="rId216" Target="https://doi.org/10.1002/jgf2.736" TargetMode="External" /><Relationship Type="http://schemas.openxmlformats.org/officeDocument/2006/relationships/hyperlink" Id="rId211" Target="https://doi.org/10.1007/s10488-013-0528-y" TargetMode="External" /><Relationship Type="http://schemas.openxmlformats.org/officeDocument/2006/relationships/hyperlink" Id="rId223" Target="https://doi.org/10.1016/j.evalprogplan.2019.02.011" TargetMode="External" /><Relationship Type="http://schemas.openxmlformats.org/officeDocument/2006/relationships/hyperlink" Id="rId226" Target="https://doi.org/10.1016/j.socscimed.2017.03.041" TargetMode="External" /><Relationship Type="http://schemas.openxmlformats.org/officeDocument/2006/relationships/hyperlink" Id="rId67" Target="https://doi.org/10.1016/j.xgen.2021.100085" TargetMode="External" /><Relationship Type="http://schemas.openxmlformats.org/officeDocument/2006/relationships/hyperlink" Id="rId148" Target="https://doi.org/10.1038/520429a" TargetMode="External" /><Relationship Type="http://schemas.openxmlformats.org/officeDocument/2006/relationships/hyperlink" Id="rId82" Target="https://doi.org/10.1038/nature11209" TargetMode="External" /><Relationship Type="http://schemas.openxmlformats.org/officeDocument/2006/relationships/hyperlink" Id="rId77" Target="https://doi.org/10.1038/nature11234" TargetMode="External" /><Relationship Type="http://schemas.openxmlformats.org/officeDocument/2006/relationships/hyperlink" Id="rId180" Target="https://doi.org/10.1038/nbt.3780" TargetMode="External" /><Relationship Type="http://schemas.openxmlformats.org/officeDocument/2006/relationships/hyperlink" Id="rId72" Target="https://doi.org/10.1038/ng.2653" TargetMode="External" /><Relationship Type="http://schemas.openxmlformats.org/officeDocument/2006/relationships/hyperlink" Id="rId47" Target="https://doi.org/10.1038/ng.2764" TargetMode="External" /><Relationship Type="http://schemas.openxmlformats.org/officeDocument/2006/relationships/hyperlink" Id="rId87" Target="https://doi.org/10.1038/s41586-019-1629-x" TargetMode="External" /><Relationship Type="http://schemas.openxmlformats.org/officeDocument/2006/relationships/hyperlink" Id="rId51" Target="https://doi.org/10.1038/s41586-021-03205-y" TargetMode="External" /><Relationship Type="http://schemas.openxmlformats.org/officeDocument/2006/relationships/hyperlink" Id="rId115" Target="https://doi.org/10.1038/sdata.2016.18" TargetMode="External" /><Relationship Type="http://schemas.openxmlformats.org/officeDocument/2006/relationships/hyperlink" Id="rId120" Target="https://doi.org/10.1038/sdata.2018.118" TargetMode="External" /><Relationship Type="http://schemas.openxmlformats.org/officeDocument/2006/relationships/hyperlink" Id="rId56" Target="https://doi.org/10.1056/nejmsr1809937" TargetMode="External" /><Relationship Type="http://schemas.openxmlformats.org/officeDocument/2006/relationships/hyperlink" Id="rId101" Target="https://doi.org/10.1093/gigascience/giac105" TargetMode="External" /><Relationship Type="http://schemas.openxmlformats.org/officeDocument/2006/relationships/hyperlink" Id="rId91" Target="https://doi.org/10.1093/glycob/cwz080" TargetMode="External" /><Relationship Type="http://schemas.openxmlformats.org/officeDocument/2006/relationships/hyperlink" Id="rId199" Target="https://doi.org/10.1093/jamia/ocab278" TargetMode="External" /><Relationship Type="http://schemas.openxmlformats.org/officeDocument/2006/relationships/hyperlink" Id="rId156" Target="https://doi.org/10.1101/2023.09.12.557386" TargetMode="External" /><Relationship Type="http://schemas.openxmlformats.org/officeDocument/2006/relationships/hyperlink" Id="rId96" Target="https://doi.org/10.1101/2024.03.11.584478" TargetMode="External" /><Relationship Type="http://schemas.openxmlformats.org/officeDocument/2006/relationships/hyperlink" Id="rId60" Target="https://doi.org/10.1158/0008-5472.can-17-0387" TargetMode="External" /><Relationship Type="http://schemas.openxmlformats.org/officeDocument/2006/relationships/hyperlink" Id="rId185" Target="https://doi.org/10.1186/gb-2004-5-10-r80" TargetMode="External" /><Relationship Type="http://schemas.openxmlformats.org/officeDocument/2006/relationships/hyperlink" Id="rId190" Target="https://doi.org/10.12688/f1000research.9206.1" TargetMode="External" /><Relationship Type="http://schemas.openxmlformats.org/officeDocument/2006/relationships/hyperlink" Id="rId170" Target="https://doi.org/10.1371/journal.pone.0229003" TargetMode="External" /><Relationship Type="http://schemas.openxmlformats.org/officeDocument/2006/relationships/hyperlink" Id="rId143" Target="https://doi.org/10.1371/journal.pone.0311493" TargetMode="External" /><Relationship Type="http://schemas.openxmlformats.org/officeDocument/2006/relationships/hyperlink" Id="rId166" Target="https://doi.org/10.15265/iy-2014-0020" TargetMode="External" /><Relationship Type="http://schemas.openxmlformats.org/officeDocument/2006/relationships/hyperlink" Id="rId175" Target="https://doi.org/10.15585/mmwr.su7303a1" TargetMode="External" /><Relationship Type="http://schemas.openxmlformats.org/officeDocument/2006/relationships/hyperlink" Id="rId161" Target="https://doi.org/10.2196/63544" TargetMode="External" /><Relationship Type="http://schemas.openxmlformats.org/officeDocument/2006/relationships/hyperlink" Id="rId42" Target="https://doi.org/10.3389/fcell.2017.00083" TargetMode="External" /><Relationship Type="http://schemas.openxmlformats.org/officeDocument/2006/relationships/hyperlink" Id="rId152" Target="https://doi.org/10.4103/1008-682x.171582" TargetMode="External" /><Relationship Type="http://schemas.openxmlformats.org/officeDocument/2006/relationships/hyperlink" Id="rId206" Target="https://doi.org/10.48550/arxiv.2509.12709" TargetMode="External" /><Relationship Type="http://schemas.openxmlformats.org/officeDocument/2006/relationships/hyperlink" Id="rId64" Target="https://doi.org/10.5281/zenodo.3822858" TargetMode="External" /><Relationship Type="http://schemas.openxmlformats.org/officeDocument/2006/relationships/hyperlink" Id="rId114" Target="https://doi.org/bdd4" TargetMode="External" /><Relationship Type="http://schemas.openxmlformats.org/officeDocument/2006/relationships/hyperlink" Id="rId184" Target="https://doi.org/c2xm5v" TargetMode="External" /><Relationship Type="http://schemas.openxmlformats.org/officeDocument/2006/relationships/hyperlink" Id="rId81" Target="https://doi.org/f32svq" TargetMode="External" /><Relationship Type="http://schemas.openxmlformats.org/officeDocument/2006/relationships/hyperlink" Id="rId210" Target="https://doi.org/f7nxzd" TargetMode="External" /><Relationship Type="http://schemas.openxmlformats.org/officeDocument/2006/relationships/hyperlink" Id="rId151" Target="https://doi.org/f877jx" TargetMode="External" /><Relationship Type="http://schemas.openxmlformats.org/officeDocument/2006/relationships/hyperlink" Id="rId225" Target="https://doi.org/f98fz3" TargetMode="External" /><Relationship Type="http://schemas.openxmlformats.org/officeDocument/2006/relationships/hyperlink" Id="rId179" Target="https://doi.org/f9ttx6" TargetMode="External" /><Relationship Type="http://schemas.openxmlformats.org/officeDocument/2006/relationships/hyperlink" Id="rId142" Target="https://doi.org/g8p57w" TargetMode="External" /><Relationship Type="http://schemas.openxmlformats.org/officeDocument/2006/relationships/hyperlink" Id="rId59" Target="https://doi.org/gcjxm2" TargetMode="External" /><Relationship Type="http://schemas.openxmlformats.org/officeDocument/2006/relationships/hyperlink" Id="rId71" Target="https://doi.org/gd5z68" TargetMode="External" /><Relationship Type="http://schemas.openxmlformats.org/officeDocument/2006/relationships/hyperlink" Id="rId147" Target="https://doi.org/gdg44f" TargetMode="External" /><Relationship Type="http://schemas.openxmlformats.org/officeDocument/2006/relationships/hyperlink" Id="rId119" Target="https://doi.org/gfkrrt" TargetMode="External" /><Relationship Type="http://schemas.openxmlformats.org/officeDocument/2006/relationships/hyperlink" Id="rId189" Target="https://doi.org/gfvpq7" TargetMode="External" /><Relationship Type="http://schemas.openxmlformats.org/officeDocument/2006/relationships/hyperlink" Id="rId55" Target="https://doi.org/ggjdzj" TargetMode="External" /><Relationship Type="http://schemas.openxmlformats.org/officeDocument/2006/relationships/hyperlink" Id="rId50" Target="https://doi.org/gh4bkp" TargetMode="External" /><Relationship Type="http://schemas.openxmlformats.org/officeDocument/2006/relationships/hyperlink" Id="rId66" Target="https://doi.org/gn7rf9" TargetMode="External" /><Relationship Type="http://schemas.openxmlformats.org/officeDocument/2006/relationships/hyperlink" Id="rId169" Target="https://doi.org/gnm52c" TargetMode="External" /><Relationship Type="http://schemas.openxmlformats.org/officeDocument/2006/relationships/hyperlink" Id="rId41" Target="https://doi.org/gpf2r8" TargetMode="External" /><Relationship Type="http://schemas.openxmlformats.org/officeDocument/2006/relationships/hyperlink" Id="rId100" Target="https://doi.org/gsxq6b" TargetMode="External" /><Relationship Type="http://schemas.openxmlformats.org/officeDocument/2006/relationships/hyperlink" Id="rId165" Target="https://doi.org/gtwq2b" TargetMode="External" /><Relationship Type="http://schemas.openxmlformats.org/officeDocument/2006/relationships/hyperlink" Id="rId215" Target="https://doi.org/hbs2bf" TargetMode="External" /><Relationship Type="http://schemas.openxmlformats.org/officeDocument/2006/relationships/hyperlink" Id="rId198" Target="https://doi.org/hbs2bg" TargetMode="External" /><Relationship Type="http://schemas.openxmlformats.org/officeDocument/2006/relationships/hyperlink" Id="rId205" Target="https://doi.org/hbs2fv" TargetMode="External" /><Relationship Type="http://schemas.openxmlformats.org/officeDocument/2006/relationships/hyperlink" Id="rId155" Target="https://doi.org/hbsw6q" TargetMode="External" /><Relationship Type="http://schemas.openxmlformats.org/officeDocument/2006/relationships/hyperlink" Id="rId174" Target="https://doi.org/hbsw6r" TargetMode="External" /><Relationship Type="http://schemas.openxmlformats.org/officeDocument/2006/relationships/hyperlink" Id="rId160" Target="https://doi.org/hbsw6s" TargetMode="External" /><Relationship Type="http://schemas.openxmlformats.org/officeDocument/2006/relationships/hyperlink" Id="rId90" Target="https://doi.org/hbswtb" TargetMode="External" /><Relationship Type="http://schemas.openxmlformats.org/officeDocument/2006/relationships/hyperlink" Id="rId95" Target="https://doi.org/hbswtc" TargetMode="External" /><Relationship Type="http://schemas.openxmlformats.org/officeDocument/2006/relationships/hyperlink" Id="rId63" Target="https://doi.org/hbswtd" TargetMode="External" /><Relationship Type="http://schemas.openxmlformats.org/officeDocument/2006/relationships/hyperlink" Id="rId76" Target="https://doi.org/hzm" TargetMode="External" /><Relationship Type="http://schemas.openxmlformats.org/officeDocument/2006/relationships/hyperlink" Id="rId105" Target="https://dpcpsi.nih.gov/sites/default/files/Day2-1225PM-Final-Report-CFDE-CoC-WG-HorwitzWilder_.pdf" TargetMode="External" /><Relationship Type="http://schemas.openxmlformats.org/officeDocument/2006/relationships/hyperlink" Id="rId194" Target="https://fairplus.github.io/Data-Maturity/docs/Indicators/" TargetMode="External" /><Relationship Type="http://schemas.openxmlformats.org/officeDocument/2006/relationships/hyperlink" Id="rId230" Target="https://grants.nih.gov/grants/guide/notice-files/NOT-OD-21-013.html" TargetMode="External" /><Relationship Type="http://schemas.openxmlformats.org/officeDocument/2006/relationships/hyperlink" Id="rId124" Target="https://marketingplatform.google.com/about/analytics/" TargetMode="External" /><Relationship Type="http://schemas.openxmlformats.org/officeDocument/2006/relationships/hyperlink" Id="rId126" Target="https://matomo.org/" TargetMode="External" /><Relationship Type="http://schemas.openxmlformats.org/officeDocument/2006/relationships/hyperlink" Id="rId140" Target="https://openalex.org/" TargetMode="External" /><Relationship Type="http://schemas.openxmlformats.org/officeDocument/2006/relationships/hyperlink" Id="rId203" Target="https://orcid.org/" TargetMode="External" /><Relationship Type="http://schemas.openxmlformats.org/officeDocument/2006/relationships/hyperlink" Id="rId132" Target="https://pubmed.ncbi.nlm.nih.gov/" TargetMode="External" /><Relationship Type="http://schemas.openxmlformats.org/officeDocument/2006/relationships/hyperlink" Id="rId136" Target="https://scholar.google.com/" TargetMode="External" /><Relationship Type="http://schemas.openxmlformats.org/officeDocument/2006/relationships/hyperlink" Id="rId232" Target="https://www.ga4gh.org/about-us/strategic-road-map/" TargetMode="External" /><Relationship Type="http://schemas.openxmlformats.org/officeDocument/2006/relationships/hyperlink" Id="rId107" Target="https://www.intercom.com/blog/rice-simple-prioritization-for-product-managers/" TargetMode="External" /><Relationship Type="http://schemas.openxmlformats.org/officeDocument/2006/relationships/hyperlink" Id="rId196" Target="https://www.ncbi.nlm.nih.gov/books/NBK562708/" TargetMode="External" /><Relationship Type="http://schemas.openxmlformats.org/officeDocument/2006/relationships/hyperlink" Id="rId158" Target="https://www.ncbi.nlm.nih.gov/pmc/articles/PMC10515804" TargetMode="External" /><Relationship Type="http://schemas.openxmlformats.org/officeDocument/2006/relationships/hyperlink" Id="rId98" Target="https://www.ncbi.nlm.nih.gov/pmc/articles/PMC10979895" TargetMode="External" /><Relationship Type="http://schemas.openxmlformats.org/officeDocument/2006/relationships/hyperlink" Id="rId177" Target="https://www.ncbi.nlm.nih.gov/pmc/articles/PMC11078514" TargetMode="External" /><Relationship Type="http://schemas.openxmlformats.org/officeDocument/2006/relationships/hyperlink" Id="rId145" Target="https://www.ncbi.nlm.nih.gov/pmc/articles/PMC11524460" TargetMode="External" /><Relationship Type="http://schemas.openxmlformats.org/officeDocument/2006/relationships/hyperlink" Id="rId218" Target="https://www.ncbi.nlm.nih.gov/pmc/articles/PMC11702478" TargetMode="External" /><Relationship Type="http://schemas.openxmlformats.org/officeDocument/2006/relationships/hyperlink" Id="rId163" Target="https://www.ncbi.nlm.nih.gov/pmc/articles/PMC12369987" TargetMode="External" /><Relationship Type="http://schemas.openxmlformats.org/officeDocument/2006/relationships/hyperlink" Id="rId84" Target="https://www.ncbi.nlm.nih.gov/pmc/articles/PMC3377744" TargetMode="External" /><Relationship Type="http://schemas.openxmlformats.org/officeDocument/2006/relationships/hyperlink" Id="rId79" Target="https://www.ncbi.nlm.nih.gov/pmc/articles/PMC3564958" TargetMode="External" /><Relationship Type="http://schemas.openxmlformats.org/officeDocument/2006/relationships/hyperlink" Id="rId48" Target="https://www.ncbi.nlm.nih.gov/pmc/articles/PMC3919969" TargetMode="External" /><Relationship Type="http://schemas.openxmlformats.org/officeDocument/2006/relationships/hyperlink" Id="rId74" Target="https://www.ncbi.nlm.nih.gov/pmc/articles/PMC4010069" TargetMode="External" /><Relationship Type="http://schemas.openxmlformats.org/officeDocument/2006/relationships/hyperlink" Id="rId213" Target="https://www.ncbi.nlm.nih.gov/pmc/articles/PMC4012002" TargetMode="External" /><Relationship Type="http://schemas.openxmlformats.org/officeDocument/2006/relationships/hyperlink" Id="rId117" Target="https://www.ncbi.nlm.nih.gov/pmc/articles/PMC4792175" TargetMode="External" /><Relationship Type="http://schemas.openxmlformats.org/officeDocument/2006/relationships/hyperlink" Id="rId192" Target="https://www.ncbi.nlm.nih.gov/pmc/articles/PMC5007752" TargetMode="External" /><Relationship Type="http://schemas.openxmlformats.org/officeDocument/2006/relationships/hyperlink" Id="rId187" Target="https://www.ncbi.nlm.nih.gov/pmc/articles/PMC545600" TargetMode="External" /><Relationship Type="http://schemas.openxmlformats.org/officeDocument/2006/relationships/hyperlink" Id="rId44" Target="https://www.ncbi.nlm.nih.gov/pmc/articles/PMC5613113" TargetMode="External" /><Relationship Type="http://schemas.openxmlformats.org/officeDocument/2006/relationships/hyperlink" Id="rId228" Target="https://www.ncbi.nlm.nih.gov/pmc/articles/PMC5616207" TargetMode="External" /><Relationship Type="http://schemas.openxmlformats.org/officeDocument/2006/relationships/hyperlink" Id="rId122" Target="https://www.ncbi.nlm.nih.gov/pmc/articles/PMC6018520" TargetMode="External" /><Relationship Type="http://schemas.openxmlformats.org/officeDocument/2006/relationships/hyperlink" Id="rId182" Target="https://www.ncbi.nlm.nih.gov/pmc/articles/PMC6103790" TargetMode="External" /><Relationship Type="http://schemas.openxmlformats.org/officeDocument/2006/relationships/hyperlink" Id="rId88" Target="https://www.ncbi.nlm.nih.gov/pmc/articles/PMC6800388" TargetMode="External" /><Relationship Type="http://schemas.openxmlformats.org/officeDocument/2006/relationships/hyperlink" Id="rId172" Target="https://www.ncbi.nlm.nih.gov/pmc/articles/PMC7065823" TargetMode="External" /><Relationship Type="http://schemas.openxmlformats.org/officeDocument/2006/relationships/hyperlink" Id="rId93" Target="https://www.ncbi.nlm.nih.gov/pmc/articles/PMC7335483" TargetMode="External" /><Relationship Type="http://schemas.openxmlformats.org/officeDocument/2006/relationships/hyperlink" Id="rId53" Target="https://www.ncbi.nlm.nih.gov/pmc/articles/PMC7875770" TargetMode="External" /><Relationship Type="http://schemas.openxmlformats.org/officeDocument/2006/relationships/hyperlink" Id="rId69" Target="https://www.ncbi.nlm.nih.gov/pmc/articles/PMC8863334" TargetMode="External" /><Relationship Type="http://schemas.openxmlformats.org/officeDocument/2006/relationships/hyperlink" Id="rId201" Target="https://www.ncbi.nlm.nih.gov/pmc/articles/PMC8922165" TargetMode="External" /><Relationship Type="http://schemas.openxmlformats.org/officeDocument/2006/relationships/hyperlink" Id="rId103" Target="https://www.ncbi.nlm.nih.gov/pmc/articles/PMC9677336" TargetMode="External" /><Relationship Type="http://schemas.openxmlformats.org/officeDocument/2006/relationships/hyperlink" Id="rId186" Target="https://www.ncbi.nlm.nih.gov/pubmed/15461798" TargetMode="External" /><Relationship Type="http://schemas.openxmlformats.org/officeDocument/2006/relationships/hyperlink" Id="rId78" Target="https://www.ncbi.nlm.nih.gov/pubmed/22699609" TargetMode="External" /><Relationship Type="http://schemas.openxmlformats.org/officeDocument/2006/relationships/hyperlink" Id="rId83" Target="https://www.ncbi.nlm.nih.gov/pubmed/22699610" TargetMode="External" /><Relationship Type="http://schemas.openxmlformats.org/officeDocument/2006/relationships/hyperlink" Id="rId73" Target="https://www.ncbi.nlm.nih.gov/pubmed/23715323" TargetMode="External" /><Relationship Type="http://schemas.openxmlformats.org/officeDocument/2006/relationships/hyperlink" Id="rId46" Target="https://www.ncbi.nlm.nih.gov/pubmed/24071849" TargetMode="External" /><Relationship Type="http://schemas.openxmlformats.org/officeDocument/2006/relationships/hyperlink" Id="rId212" Target="https://www.ncbi.nlm.nih.gov/pubmed/24193818" TargetMode="External" /><Relationship Type="http://schemas.openxmlformats.org/officeDocument/2006/relationships/hyperlink" Id="rId167" Target="https://www.ncbi.nlm.nih.gov/pubmed/25123716" TargetMode="External" /><Relationship Type="http://schemas.openxmlformats.org/officeDocument/2006/relationships/hyperlink" Id="rId149" Target="https://www.ncbi.nlm.nih.gov/pubmed/25903611" TargetMode="External" /><Relationship Type="http://schemas.openxmlformats.org/officeDocument/2006/relationships/hyperlink" Id="rId153" Target="https://www.ncbi.nlm.nih.gov/pubmed/26806079" TargetMode="External" /><Relationship Type="http://schemas.openxmlformats.org/officeDocument/2006/relationships/hyperlink" Id="rId116" Target="https://www.ncbi.nlm.nih.gov/pubmed/26978244" TargetMode="External" /><Relationship Type="http://schemas.openxmlformats.org/officeDocument/2006/relationships/hyperlink" Id="rId191" Target="https://www.ncbi.nlm.nih.gov/pubmed/27635232" TargetMode="External" /><Relationship Type="http://schemas.openxmlformats.org/officeDocument/2006/relationships/hyperlink" Id="rId181" Target="https://www.ncbi.nlm.nih.gov/pubmed/28288103" TargetMode="External" /><Relationship Type="http://schemas.openxmlformats.org/officeDocument/2006/relationships/hyperlink" Id="rId227" Target="https://www.ncbi.nlm.nih.gov/pubmed/28371629" TargetMode="External" /><Relationship Type="http://schemas.openxmlformats.org/officeDocument/2006/relationships/hyperlink" Id="rId43" Target="https://www.ncbi.nlm.nih.gov/pubmed/28983483" TargetMode="External" /><Relationship Type="http://schemas.openxmlformats.org/officeDocument/2006/relationships/hyperlink" Id="rId61" Target="https://www.ncbi.nlm.nih.gov/pubmed/29092927" TargetMode="External" /><Relationship Type="http://schemas.openxmlformats.org/officeDocument/2006/relationships/hyperlink" Id="rId121" Target="https://www.ncbi.nlm.nih.gov/pubmed/29944145" TargetMode="External" /><Relationship Type="http://schemas.openxmlformats.org/officeDocument/2006/relationships/hyperlink" Id="rId222" Target="https://www.ncbi.nlm.nih.gov/pubmed/30861395" TargetMode="External" /><Relationship Type="http://schemas.openxmlformats.org/officeDocument/2006/relationships/hyperlink" Id="rId57" Target="https://www.ncbi.nlm.nih.gov/pubmed/31412182" TargetMode="External" /><Relationship Type="http://schemas.openxmlformats.org/officeDocument/2006/relationships/hyperlink" Id="rId86" Target="https://www.ncbi.nlm.nih.gov/pubmed/31597973" TargetMode="External" /><Relationship Type="http://schemas.openxmlformats.org/officeDocument/2006/relationships/hyperlink" Id="rId92" Target="https://www.ncbi.nlm.nih.gov/pubmed/31616925" TargetMode="External" /><Relationship Type="http://schemas.openxmlformats.org/officeDocument/2006/relationships/hyperlink" Id="rId171" Target="https://www.ncbi.nlm.nih.gov/pubmed/32160189" TargetMode="External" /><Relationship Type="http://schemas.openxmlformats.org/officeDocument/2006/relationships/hyperlink" Id="rId52" Target="https://www.ncbi.nlm.nih.gov/pubmed/33568819" TargetMode="External" /><Relationship Type="http://schemas.openxmlformats.org/officeDocument/2006/relationships/hyperlink" Id="rId200" Target="https://www.ncbi.nlm.nih.gov/pubmed/34919694" TargetMode="External" /><Relationship Type="http://schemas.openxmlformats.org/officeDocument/2006/relationships/hyperlink" Id="rId68" Target="https://www.ncbi.nlm.nih.gov/pubmed/35199087" TargetMode="External" /><Relationship Type="http://schemas.openxmlformats.org/officeDocument/2006/relationships/hyperlink" Id="rId102" Target="https://www.ncbi.nlm.nih.gov/pubmed/36409836" TargetMode="External" /><Relationship Type="http://schemas.openxmlformats.org/officeDocument/2006/relationships/hyperlink" Id="rId157" Target="https://www.ncbi.nlm.nih.gov/pubmed/37745378" TargetMode="External" /><Relationship Type="http://schemas.openxmlformats.org/officeDocument/2006/relationships/hyperlink" Id="rId97" Target="https://www.ncbi.nlm.nih.gov/pubmed/38559126" TargetMode="External" /><Relationship Type="http://schemas.openxmlformats.org/officeDocument/2006/relationships/hyperlink" Id="rId176" Target="https://www.ncbi.nlm.nih.gov/pubmed/38713639" TargetMode="External" /><Relationship Type="http://schemas.openxmlformats.org/officeDocument/2006/relationships/hyperlink" Id="rId144" Target="https://www.ncbi.nlm.nih.gov/pubmed/39475849" TargetMode="External" /><Relationship Type="http://schemas.openxmlformats.org/officeDocument/2006/relationships/hyperlink" Id="rId217" Target="https://www.ncbi.nlm.nih.gov/pubmed/39776872" TargetMode="External" /><Relationship Type="http://schemas.openxmlformats.org/officeDocument/2006/relationships/hyperlink" Id="rId162" Target="https://www.ncbi.nlm.nih.gov/pubmed/40839787" TargetMode="External" /><Relationship Type="http://schemas.openxmlformats.org/officeDocument/2006/relationships/hyperlink" Id="rId134" Target="https://www.scopus.com" TargetMode="External" /><Relationship Type="http://schemas.openxmlformats.org/officeDocument/2006/relationships/hyperlink" Id="rId128" Target="https://www.semrush.com/" TargetMode="External" /><Relationship Type="http://schemas.openxmlformats.org/officeDocument/2006/relationships/hyperlink" Id="rId130" Target="https://www.similarweb.com/" TargetMode="External" /><Relationship Type="http://schemas.openxmlformats.org/officeDocument/2006/relationships/hyperlink" Id="rId220"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across the lifecycle: a framework for evaluating NIH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 sustainability</cp:keywords>
  <dcterms:created xsi:type="dcterms:W3CDTF">2026-05-16T18:35:53Z</dcterms:created>
  <dcterms:modified xsi:type="dcterms:W3CDTF">2026-05-16T18:35:53Z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U.S. National Institutes of Health has invested billions of dollars in large-scale biomedical data resources, yet evaluation of these investments has historically been fragmented — each program tracks different metrics in different ways, preventing portfolio-level comparison and informed decision-making.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Critically, we note that the relative importance of each framework shifts predictably across a data resource’s lifecycle — from early infrastructure-building, through active use and impact, to long-term sustainability. Drawing on data from the NIH Common Fund Data Ecosystem (CFDE), we identify gaps in current measurement practice and describe the ICC’s ongoing effort to close them through a centralized dashboard that integrates publication, citation, GitHub, and web analytics data across the portfolio.</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assets/style.csl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