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Outstanding questions</w:t>
      </w:r>
    </w:p>
    <w:p>
      <w:pPr>
        <w:pStyle w:val="Subtitle"/>
      </w:pPr>
      <w:r>
        <w:t xml:space="preserve">Lifecycle-aware evaluation of biomedical data ecosystems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Outstanding Questions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1"/>
              </w:numPr>
            </w:pPr>
            <w:r>
              <w:t xml:space="preserve">At what break-even point does the curation cost of a shared dataset get recovered by downstream reuse, and how should that point inform the decision to invest in further sharing versus letting a resource sunset?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As the data-citation gap persists, what KPI should replace raw citation counts as the primary measure of data-resource impact, and how do we collect it at portfolio scale without burdening individual projects?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How should cross-disciplinary co-authorship arising from a shared dataset be weighted relative to direct citation when evaluating a resource’s scientific influence?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What is the right cadence for re-assessing the FAIR maturity of an active data resource, who owns the re-assessment, and how do we keep the process tractable as portfolios grow?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As AI-driven and agent-based traffic on data portals continues to grow, how do we partition it into noise to remove versus signal to interpret as evidence of resource value?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What governance structures keep federated evaluation frameworks honest as they evolve, so that metrics continue to serve funders’ strategic questions rather than drifting toward data managers’ reporting convenience?</w:t>
            </w:r>
          </w:p>
          <w:p/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Outstanding questions</dc:title>
  <dc:creator/>
  <cp:keywords/>
  <dcterms:created xsi:type="dcterms:W3CDTF">2026-05-17T13:13:08Z</dcterms:created>
  <dcterms:modified xsi:type="dcterms:W3CDTF">2026-05-17T13:13:08Z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sl">
    <vt:lpwstr>assets/trends-journals.csl</vt:lpwstr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Lifecycle-aware evaluation of biomedical data ecosystems</vt:lpwstr>
  </property>
  <property fmtid="{D5CDD505-2E9C-101B-9397-08002B2CF9AE}" pid="11" name="toc-title">
    <vt:lpwstr>Table of contents</vt:lpwstr>
  </property>
</Properties>
</file>