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00" w:name="references"/>
    <w:p>
      <w:pPr>
        <w:pStyle w:val="Heading1"/>
      </w:pPr>
      <w:r>
        <w:t xml:space="preserve">References</w:t>
      </w:r>
    </w:p>
    <w:bookmarkStart w:id="99" w:name="refs"/>
    <w:bookmarkStart w:id="38"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7">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38"/>
    <w:bookmarkStart w:id="40"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39">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0"/>
    <w:bookmarkStart w:id="42" w:name="ref-doi:10.1056/NEJMsr1809937"/>
    <w:p>
      <w:pPr>
        <w:pStyle w:val="Bibliography"/>
      </w:pPr>
      <w:r>
        <w:t xml:space="preserve">3.</w:t>
      </w:r>
      <w:r>
        <w:t xml:space="preserve"> </w:t>
      </w:r>
      <w:r>
        <w:t xml:space="preserve">	</w:t>
      </w:r>
      <w:r>
        <w:t xml:space="preserve">(2019)</w:t>
      </w:r>
      <w:r>
        <w:t xml:space="preserve"> </w:t>
      </w:r>
      <w:hyperlink r:id="rId41">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2"/>
    <w:bookmarkStart w:id="44"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3">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4"/>
    <w:bookmarkStart w:id="46" w:name="X7a93631224c49a632e3119c84b1b3a6b629c733"/>
    <w:p>
      <w:pPr>
        <w:pStyle w:val="Bibliography"/>
      </w:pPr>
      <w:r>
        <w:t xml:space="preserve">5.</w:t>
      </w:r>
      <w:r>
        <w:t xml:space="preserve"> </w:t>
      </w:r>
      <w:r>
        <w:t xml:space="preserve">	</w:t>
      </w:r>
      <w:r>
        <w:t xml:space="preserve">[Online]. Available:</w:t>
      </w:r>
      <w:r>
        <w:t xml:space="preserve"> </w:t>
      </w:r>
      <w:hyperlink r:id="rId45">
        <w:r>
          <w:rPr>
            <w:rStyle w:val="Hyperlink"/>
          </w:rPr>
          <w:t xml:space="preserve">https://dpcpsi.nih.gov/sites/default/files/Day2-1225PM-Final-Report-CFDE-CoC-WG-HorwitzWilder_.pdf</w:t>
        </w:r>
      </w:hyperlink>
    </w:p>
    <w:bookmarkEnd w:id="46"/>
    <w:bookmarkStart w:id="47" w:name="ref-isbn:9780471465102"/>
    <w:p>
      <w:pPr>
        <w:pStyle w:val="Bibliography"/>
      </w:pPr>
      <w:r>
        <w:t xml:space="preserve">6.</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7.</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9.</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14.</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15.</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18.</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19.</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20.</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X2b10f9b9a4270be0d96aba4cc529b1548cdbabe"/>
    <w:p>
      <w:pPr>
        <w:pStyle w:val="Bibliography"/>
      </w:pPr>
      <w:r>
        <w:t xml:space="preserve">21.</w:t>
      </w:r>
      <w:r>
        <w:t xml:space="preserve"> </w:t>
      </w:r>
      <w:r>
        <w:t xml:space="preserve">	</w:t>
      </w:r>
      <w:r>
        <w:t xml:space="preserve">Indicators.</w:t>
      </w:r>
      <w:r>
        <w:t xml:space="preserve"> </w:t>
      </w:r>
      <w:r>
        <w:rPr>
          <w:i/>
          <w:iCs/>
        </w:rPr>
        <w:t xml:space="preserve">FAIRplus Data Maturity</w:t>
      </w:r>
      <w:r>
        <w:t xml:space="preserve">. [Online]. Available:</w:t>
      </w:r>
      <w:r>
        <w:t xml:space="preserve"> </w:t>
      </w:r>
      <w:hyperlink r:id="rId75">
        <w:r>
          <w:rPr>
            <w:rStyle w:val="Hyperlink"/>
          </w:rPr>
          <w:t xml:space="preserve">https://fairplus.github.io/Data-Maturity/docs/Indicators/</w:t>
        </w:r>
      </w:hyperlink>
      <w:r>
        <w:t xml:space="preserve">. [Accessed: 16-May-2026]</w:t>
      </w:r>
    </w:p>
    <w:bookmarkEnd w:id="76"/>
    <w:bookmarkStart w:id="78" w:name="X7ad42e4ba87689c7356ff47da0c3a62acb6be13"/>
    <w:p>
      <w:pPr>
        <w:pStyle w:val="Bibliography"/>
      </w:pPr>
      <w:r>
        <w:t xml:space="preserve">22.</w:t>
      </w:r>
      <w:r>
        <w:t xml:space="preserve"> </w:t>
      </w:r>
      <w:r>
        <w:t xml:space="preserve">	</w:t>
      </w:r>
      <w:r>
        <w:t xml:space="preserve">National Academies of Sciences, E.</w:t>
      </w:r>
      <w:r>
        <w:t xml:space="preserve"> </w:t>
      </w:r>
      <w:r>
        <w:rPr>
          <w:i/>
          <w:iCs/>
        </w:rPr>
        <w:t xml:space="preserve">et al.</w:t>
      </w:r>
      <w:r>
        <w:t xml:space="preserve"> </w:t>
      </w:r>
      <w:r>
        <w:t xml:space="preserve">(2020)</w:t>
      </w:r>
      <w:r>
        <w:t xml:space="preserve"> </w:t>
      </w:r>
      <w:hyperlink r:id="rId77">
        <w:r>
          <w:rPr>
            <w:rStyle w:val="Hyperlink"/>
          </w:rPr>
          <w:t xml:space="preserve">The Cost-Forecasting Framework: Identifying Cost Drivers in the Biomedical Data Life Cycle</w:t>
        </w:r>
      </w:hyperlink>
      <w:r>
        <w:t xml:space="preserve">. In</w:t>
      </w:r>
      <w:r>
        <w:t xml:space="preserve"> </w:t>
      </w:r>
      <w:r>
        <w:rPr>
          <w:i/>
          <w:iCs/>
        </w:rPr>
        <w:t xml:space="preserve">Life-Cycle Decisions for Biomedical Data: The Challenge of Forecasting Costs</w:t>
      </w:r>
      <w:r>
        <w:t xml:space="preserve">, National Academies Press (US)</w:t>
      </w:r>
    </w:p>
    <w:bookmarkEnd w:id="78"/>
    <w:bookmarkStart w:id="80"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9">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0"/>
    <w:bookmarkStart w:id="82" w:name="ref-doi:10.48550/arXiv.2509.12709"/>
    <w:p>
      <w:pPr>
        <w:pStyle w:val="Bibliography"/>
      </w:pPr>
      <w:r>
        <w:t xml:space="preserve">24.</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1">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2"/>
    <w:bookmarkStart w:id="84" w:name="Xc1554ee4988a5c64dd2a8bc05a8ce444d54a496"/>
    <w:p>
      <w:pPr>
        <w:pStyle w:val="Bibliography"/>
      </w:pPr>
      <w:r>
        <w:t xml:space="preserve">25.</w:t>
      </w:r>
      <w:r>
        <w:t xml:space="preserve"> </w:t>
      </w:r>
      <w:r>
        <w:t xml:space="preserve">	</w:t>
      </w:r>
      <w:r>
        <w:t xml:space="preserve">Common Fund Data Ecosystem (CFDE) | NIH Common Fund[Online]. Available:</w:t>
      </w:r>
      <w:r>
        <w:t xml:space="preserve"> </w:t>
      </w:r>
      <w:hyperlink r:id="rId83">
        <w:r>
          <w:rPr>
            <w:rStyle w:val="Hyperlink"/>
          </w:rPr>
          <w:t xml:space="preserve">https://commonfund.nih.gov/dataecosystem</w:t>
        </w:r>
      </w:hyperlink>
      <w:r>
        <w:t xml:space="preserve">. [Accessed: 16-May-2026]</w:t>
      </w:r>
    </w:p>
    <w:bookmarkEnd w:id="84"/>
    <w:bookmarkStart w:id="86"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27.</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X76ee81cf61288aec0f48b9d17d5a06038eee18d"/>
    <w:p>
      <w:pPr>
        <w:pStyle w:val="Bibliography"/>
      </w:pPr>
      <w:r>
        <w:t xml:space="preserve">28.</w:t>
      </w:r>
      <w:r>
        <w:t xml:space="preserve"> </w:t>
      </w:r>
      <w:r>
        <w:t xml:space="preserve">	</w:t>
      </w:r>
      <w:r>
        <w:t xml:space="preserve">[Online]. Available:</w:t>
      </w:r>
      <w:r>
        <w:t xml:space="preserve"> </w:t>
      </w:r>
      <w:hyperlink r:id="rId89">
        <w:r>
          <w:rPr>
            <w:rStyle w:val="Hyperlink"/>
          </w:rPr>
          <w:t xml:space="preserve">https://www.wkkf.org/resource-directory/resources/2004/01/logic-model-development-guide</w:t>
        </w:r>
      </w:hyperlink>
    </w:p>
    <w:bookmarkEnd w:id="90"/>
    <w:bookmarkStart w:id="92" w:name="ref-pmid:30861395"/>
    <w:p>
      <w:pPr>
        <w:pStyle w:val="Bibliography"/>
      </w:pPr>
      <w:r>
        <w:t xml:space="preserve">29.</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1">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2"/>
    <w:bookmarkStart w:id="94" w:name="ref-doi:10.1016/j.socscimed.2017.03.041"/>
    <w:p>
      <w:pPr>
        <w:pStyle w:val="Bibliography"/>
      </w:pPr>
      <w:r>
        <w:t xml:space="preserve">30.</w:t>
      </w:r>
      <w:r>
        <w:t xml:space="preserve"> </w:t>
      </w:r>
      <w:r>
        <w:t xml:space="preserve">	</w:t>
      </w:r>
      <w:r>
        <w:t xml:space="preserve">Leonard, K.L. and Masatu, M.C. (2017)</w:t>
      </w:r>
      <w:r>
        <w:t xml:space="preserve"> </w:t>
      </w:r>
      <w:hyperlink r:id="rId93">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4"/>
    <w:bookmarkStart w:id="96" w:name="X95f22a201431050b3e5367321fb4ecc35cbc91c"/>
    <w:p>
      <w:pPr>
        <w:pStyle w:val="Bibliography"/>
      </w:pPr>
      <w:r>
        <w:t xml:space="preserve">31.</w:t>
      </w:r>
      <w:r>
        <w:t xml:space="preserve"> </w:t>
      </w:r>
      <w:r>
        <w:t xml:space="preserve">	</w:t>
      </w:r>
      <w:r>
        <w:t xml:space="preserve">NOT-OD-21-013: Final NIH Policy for Data Management and Sharing[Online]. Available:</w:t>
      </w:r>
      <w:r>
        <w:t xml:space="preserve"> </w:t>
      </w:r>
      <w:hyperlink r:id="rId95">
        <w:r>
          <w:rPr>
            <w:rStyle w:val="Hyperlink"/>
          </w:rPr>
          <w:t xml:space="preserve">https://grants.nih.gov/grants/guide/notice-files/NOT-OD-21-013.html</w:t>
        </w:r>
      </w:hyperlink>
      <w:r>
        <w:t xml:space="preserve">. [Accessed: 16-May-2026]</w:t>
      </w:r>
    </w:p>
    <w:bookmarkEnd w:id="96"/>
    <w:bookmarkStart w:id="98" w:name="X999055200295ead81fddf881b6ef724ff612aa1"/>
    <w:p>
      <w:pPr>
        <w:pStyle w:val="Bibliography"/>
      </w:pPr>
      <w:r>
        <w:t xml:space="preserve">32.</w:t>
      </w:r>
      <w:r>
        <w:t xml:space="preserve"> </w:t>
      </w:r>
      <w:r>
        <w:t xml:space="preserve">	</w:t>
      </w:r>
      <w:r>
        <w:t xml:space="preserve">Strategic Road Map[Online]. Available:</w:t>
      </w:r>
      <w:r>
        <w:t xml:space="preserve"> </w:t>
      </w:r>
      <w:hyperlink r:id="rId97">
        <w:r>
          <w:rPr>
            <w:rStyle w:val="Hyperlink"/>
          </w:rPr>
          <w:t xml:space="preserve">https://www.ga4gh.org/about-us/strategic-road-map/</w:t>
        </w:r>
      </w:hyperlink>
      <w:r>
        <w:t xml:space="preserve">. [Accessed: 16-May-2026]</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2026-05-16T20:51:12Z</dcterms:created>
  <dcterms:modified xsi:type="dcterms:W3CDTF">2026-05-16T20:51:12Z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