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Outstanding questions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Outstanding Questions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At what break-even point does the curation cost of a shared dataset get recovered by downstream reuse, and how should that point inform the decision to invest in further sharing versus letting a resource sunset?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the data-citation gap persists, what KPI should replace raw citation counts as the primary measure of data-resource impact, and how do we collect it at portfolio scale without burdening individual projects?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should cross-disciplinary co-authorship arising from a shared dataset be weighted relative to direct citation when evaluating a resource’s scientific influence?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is the right cadence for re-assessing the FAIR maturity of an active data resource, who owns the re-assessment, and how do we keep the process tractable as portfolios grow?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AI-driven and agent-based traffic on data portals continues to grow, how do we partition it into noise to remove versus signal to interpret as evidence of resource value?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governance structures keep federated evaluation frameworks honest as they evolve, so that metrics continue to serve funders’ strategic questions rather than drifting toward data managers’ reporting convenience?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questions</dc:title>
  <dc:creator/>
  <cp:keywords/>
  <dcterms:created xsi:type="dcterms:W3CDTF">2026-05-17T12:23:33Z</dcterms:created>
  <dcterms:modified xsi:type="dcterms:W3CDTF">2026-05-17T12:23:33Z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