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references</w:t>
      </w:r>
    </w:p>
    <w:p>
      <w:pPr>
        <w:pStyle w:val="Subtitle"/>
      </w:pPr>
      <w:r>
        <w:t xml:space="preserve">Lifecycle-aware evaluation of biomedical data ecosystems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References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Wilkinson MD et al. The FAIR Guiding Principles for scientific data management and stewardship.</w:t>
            </w:r>
            <w:r>
              <w:t xml:space="preserve"> </w:t>
            </w:r>
            <w:r>
              <w:rPr>
                <w:i/>
                <w:iCs/>
              </w:rPr>
              <w:t xml:space="preserve">Scientific Data</w:t>
            </w:r>
            <w:r>
              <w:t xml:space="preserve">, 2016</w:t>
            </w:r>
            <w:r>
              <w:t xml:space="preserve"> </w:t>
            </w:r>
            <w:r>
              <w:t xml:space="preserve">[1]</w:t>
            </w:r>
            <w:r>
              <w:t xml:space="preserve">. The foundational definition of the principles that anchor the scientific-quality framework throughout this paper.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Wilkinson MD et al. A design framework and exemplar metrics for FAIRness.</w:t>
            </w:r>
            <w:r>
              <w:t xml:space="preserve"> </w:t>
            </w:r>
            <w:r>
              <w:rPr>
                <w:i/>
                <w:iCs/>
              </w:rPr>
              <w:t xml:space="preserve">Scientific Data</w:t>
            </w:r>
            <w:r>
              <w:t xml:space="preserve">, 2018</w:t>
            </w:r>
            <w:r>
              <w:t xml:space="preserve"> </w:t>
            </w:r>
            <w:r>
              <w:t xml:space="preserve">[2]</w:t>
            </w:r>
            <w:r>
              <w:t xml:space="preserve">. Operationalizes FAIR as machine-measurable indicators, which is what makes automated FAIR-compliance monitoring tractable at the portfolio scale we describe.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Tedersoo L et al. Data sharing practices and data availability upon request differ across scientific disciplines</w:t>
            </w:r>
            <w:r>
              <w:t xml:space="preserve"> </w:t>
            </w:r>
            <w:r>
              <w:t xml:space="preserve">[3]</w:t>
            </w:r>
            <w:r>
              <w:t xml:space="preserve">. Provides the bibliometric evidence that fewer than 30% of secondary analyses formally cite source data, the core empirical basis for our argument that citation-count KPIs systematically understate reuse.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GTEx Consortium. The Genotype-Tissue Expression (GTEx) project.</w:t>
            </w:r>
            <w:r>
              <w:t xml:space="preserve"> </w:t>
            </w:r>
            <w:r>
              <w:rPr>
                <w:i/>
                <w:iCs/>
              </w:rPr>
              <w:t xml:space="preserve">Nature Genetics</w:t>
            </w:r>
            <w:r>
              <w:t xml:space="preserve">, 2013</w:t>
            </w:r>
            <w:r>
              <w:t xml:space="preserve"> </w:t>
            </w:r>
            <w:r>
              <w:t xml:space="preserve">[4]</w:t>
            </w:r>
            <w:r>
              <w:t xml:space="preserve">. The paradigmatic example of a high-reuse public biomedical data resource (8,630 citations as of January 2026), used here to anchor the public-value framework with a concrete case.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Centers for Disease Control and Prevention. Standard Evaluation Framework for Large Health Care Data</w:t>
            </w:r>
            <w:r>
              <w:t xml:space="preserve"> </w:t>
            </w:r>
            <w:r>
              <w:t xml:space="preserve">[5]</w:t>
            </w:r>
            <w:r>
              <w:t xml:space="preserve">. The 49-attribute fitness-for-purpose framework whose representativeness and linkability attributes are particularly load-bearing for federated ecosystems like the CFDE.</w:t>
            </w:r>
          </w:p>
          <w:p/>
        </w:tc>
      </w:tr>
    </w:tbl>
    <w:bookmarkStart w:id="22" w:name="refs"/>
    <w:bookmarkStart w:id="13" w:name="ref-doi:10.1038/sdata.2016.1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Wilkinson, M.D.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(2016)</w:t>
      </w:r>
      <w:r>
        <w:t xml:space="preserve"> </w:t>
      </w:r>
      <w:hyperlink r:id="rId12">
        <w:r>
          <w:rPr>
            <w:rStyle w:val="Hyperlink"/>
          </w:rPr>
          <w:t xml:space="preserve">The FAIR Guiding Principles for scientific data management and stewardship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 Data</w:t>
      </w:r>
      <w:r>
        <w:t xml:space="preserve"> </w:t>
      </w:r>
      <w:r>
        <w:t xml:space="preserve">3</w:t>
      </w:r>
    </w:p>
    <w:bookmarkEnd w:id="13"/>
    <w:bookmarkStart w:id="15" w:name="ref-doi:10.1038/sdata.2018.118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Wilkinson, M.D.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(2018)</w:t>
      </w:r>
      <w:r>
        <w:t xml:space="preserve"> </w:t>
      </w:r>
      <w:hyperlink r:id="rId14">
        <w:r>
          <w:rPr>
            <w:rStyle w:val="Hyperlink"/>
          </w:rPr>
          <w:t xml:space="preserve">A design framework and exemplar metrics for FAIRness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Sci Data</w:t>
      </w:r>
      <w:r>
        <w:t xml:space="preserve"> </w:t>
      </w:r>
      <w:r>
        <w:t xml:space="preserve">5</w:t>
      </w:r>
    </w:p>
    <w:bookmarkEnd w:id="15"/>
    <w:bookmarkStart w:id="17" w:name="ref-doi:10.1101/2023.09.12.557386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Emissah, H.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(2023)</w:t>
      </w:r>
      <w:r>
        <w:t xml:space="preserve"> </w:t>
      </w:r>
      <w:hyperlink r:id="rId16">
        <w:r>
          <w:rPr>
            <w:rStyle w:val="Hyperlink"/>
          </w:rPr>
          <w:t xml:space="preserve">Bibliometric analysis of neuroscience publications quantifies the impact of data sharing</w:t>
        </w:r>
      </w:hyperlink>
      <w:r>
        <w:t xml:space="preserve">openRxiv</w:t>
      </w:r>
    </w:p>
    <w:bookmarkEnd w:id="17"/>
    <w:bookmarkStart w:id="19" w:name="ref-doi:10.1038/ng.2653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Lonsdale, J.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(2013)</w:t>
      </w:r>
      <w:r>
        <w:t xml:space="preserve"> </w:t>
      </w:r>
      <w:hyperlink r:id="rId18">
        <w:r>
          <w:rPr>
            <w:rStyle w:val="Hyperlink"/>
          </w:rPr>
          <w:t xml:space="preserve">The Genotype-Tissue Expression (GTEx) project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Nat Genet</w:t>
      </w:r>
      <w:r>
        <w:t xml:space="preserve"> </w:t>
      </w:r>
      <w:r>
        <w:t xml:space="preserve">45, 580–585</w:t>
      </w:r>
    </w:p>
    <w:bookmarkEnd w:id="19"/>
    <w:bookmarkStart w:id="21" w:name="ref-doi:10.15585/mmwr.su7303a1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El Burai Felix, S.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</w:t>
      </w:r>
      <w:r>
        <w:t xml:space="preserve"> </w:t>
      </w:r>
      <w:hyperlink r:id="rId20">
        <w:r>
          <w:rPr>
            <w:rStyle w:val="Hyperlink"/>
          </w:rPr>
          <w:t xml:space="preserve">A Standard Framework for Evaluating Large Health Care Data and Related Resources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MMWR Suppl.</w:t>
      </w:r>
      <w:r>
        <w:t xml:space="preserve"> </w:t>
      </w:r>
      <w:r>
        <w:t xml:space="preserve">73, 1–13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https://doi.org/10.1038/ng.2653" TargetMode="External" /><Relationship Type="http://schemas.openxmlformats.org/officeDocument/2006/relationships/hyperlink" Id="rId12" Target="https://doi.org/10.1038/sdata.2016.18" TargetMode="External" /><Relationship Type="http://schemas.openxmlformats.org/officeDocument/2006/relationships/hyperlink" Id="rId14" Target="https://doi.org/10.1038/sdata.2018.118" TargetMode="External" /><Relationship Type="http://schemas.openxmlformats.org/officeDocument/2006/relationships/hyperlink" Id="rId16" Target="https://doi.org/10.1101/2023.09.12.557386" TargetMode="External" /><Relationship Type="http://schemas.openxmlformats.org/officeDocument/2006/relationships/hyperlink" Id="rId20" Target="https://doi.org/10.15585/mmwr.su7303a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oi.org/10.1038/ng.2653" TargetMode="External" /><Relationship Type="http://schemas.openxmlformats.org/officeDocument/2006/relationships/hyperlink" Id="rId12" Target="https://doi.org/10.1038/sdata.2016.18" TargetMode="External" /><Relationship Type="http://schemas.openxmlformats.org/officeDocument/2006/relationships/hyperlink" Id="rId14" Target="https://doi.org/10.1038/sdata.2018.118" TargetMode="External" /><Relationship Type="http://schemas.openxmlformats.org/officeDocument/2006/relationships/hyperlink" Id="rId16" Target="https://doi.org/10.1101/2023.09.12.557386" TargetMode="External" /><Relationship Type="http://schemas.openxmlformats.org/officeDocument/2006/relationships/hyperlink" Id="rId20" Target="https://doi.org/10.15585/mmwr.su7303a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references</dc:title>
  <dc:creator/>
  <cp:keywords/>
  <dcterms:created xsi:type="dcterms:W3CDTF">2026-05-17T12:23:34Z</dcterms:created>
  <dcterms:modified xsi:type="dcterms:W3CDTF">2026-05-17T12:23:34Z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assets/trends-journals.csl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Lifecycle-aware evaluation of biomedical data ecosystems</vt:lpwstr>
  </property>
  <property fmtid="{D5CDD505-2E9C-101B-9397-08002B2CF9AE}" pid="11" name="toc-title">
    <vt:lpwstr>Table of contents</vt:lpwstr>
  </property>
</Properties>
</file>