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Significance statement</w:t>
      </w:r>
    </w:p>
    <w:p>
      <w:pPr>
        <w:pStyle w:val="Subtitle"/>
      </w:pPr>
      <w:r>
        <w:t xml:space="preserve">Lifecycle-aware evaluation of biomedical data ecosystems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Significance statement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Public biomedical data ecosystems are now core scientific infrastructure, but each funded program tracks its own metrics differently, so portfolio-level comparison is effectively impossible.</w:t>
            </w:r>
            <w:r>
              <w:t xml:space="preserve"> </w:t>
            </w:r>
            <w:r>
              <w:t xml:space="preserve">We argue that three product-strategy frameworks — public value, scientific quality, operations and finance — map onto research data resources, that their weight shifts predictably across a resource’s lifecycle, and that ignoring this shift misallocates funding.</w:t>
            </w:r>
            <w:r>
              <w:t xml:space="preserve"> </w:t>
            </w:r>
            <w:r>
              <w:t xml:space="preserve">The NIH Common Fund Data Ecosystem operationalizes the model across 19 programs in real time.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Significance statement</dc:title>
  <dc:creator/>
  <cp:keywords/>
  <dcterms:created xsi:type="dcterms:W3CDTF">2026-05-17T12:23:33Z</dcterms:created>
  <dcterms:modified xsi:type="dcterms:W3CDTF">2026-05-17T12:23:33Z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assets/trends-journals.csl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Lifecycle-aware evaluation of biomedical data ecosystems</vt:lpwstr>
  </property>
  <property fmtid="{D5CDD505-2E9C-101B-9397-08002B2CF9AE}" pid="11" name="toc-title">
    <vt:lpwstr>Table of contents</vt:lpwstr>
  </property>
</Properties>
</file>