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the key practical contribution we describe.</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w:t>
      </w:r>
      <w:r>
        <w:t xml:space="preserve"> </w:t>
      </w:r>
      <w:r>
        <w:t xml:space="preserve">Closing the gap likely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w:t>
      </w:r>
      <w:r>
        <w:t xml:space="preserve">— and compute-level metrics —</w:t>
      </w:r>
      <w:r>
        <w:t xml:space="preserve">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 mathematical models suggest aggregate research-community gains from reuse do not always outweigh the curation costs borne by data generators, which argues for selective investment in high-value datasets rather than uniform support.</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What the implementation demonstrates is not that the metric set is final — it is that lifecycle-aware portfolio evaluation is operationally tractable at NIH scale, in near real time, with the burden on individual projects manageable.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2026-05-16T22:16:45Z</dcterms:created>
  <dcterms:modified xsi:type="dcterms:W3CDTF">2026-05-16T22:16:45Z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