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Lifecycle-aware evaluation of biomedical data ecosystems</w:t>
      </w:r>
    </w:p>
    <w:p>
      <w:pPr>
        <w:pStyle w:val="Author"/>
      </w:pPr>
      <w:r>
        <w:t xml:space="preserve">Ethan M. Lange</w:t>
      </w:r>
    </w:p>
    <w:p>
      <w:pPr>
        <w:pStyle w:val="Author"/>
      </w:pPr>
      <w:r>
        <w:t xml:space="preserve">Vikram Adithya Ganesh</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Public biomedical data resources have become central scientific</w:t>
      </w:r>
      <w:r>
        <w:t xml:space="preserve"> </w:t>
      </w:r>
      <w:r>
        <w:t xml:space="preserve">infrastructure, but evaluation of these investments is fragmented: each</w:t>
      </w:r>
      <w:r>
        <w:t xml:space="preserve"> </w:t>
      </w:r>
      <w:r>
        <w:t xml:space="preserve">funded program tracks different metrics in different ways, preventing</w:t>
      </w:r>
      <w:r>
        <w:t xml:space="preserve"> </w:t>
      </w:r>
      <w:r>
        <w:t xml:space="preserve">portfolio-level comparison and evidence-driven funding decisions. We</w:t>
      </w:r>
      <w:r>
        <w:t xml:space="preserve"> </w:t>
      </w:r>
      <w:r>
        <w:t xml:space="preserve">construct a structured approach built on three complementary</w:t>
      </w:r>
      <w:r>
        <w:t xml:space="preserve"> </w:t>
      </w:r>
      <w:r>
        <w:t xml:space="preserve">prioritization frameworks:</w:t>
      </w:r>
      <w:r>
        <w:t xml:space="preserve"> </w:t>
      </w:r>
      <w:r>
        <w:rPr>
          <w:i/>
          <w:iCs/>
        </w:rPr>
        <w:t xml:space="preserve">public value</w:t>
      </w:r>
      <w:r>
        <w:t xml:space="preserve"> </w:t>
      </w:r>
      <w:r>
        <w:t xml:space="preserve">(user engagement, citations,</w:t>
      </w:r>
      <w:r>
        <w:t xml:space="preserve"> </w:t>
      </w:r>
      <w:r>
        <w:t xml:space="preserve">funded grants),</w:t>
      </w:r>
      <w:r>
        <w:t xml:space="preserve"> </w:t>
      </w:r>
      <w:r>
        <w:rPr>
          <w:i/>
          <w:iCs/>
        </w:rPr>
        <w:t xml:space="preserve">scientific data quality</w:t>
      </w:r>
      <w:r>
        <w:t xml:space="preserve"> </w:t>
      </w:r>
      <w:r>
        <w:t xml:space="preserve">(metadata completeness, FAIR</w:t>
      </w:r>
      <w:r>
        <w:t xml:space="preserve"> </w:t>
      </w:r>
      <w:r>
        <w:t xml:space="preserve">compliance, data dictionaries), and</w:t>
      </w:r>
      <w:r>
        <w:t xml:space="preserve"> </w:t>
      </w:r>
      <w:r>
        <w:rPr>
          <w:i/>
          <w:iCs/>
        </w:rPr>
        <w:t xml:space="preserve">operations and finance</w:t>
      </w:r>
      <w:r>
        <w:t xml:space="preserve"> </w:t>
      </w:r>
      <w:r>
        <w:t xml:space="preserve">(infrastructure reliability, cost sustainability). The relative weight of</w:t>
      </w:r>
      <w:r>
        <w:t xml:space="preserve"> </w:t>
      </w:r>
      <w:r>
        <w:t xml:space="preserve">each framework shifts predictably across a resource’s lifecycle, and</w:t>
      </w:r>
      <w:r>
        <w:t xml:space="preserve"> </w:t>
      </w:r>
      <w:r>
        <w:t xml:space="preserve">uniform metric panels across phases misallocate funding as a result.</w:t>
      </w:r>
      <w:r>
        <w:t xml:space="preserve"> </w:t>
      </w:r>
      <w:r>
        <w:t xml:space="preserve">Drawing on the NIH Common Fund Data Ecosystem, we describe a</w:t>
      </w:r>
      <w:r>
        <w:t xml:space="preserve"> </w:t>
      </w:r>
      <w:r>
        <w:t xml:space="preserve">portfolio-wide dashboard that operationalizes the framework across 19</w:t>
      </w:r>
      <w:r>
        <w:t xml:space="preserve"> </w:t>
      </w:r>
      <w:r>
        <w:t xml:space="preserve">programs in near real time.</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rPr>
          <w:vertAlign w:val="superscript"/>
        </w:rPr>
        <w:t xml:space="preserve">i</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[5,6]</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Embedding this lifecycle logic into evaluation design, rather than applying uniform metrics across all phases, is the key practical contribution we describe.</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[7,8]</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[9]</w:t>
      </w:r>
      <w:r>
        <w:t xml:space="preserve">.</w:t>
      </w:r>
      <w:r>
        <w:t xml:space="preserve"> </w:t>
      </w:r>
      <w:r>
        <w:t xml:space="preserve">Citation counts lag actual use by months to years</w:t>
      </w:r>
      <w:r>
        <w:t xml:space="preserve"> </w:t>
      </w:r>
      <w:r>
        <w:t xml:space="preserve">[10]</w:t>
      </w:r>
      <w:r>
        <w:t xml:space="preserve">, and journal-scoring alternatives that weight by citing-paper properties better capture subject-specific repository impact than raw counts</w:t>
      </w:r>
      <w:r>
        <w:t xml:space="preserve"> </w:t>
      </w:r>
      <w:r>
        <w:t xml:space="preserve">[11]</w:t>
      </w:r>
      <w:r>
        <w:t xml:space="preserve">.</w:t>
      </w:r>
      <w:r>
        <w:t xml:space="preserve"> </w:t>
      </w:r>
      <w:r>
        <w:t xml:space="preserve">The deeper problem is the citation gap: fewer than 30% of secondary analyses formally cite their source data</w:t>
      </w:r>
      <w:r>
        <w:t xml:space="preserve"> </w:t>
      </w:r>
      <w:r>
        <w:t xml:space="preserve">[12]</w:t>
      </w:r>
      <w:r>
        <w:t xml:space="preserve">.</w:t>
      </w:r>
      <w:r>
        <w:t xml:space="preserve"> </w:t>
      </w:r>
      <w:r>
        <w:t xml:space="preserve">Standard bibliometrics therefore systematically understate reuse.</w:t>
      </w:r>
      <w:r>
        <w:t xml:space="preserve"> </w:t>
      </w:r>
      <w:r>
        <w:t xml:space="preserve">Closing the gap likely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[12]</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[13]</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[14]</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p>
    <w:bookmarkEnd w:id="14"/>
    <w:bookmarkStart w:id="15" w:name="scientific-quality"/>
    <w:p>
      <w:pPr>
        <w:pStyle w:val="Heading3"/>
      </w:pPr>
      <w:r>
        <w:t xml:space="preserve">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[15]</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[16]</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[17]</w:t>
      </w:r>
      <w:r>
        <w:t xml:space="preserve">, and inclusion in curated ecosystems like Bioconductor</w:t>
      </w:r>
      <w:r>
        <w:t xml:space="preserve"> </w:t>
      </w:r>
      <w:r>
        <w:t xml:space="preserve">[18]</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[19]</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[19]</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[8]</w:t>
      </w:r>
      <w:r>
        <w:t xml:space="preserve"> </w:t>
      </w:r>
      <w:r>
        <w:t xml:space="preserve">is essential for the CFDE, where the volume of metadata prevents manual audit.</w:t>
      </w:r>
      <w:r>
        <w:t xml:space="preserve"> </w:t>
      </w:r>
      <w:r>
        <w:t xml:space="preserve">The FAIRplus Dataset Maturity (FAIRplus-DSM) model</w:t>
      </w:r>
      <w:r>
        <w:t xml:space="preserve"> </w:t>
      </w:r>
      <w:r>
        <w:rPr>
          <w:vertAlign w:val="superscript"/>
        </w:rPr>
        <w:t xml:space="preserve">ii</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[8]</w:t>
      </w:r>
      <w:r>
        <w:t xml:space="preserve">.</w:t>
      </w:r>
    </w:p>
    <w:bookmarkEnd w:id="15"/>
    <w:bookmarkStart w:id="17" w:name="operations-and-finance"/>
    <w:p>
      <w:pPr>
        <w:pStyle w:val="Heading3"/>
      </w:pPr>
      <w:r>
        <w:t xml:space="preserve">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t xml:space="preserve">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w:t>
      </w:r>
      <w:r>
        <w:t xml:space="preserve">— and compute-level metrics —</w:t>
      </w:r>
      <w:r>
        <w:t xml:space="preserve">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rPr>
          <w:vertAlign w:val="superscript"/>
        </w:rPr>
        <w:t xml:space="preserve">i</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rPr>
          <w:vertAlign w:val="superscript"/>
        </w:rPr>
        <w:t xml:space="preserve">iii</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[20]</w:t>
      </w:r>
      <w:r>
        <w:t xml:space="preserve">.</w:t>
      </w:r>
    </w:p>
    <w:p>
      <w:pPr>
        <w:pStyle w:val="BodyText"/>
      </w:pPr>
      <w:r>
        <w:t xml:space="preserve">The harder sustainability question is the break-even point for data sharing: mathematical models suggest aggregate research-community gains from reuse do not always outweigh the curation costs borne by data generators, which argues for selective investment in high-value datasets rather than uniform support.</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r>
        <w:t xml:space="preserve">Table</w:t>
      </w:r>
      <w:r>
        <w:t xml:space="preserve"> </w:t>
      </w: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(Table</w:t>
      </w:r>
      <w:r>
        <w:t xml:space="preser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(Figure</w:t>
      </w:r>
      <w:r>
        <w:t xml:space="preserve">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[21]</w:t>
      </w:r>
      <w:r>
        <w:t xml:space="preserve"> </w:t>
      </w:r>
      <w:r>
        <w:t xml:space="preserve">add the qualitative dimension that usage statistics cannot capture.</w:t>
      </w:r>
      <w:r>
        <w:t xml:space="preserve"> </w:t>
      </w:r>
      <w:r>
        <w:t xml:space="preserve">What the implementation demonstrates is not that the metric set is final — it is that lifecycle-aware portfolio evaluation is operationally tractable at NIH scale, in near real time, with the burden on individual projects manageable.</w:t>
      </w:r>
    </w:p>
    <w:bookmarkEnd w:id="23"/>
    <w:bookmarkStart w:id="24" w:name="concluding-remarks"/>
    <w:p>
      <w:pPr>
        <w:pStyle w:val="Heading2"/>
      </w:pPr>
      <w:r>
        <w:t xml:space="preserve">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rPr>
          <w:vertAlign w:val="superscript"/>
        </w:rPr>
        <w:t xml:space="preserve">iv</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[22]</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[23]</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rPr>
          <w:vertAlign w:val="superscript"/>
        </w:rPr>
        <w:t xml:space="preserve">v</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[24]</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[25]</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rPr>
          <w:vertAlign w:val="superscript"/>
        </w:rPr>
        <w:t xml:space="preserve">vi</w:t>
      </w:r>
      <w:r>
        <w:t xml:space="preserve">, and the 2023 Data Management and Sharing Policy creates a structural opportunity to establish pre-policy baselines for sharing and reuse — a rare chance to test rigorously whether mandates translate into measurable ecosystem improvements.</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rPr>
          <w:vertAlign w:val="superscript"/>
        </w:rPr>
        <w:t xml:space="preserve">vii</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33" w:name="resources"/>
    <w:p>
      <w:pPr>
        <w:pStyle w:val="Heading2"/>
      </w:pPr>
      <w:r>
        <w:t xml:space="preserve">Resources</w:t>
      </w:r>
    </w:p>
    <w:p>
      <w:pPr>
        <w:pStyle w:val="FirstParagraph"/>
      </w:pPr>
      <w:r>
        <w:rPr>
          <w:vertAlign w:val="superscript"/>
        </w:rPr>
        <w:t xml:space="preserve">i</w:t>
      </w:r>
      <w:r>
        <w:t xml:space="preserve"> </w:t>
      </w:r>
      <w:r>
        <w:t xml:space="preserve">Council of Councils CFDE Working Group, Final Report:</w:t>
      </w:r>
      <w:r>
        <w:t xml:space="preserve"> </w:t>
      </w:r>
      <w:hyperlink r:id="rId26">
        <w:r>
          <w:rPr>
            <w:rStyle w:val="Hyperlink"/>
          </w:rPr>
          <w:t xml:space="preserve">https://dpcpsi.nih.gov/sites/default/files/Day2-1225PM-Final-Report-CFDE-CoC-WG-HorwitzWilder_.pdf</w:t>
        </w:r>
      </w:hyperlink>
    </w:p>
    <w:p>
      <w:pPr>
        <w:pStyle w:val="BodyText"/>
      </w:pPr>
      <w:r>
        <w:rPr>
          <w:vertAlign w:val="superscript"/>
        </w:rPr>
        <w:t xml:space="preserve">ii</w:t>
      </w:r>
      <w:r>
        <w:t xml:space="preserve"> </w:t>
      </w:r>
      <w:r>
        <w:t xml:space="preserve">FAIRplus Dataset Maturity (FAIRplus-DSM) Indicators:</w:t>
      </w:r>
      <w:r>
        <w:t xml:space="preserve"> </w:t>
      </w:r>
      <w:hyperlink r:id="rId27">
        <w:r>
          <w:rPr>
            <w:rStyle w:val="Hyperlink"/>
          </w:rPr>
          <w:t xml:space="preserve">https://fairplus.github.io/Data-Maturity/docs/Indicators</w:t>
        </w:r>
      </w:hyperlink>
    </w:p>
    <w:p>
      <w:pPr>
        <w:pStyle w:val="BodyText"/>
      </w:pPr>
      <w:r>
        <w:rPr>
          <w:vertAlign w:val="superscript"/>
        </w:rPr>
        <w:t xml:space="preserve">iii</w:t>
      </w:r>
      <w:r>
        <w:t xml:space="preserve"> </w:t>
      </w:r>
      <w:r>
        <w:t xml:space="preserve">National Academies, Open Science by Design: Realizing a Vision for 21st Century Research:</w:t>
      </w:r>
      <w:r>
        <w:t xml:space="preserve"> </w:t>
      </w:r>
      <w:hyperlink r:id="rId28">
        <w:r>
          <w:rPr>
            <w:rStyle w:val="Hyperlink"/>
          </w:rPr>
          <w:t xml:space="preserve">https://www.ncbi.nlm.nih.gov/books/NBK562708</w:t>
        </w:r>
      </w:hyperlink>
    </w:p>
    <w:p>
      <w:pPr>
        <w:pStyle w:val="BodyText"/>
      </w:pPr>
      <w:r>
        <w:rPr>
          <w:vertAlign w:val="superscript"/>
        </w:rPr>
        <w:t xml:space="preserve">iv</w:t>
      </w:r>
      <w:r>
        <w:t xml:space="preserve"> </w:t>
      </w:r>
      <w:r>
        <w:t xml:space="preserve">NIH Common Fund Data Ecosystem:</w:t>
      </w:r>
      <w:r>
        <w:t xml:space="preserve"> </w:t>
      </w:r>
      <w:hyperlink r:id="rId29">
        <w:r>
          <w:rPr>
            <w:rStyle w:val="Hyperlink"/>
          </w:rPr>
          <w:t xml:space="preserve">https://commonfund.nih.gov/dataecosystem</w:t>
        </w:r>
      </w:hyperlink>
    </w:p>
    <w:p>
      <w:pPr>
        <w:pStyle w:val="BodyText"/>
      </w:pPr>
      <w:r>
        <w:rPr>
          <w:vertAlign w:val="superscript"/>
        </w:rPr>
        <w:t xml:space="preserve">v</w:t>
      </w:r>
      <w:r>
        <w:t xml:space="preserve"> </w:t>
      </w:r>
      <w:r>
        <w:t xml:space="preserve">W. K. Kellogg Foundation, Logic Model Development Guide:</w:t>
      </w:r>
      <w:r>
        <w:t xml:space="preserve"> </w:t>
      </w:r>
      <w:hyperlink r:id="rId30">
        <w:r>
          <w:rPr>
            <w:rStyle w:val="Hyperlink"/>
          </w:rPr>
          <w:t xml:space="preserve">https://www.wkkf.org/resource-directory/resources/2004/01/logic-model-development-guide</w:t>
        </w:r>
      </w:hyperlink>
    </w:p>
    <w:p>
      <w:pPr>
        <w:pStyle w:val="BodyText"/>
      </w:pPr>
      <w:r>
        <w:rPr>
          <w:vertAlign w:val="superscript"/>
        </w:rPr>
        <w:t xml:space="preserve">vi</w:t>
      </w:r>
      <w:r>
        <w:t xml:space="preserve"> </w:t>
      </w:r>
      <w:r>
        <w:t xml:space="preserve">NIH NOT-OD-21-013 (Final NIH Policy for Data Management and Sharing):</w:t>
      </w:r>
      <w:r>
        <w:t xml:space="preserve"> </w:t>
      </w:r>
      <w:hyperlink r:id="rId31">
        <w:r>
          <w:rPr>
            <w:rStyle w:val="Hyperlink"/>
          </w:rPr>
          <w:t xml:space="preserve">https://grants.nih.gov/grants/guide/notice-files/NOT-OD-21-013.html</w:t>
        </w:r>
      </w:hyperlink>
    </w:p>
    <w:p>
      <w:pPr>
        <w:pStyle w:val="BodyText"/>
      </w:pPr>
      <w:r>
        <w:rPr>
          <w:vertAlign w:val="superscript"/>
        </w:rPr>
        <w:t xml:space="preserve">vii</w:t>
      </w:r>
      <w:r>
        <w:t xml:space="preserve"> </w:t>
      </w:r>
      <w:r>
        <w:t xml:space="preserve">GA4GH Strategic Roadmap:</w:t>
      </w:r>
      <w:r>
        <w:t xml:space="preserve"> </w:t>
      </w:r>
      <w:hyperlink r:id="rId32">
        <w:r>
          <w:rPr>
            <w:rStyle w:val="Hyperlink"/>
          </w:rPr>
          <w:t xml:space="preserve">https://www.ga4gh.org/about-us/strategic-road-map</w:t>
        </w:r>
      </w:hyperlink>
    </w:p>
    <w:bookmarkEnd w:id="33"/>
    <w:bookmarkStart w:id="34" w:name="author-contributions"/>
    <w:p>
      <w:pPr>
        <w:pStyle w:val="Heading2"/>
      </w:pPr>
      <w:r>
        <w:t xml:space="preserve">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34"/>
    <w:bookmarkStart w:id="38"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bookmarkEnd w:id="38"/>
    <w:bookmarkStart w:id="88" w:name="references"/>
    <w:p>
      <w:pPr>
        <w:pStyle w:val="Heading1"/>
      </w:pPr>
      <w:r>
        <w:t xml:space="preserve">References</w:t>
      </w:r>
    </w:p>
    <w:bookmarkStart w:id="87" w:name="refs"/>
    <w:bookmarkStart w:id="40" w:name="ref-pmid:24071849"/>
    <w:p>
      <w:pPr>
        <w:pStyle w:val="Bibliography"/>
      </w:pPr>
      <w:r>
        <w:t xml:space="preserve">1.</w:t>
      </w:r>
      <w:r>
        <w:t xml:space="preserve"> </w:t>
      </w:r>
      <w:r>
        <w:t xml:space="preserve">	</w:t>
      </w:r>
      <w:r>
        <w:rPr>
          <w:i/>
          <w:iCs/>
        </w:rPr>
        <w:t xml:space="preserve">et al.</w:t>
      </w:r>
      <w:r>
        <w:t xml:space="preserve"> </w:t>
      </w:r>
      <w:r>
        <w:t xml:space="preserve">(2013)</w:t>
      </w:r>
      <w:r>
        <w:t xml:space="preserve"> </w:t>
      </w:r>
      <w:hyperlink r:id="rId39">
        <w:r>
          <w:rPr>
            <w:rStyle w:val="Hyperlink"/>
          </w:rPr>
          <w:t xml:space="preserve">The Cancer Genome Atlas Pan-Cancer analysis project.</w:t>
        </w:r>
      </w:hyperlink>
      <w:r>
        <w:t xml:space="preserve"> </w:t>
      </w:r>
      <w:r>
        <w:rPr>
          <w:i/>
          <w:iCs/>
        </w:rPr>
        <w:t xml:space="preserve">Nat Genet</w:t>
      </w:r>
      <w:r>
        <w:t xml:space="preserve"> </w:t>
      </w:r>
      <w:r>
        <w:t xml:space="preserve">45, 1113–20</w:t>
      </w:r>
    </w:p>
    <w:bookmarkEnd w:id="40"/>
    <w:bookmarkStart w:id="42" w:name="ref-doi:10.1038/ng.2653"/>
    <w:p>
      <w:pPr>
        <w:pStyle w:val="Bibliography"/>
      </w:pPr>
      <w:r>
        <w:t xml:space="preserve">2.</w:t>
      </w:r>
      <w:r>
        <w:t xml:space="preserve"> </w:t>
      </w:r>
      <w:r>
        <w:t xml:space="preserve">	</w:t>
      </w:r>
      <w:r>
        <w:t xml:space="preserve">Lonsdale, J.</w:t>
      </w:r>
      <w:r>
        <w:t xml:space="preserve"> </w:t>
      </w:r>
      <w:r>
        <w:rPr>
          <w:i/>
          <w:iCs/>
        </w:rPr>
        <w:t xml:space="preserve">et al.</w:t>
      </w:r>
      <w:r>
        <w:t xml:space="preserve"> </w:t>
      </w:r>
      <w:r>
        <w:t xml:space="preserve">(2013)</w:t>
      </w:r>
      <w:r>
        <w:t xml:space="preserve"> </w:t>
      </w:r>
      <w:hyperlink r:id="rId41">
        <w:r>
          <w:rPr>
            <w:rStyle w:val="Hyperlink"/>
          </w:rPr>
          <w:t xml:space="preserve">The Genotype-Tissue Expression (GTEx) project</w:t>
        </w:r>
      </w:hyperlink>
      <w:r>
        <w:t xml:space="preserve">.</w:t>
      </w:r>
      <w:r>
        <w:t xml:space="preserve"> </w:t>
      </w:r>
      <w:r>
        <w:rPr>
          <w:i/>
          <w:iCs/>
        </w:rPr>
        <w:t xml:space="preserve">Nat Genet</w:t>
      </w:r>
      <w:r>
        <w:t xml:space="preserve"> </w:t>
      </w:r>
      <w:r>
        <w:t xml:space="preserve">45, 580–585</w:t>
      </w:r>
    </w:p>
    <w:bookmarkEnd w:id="42"/>
    <w:bookmarkStart w:id="44" w:name="ref-doi:10.1056/NEJMsr1809937"/>
    <w:p>
      <w:pPr>
        <w:pStyle w:val="Bibliography"/>
      </w:pPr>
      <w:r>
        <w:t xml:space="preserve">3.</w:t>
      </w:r>
      <w:r>
        <w:t xml:space="preserve"> </w:t>
      </w:r>
      <w:r>
        <w:t xml:space="preserve">	</w:t>
      </w:r>
      <w:r>
        <w:t xml:space="preserve">(2019)</w:t>
      </w:r>
      <w:r>
        <w:t xml:space="preserve"> </w:t>
      </w:r>
      <w:hyperlink r:id="rId43">
        <w:r>
          <w:rPr>
            <w:rStyle w:val="Hyperlink"/>
          </w:rPr>
          <w:t xml:space="preserve">The</w:t>
        </w:r>
        <w:r>
          <w:rPr>
            <w:rStyle w:val="Hyperlink"/>
          </w:rPr>
          <w:t xml:space="preserve"> </w:t>
        </w:r>
        <w:r>
          <w:rPr>
            <w:rStyle w:val="Hyperlink"/>
          </w:rPr>
          <w:t xml:space="preserve">“All of Us”</w:t>
        </w:r>
        <w:r>
          <w:rPr>
            <w:rStyle w:val="Hyperlink"/>
          </w:rPr>
          <w:t xml:space="preserve"> </w:t>
        </w:r>
        <w:r>
          <w:rPr>
            <w:rStyle w:val="Hyperlink"/>
          </w:rPr>
          <w:t xml:space="preserve">Research Program</w:t>
        </w:r>
      </w:hyperlink>
      <w:r>
        <w:t xml:space="preserve">.</w:t>
      </w:r>
      <w:r>
        <w:t xml:space="preserve"> </w:t>
      </w:r>
      <w:r>
        <w:rPr>
          <w:i/>
          <w:iCs/>
        </w:rPr>
        <w:t xml:space="preserve">N Engl J Med</w:t>
      </w:r>
      <w:r>
        <w:t xml:space="preserve"> </w:t>
      </w:r>
      <w:r>
        <w:t xml:space="preserve">381, 668–676</w:t>
      </w:r>
    </w:p>
    <w:bookmarkEnd w:id="44"/>
    <w:bookmarkStart w:id="46" w:name="ref-doi:10.1093/gigascience/giac105"/>
    <w:p>
      <w:pPr>
        <w:pStyle w:val="Bibliography"/>
      </w:pPr>
      <w:r>
        <w:t xml:space="preserve">4.</w:t>
      </w:r>
      <w:r>
        <w:t xml:space="preserve"> </w:t>
      </w:r>
      <w:r>
        <w:t xml:space="preserve">	</w:t>
      </w:r>
      <w:r>
        <w:t xml:space="preserve">Charbonneau, A.L.</w:t>
      </w:r>
      <w:r>
        <w:t xml:space="preserve"> </w:t>
      </w:r>
      <w:r>
        <w:rPr>
          <w:i/>
          <w:iCs/>
        </w:rPr>
        <w:t xml:space="preserve">et al.</w:t>
      </w:r>
      <w:r>
        <w:t xml:space="preserve"> </w:t>
      </w:r>
      <w:r>
        <w:t xml:space="preserve">(2022)</w:t>
      </w:r>
      <w:r>
        <w:t xml:space="preserve"> </w:t>
      </w:r>
      <w:hyperlink r:id="rId45">
        <w:r>
          <w:rPr>
            <w:rStyle w:val="Hyperlink"/>
          </w:rPr>
          <w:t xml:space="preserve">Making Common Fund data more findable: catalyzing a data ecosystem</w:t>
        </w:r>
      </w:hyperlink>
      <w:r>
        <w:t xml:space="preserve">.</w:t>
      </w:r>
      <w:r>
        <w:t xml:space="preserve"> </w:t>
      </w:r>
      <w:r>
        <w:rPr>
          <w:i/>
          <w:iCs/>
        </w:rPr>
        <w:t xml:space="preserve">GigaScience</w:t>
      </w:r>
      <w:r>
        <w:t xml:space="preserve"> </w:t>
      </w:r>
      <w:r>
        <w:t xml:space="preserve">11</w:t>
      </w:r>
    </w:p>
    <w:bookmarkEnd w:id="46"/>
    <w:bookmarkStart w:id="47" w:name="ref-isbn:9780471465102"/>
    <w:p>
      <w:pPr>
        <w:pStyle w:val="Bibliography"/>
      </w:pPr>
      <w:r>
        <w:t xml:space="preserve">5.</w:t>
      </w:r>
      <w:r>
        <w:t xml:space="preserve"> </w:t>
      </w:r>
      <w:r>
        <w:t xml:space="preserve">	</w:t>
      </w:r>
      <w:r>
        <w:t xml:space="preserve">Keeney, R.L. and Raiffa, H. (1976)</w:t>
      </w:r>
      <w:r>
        <w:t xml:space="preserve"> </w:t>
      </w:r>
      <w:r>
        <w:rPr>
          <w:i/>
          <w:iCs/>
        </w:rPr>
        <w:t xml:space="preserve">Decisions with multiple objectives: preferences and value tradeoffs</w:t>
      </w:r>
      <w:r>
        <w:t xml:space="preserve">, Wiley</w:t>
      </w:r>
    </w:p>
    <w:bookmarkEnd w:id="47"/>
    <w:bookmarkStart w:id="48" w:name="ref-isbn:9780792375067"/>
    <w:p>
      <w:pPr>
        <w:pStyle w:val="Bibliography"/>
      </w:pPr>
      <w:r>
        <w:t xml:space="preserve">6.</w:t>
      </w:r>
      <w:r>
        <w:t xml:space="preserve"> </w:t>
      </w:r>
      <w:r>
        <w:t xml:space="preserve">	</w:t>
      </w:r>
      <w:r>
        <w:t xml:space="preserve">Eloff, J.H.P., ed. (2001)</w:t>
      </w:r>
      <w:r>
        <w:t xml:space="preserve"> </w:t>
      </w:r>
      <w:r>
        <w:rPr>
          <w:i/>
          <w:i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Kluwer Academic Publishers</w:t>
      </w:r>
    </w:p>
    <w:bookmarkEnd w:id="48"/>
    <w:bookmarkStart w:id="50" w:name="ref-doi:10.1038/sdata.2016.18"/>
    <w:p>
      <w:pPr>
        <w:pStyle w:val="Bibliography"/>
      </w:pPr>
      <w:r>
        <w:t xml:space="preserve">7.</w:t>
      </w:r>
      <w:r>
        <w:t xml:space="preserve"> </w:t>
      </w:r>
      <w:r>
        <w:t xml:space="preserve">	</w:t>
      </w:r>
      <w:r>
        <w:t xml:space="preserve">Wilkinson, M.D.</w:t>
      </w:r>
      <w:r>
        <w:t xml:space="preserve"> </w:t>
      </w:r>
      <w:r>
        <w:rPr>
          <w:i/>
          <w:iCs/>
        </w:rPr>
        <w:t xml:space="preserve">et al.</w:t>
      </w:r>
      <w:r>
        <w:t xml:space="preserve"> </w:t>
      </w:r>
      <w:r>
        <w:t xml:space="preserve">(2016)</w:t>
      </w:r>
      <w:r>
        <w:t xml:space="preserve"> </w:t>
      </w:r>
      <w:hyperlink r:id="rId49">
        <w:r>
          <w:rPr>
            <w:rStyle w:val="Hyperlink"/>
          </w:rPr>
          <w:t xml:space="preserve">The FAIR Guiding Principles for scientific data management and stewardship</w:t>
        </w:r>
      </w:hyperlink>
      <w:r>
        <w:t xml:space="preserve">.</w:t>
      </w:r>
      <w:r>
        <w:t xml:space="preserve"> </w:t>
      </w:r>
      <w:r>
        <w:rPr>
          <w:i/>
          <w:iCs/>
        </w:rPr>
        <w:t xml:space="preserve">Sci Data</w:t>
      </w:r>
      <w:r>
        <w:t xml:space="preserve"> </w:t>
      </w:r>
      <w:r>
        <w:t xml:space="preserve">3</w:t>
      </w:r>
    </w:p>
    <w:bookmarkEnd w:id="50"/>
    <w:bookmarkStart w:id="52" w:name="ref-doi:10.1038/sdata.2018.118"/>
    <w:p>
      <w:pPr>
        <w:pStyle w:val="Bibliography"/>
      </w:pPr>
      <w:r>
        <w:t xml:space="preserve">8.</w:t>
      </w:r>
      <w:r>
        <w:t xml:space="preserve"> </w:t>
      </w:r>
      <w:r>
        <w:t xml:space="preserve">	</w:t>
      </w:r>
      <w:r>
        <w:t xml:space="preserve">Wilkinson, M.D.</w:t>
      </w:r>
      <w:r>
        <w:t xml:space="preserve"> </w:t>
      </w:r>
      <w:r>
        <w:rPr>
          <w:i/>
          <w:iCs/>
        </w:rPr>
        <w:t xml:space="preserve">et al.</w:t>
      </w:r>
      <w:r>
        <w:t xml:space="preserve"> </w:t>
      </w:r>
      <w:r>
        <w:t xml:space="preserve">(2018)</w:t>
      </w:r>
      <w:r>
        <w:t xml:space="preserve"> </w:t>
      </w:r>
      <w:hyperlink r:id="rId51">
        <w:r>
          <w:rPr>
            <w:rStyle w:val="Hyperlink"/>
          </w:rPr>
          <w:t xml:space="preserve">A design framework and exemplar metrics for FAIRness</w:t>
        </w:r>
      </w:hyperlink>
      <w:r>
        <w:t xml:space="preserve">.</w:t>
      </w:r>
      <w:r>
        <w:t xml:space="preserve"> </w:t>
      </w:r>
      <w:r>
        <w:rPr>
          <w:i/>
          <w:iCs/>
        </w:rPr>
        <w:t xml:space="preserve">Sci Data</w:t>
      </w:r>
      <w:r>
        <w:t xml:space="preserve"> </w:t>
      </w:r>
      <w:r>
        <w:t xml:space="preserve">5</w:t>
      </w:r>
    </w:p>
    <w:bookmarkEnd w:id="52"/>
    <w:bookmarkStart w:id="54" w:name="ref-doi:10.1371/journal.pone.0311493"/>
    <w:p>
      <w:pPr>
        <w:pStyle w:val="Bibliography"/>
      </w:pPr>
      <w:r>
        <w:t xml:space="preserve">9.</w:t>
      </w:r>
      <w:r>
        <w:t xml:space="preserve"> </w:t>
      </w:r>
      <w:r>
        <w:t xml:space="preserve">	</w:t>
      </w:r>
      <w:r>
        <w:t xml:space="preserve">Colavizza, G.</w:t>
      </w:r>
      <w:r>
        <w:t xml:space="preserve"> </w:t>
      </w:r>
      <w:r>
        <w:rPr>
          <w:i/>
          <w:iCs/>
        </w:rPr>
        <w:t xml:space="preserve">et al.</w:t>
      </w:r>
      <w:r>
        <w:t xml:space="preserve"> </w:t>
      </w:r>
      <w:r>
        <w:t xml:space="preserve">(2024)</w:t>
      </w:r>
      <w:r>
        <w:t xml:space="preserve"> </w:t>
      </w:r>
      <w:hyperlink r:id="rId53">
        <w:r>
          <w:rPr>
            <w:rStyle w:val="Hyperlink"/>
          </w:rPr>
          <w:t xml:space="preserve">An analysis of the effects of sharing research data, code, and preprints on citations</w:t>
        </w:r>
      </w:hyperlink>
      <w:r>
        <w:t xml:space="preserve">.</w:t>
      </w:r>
      <w:r>
        <w:t xml:space="preserve"> </w:t>
      </w:r>
      <w:r>
        <w:rPr>
          <w:i/>
          <w:iCs/>
        </w:rPr>
        <w:t xml:space="preserve">PLoS ONE</w:t>
      </w:r>
      <w:r>
        <w:t xml:space="preserve"> </w:t>
      </w:r>
      <w:r>
        <w:t xml:space="preserve">19, e0311493</w:t>
      </w:r>
    </w:p>
    <w:bookmarkEnd w:id="54"/>
    <w:bookmarkStart w:id="56" w:name="ref-doi:10.1038/520429a"/>
    <w:p>
      <w:pPr>
        <w:pStyle w:val="Bibliography"/>
      </w:pPr>
      <w:r>
        <w:t xml:space="preserve">10.</w:t>
      </w:r>
      <w:r>
        <w:t xml:space="preserve"> </w:t>
      </w:r>
      <w:r>
        <w:t xml:space="preserve">	</w:t>
      </w:r>
      <w:r>
        <w:t xml:space="preserve">Hicks, D.</w:t>
      </w:r>
      <w:r>
        <w:t xml:space="preserve"> </w:t>
      </w:r>
      <w:r>
        <w:rPr>
          <w:i/>
          <w:iCs/>
        </w:rPr>
        <w:t xml:space="preserve">et al.</w:t>
      </w:r>
      <w:r>
        <w:t xml:space="preserve"> </w:t>
      </w:r>
      <w:r>
        <w:t xml:space="preserve">(2015)</w:t>
      </w:r>
      <w:r>
        <w:t xml:space="preserve"> </w:t>
      </w:r>
      <w:hyperlink r:id="rId55">
        <w:r>
          <w:rPr>
            <w:rStyle w:val="Hyperlink"/>
          </w:rPr>
          <w:t xml:space="preserve">Bibliometrics: The Leiden Manifesto for research metrics</w:t>
        </w:r>
      </w:hyperlink>
      <w:r>
        <w:t xml:space="preserve">.</w:t>
      </w:r>
      <w:r>
        <w:t xml:space="preserve"> </w:t>
      </w:r>
      <w:r>
        <w:rPr>
          <w:i/>
          <w:iCs/>
        </w:rPr>
        <w:t xml:space="preserve">Nature</w:t>
      </w:r>
      <w:r>
        <w:t xml:space="preserve"> </w:t>
      </w:r>
      <w:r>
        <w:t xml:space="preserve">520, 429–431</w:t>
      </w:r>
    </w:p>
    <w:bookmarkEnd w:id="56"/>
    <w:bookmarkStart w:id="58" w:name="ref-doi:10.4103/1008-682X.171582"/>
    <w:p>
      <w:pPr>
        <w:pStyle w:val="Bibliography"/>
      </w:pPr>
      <w:r>
        <w:t xml:space="preserve">11.</w:t>
      </w:r>
      <w:r>
        <w:t xml:space="preserve"> </w:t>
      </w:r>
      <w:r>
        <w:t xml:space="preserve">	</w:t>
      </w:r>
      <w:r>
        <w:t xml:space="preserve">Agarwal, A.</w:t>
      </w:r>
      <w:r>
        <w:t xml:space="preserve"> </w:t>
      </w:r>
      <w:r>
        <w:rPr>
          <w:i/>
          <w:iCs/>
        </w:rPr>
        <w:t xml:space="preserve">et al.</w:t>
      </w:r>
      <w:r>
        <w:t xml:space="preserve"> </w:t>
      </w:r>
      <w:r>
        <w:t xml:space="preserve">(2016)</w:t>
      </w:r>
      <w:r>
        <w:t xml:space="preserve"> </w:t>
      </w:r>
      <w:hyperlink r:id="rId57">
        <w:r>
          <w:rPr>
            <w:rStyle w:val="Hyperlink"/>
          </w:rPr>
          <w:t xml:space="preserve">Bibliometrics: tracking research impact by selecting the appropriate metrics</w:t>
        </w:r>
      </w:hyperlink>
      <w:r>
        <w:t xml:space="preserve">.</w:t>
      </w:r>
      <w:r>
        <w:t xml:space="preserve"> </w:t>
      </w:r>
      <w:r>
        <w:rPr>
          <w:i/>
          <w:iCs/>
        </w:rPr>
        <w:t xml:space="preserve">Asian J Androl</w:t>
      </w:r>
      <w:r>
        <w:t xml:space="preserve"> </w:t>
      </w:r>
      <w:r>
        <w:t xml:space="preserve">18, 296</w:t>
      </w:r>
    </w:p>
    <w:bookmarkEnd w:id="58"/>
    <w:bookmarkStart w:id="60" w:name="ref-doi:10.1101/2023.09.12.557386"/>
    <w:p>
      <w:pPr>
        <w:pStyle w:val="Bibliography"/>
      </w:pPr>
      <w:r>
        <w:t xml:space="preserve">12.</w:t>
      </w:r>
      <w:r>
        <w:t xml:space="preserve"> </w:t>
      </w:r>
      <w:r>
        <w:t xml:space="preserve">	</w:t>
      </w:r>
      <w:r>
        <w:t xml:space="preserve">Emissah, H.</w:t>
      </w:r>
      <w:r>
        <w:t xml:space="preserve"> </w:t>
      </w:r>
      <w:r>
        <w:rPr>
          <w:i/>
          <w:iCs/>
        </w:rPr>
        <w:t xml:space="preserve">et al.</w:t>
      </w:r>
      <w:r>
        <w:t xml:space="preserve"> </w:t>
      </w:r>
      <w:r>
        <w:t xml:space="preserve">(2023)</w:t>
      </w:r>
      <w:r>
        <w:t xml:space="preserve"> </w:t>
      </w:r>
      <w:hyperlink r:id="rId59">
        <w:r>
          <w:rPr>
            <w:rStyle w:val="Hyperlink"/>
          </w:rPr>
          <w:t xml:space="preserve">Bibliometric analysis of neuroscience publications quantifies the impact of data sharing</w:t>
        </w:r>
      </w:hyperlink>
      <w:r>
        <w:t xml:space="preserve">openRxiv</w:t>
      </w:r>
    </w:p>
    <w:bookmarkEnd w:id="60"/>
    <w:bookmarkStart w:id="62" w:name="ref-doi:10.2196/63544"/>
    <w:p>
      <w:pPr>
        <w:pStyle w:val="Bibliography"/>
      </w:pPr>
      <w:r>
        <w:t xml:space="preserve">13.</w:t>
      </w:r>
      <w:r>
        <w:t xml:space="preserve"> </w:t>
      </w:r>
      <w:r>
        <w:t xml:space="preserve">	</w:t>
      </w:r>
      <w:r>
        <w:t xml:space="preserve">Wang, D. and Liu, Y. (2025)</w:t>
      </w:r>
      <w:r>
        <w:t xml:space="preserve"> </w:t>
      </w:r>
      <w:hyperlink r:id="rId61">
        <w:r>
          <w:rPr>
            <w:rStyle w:val="Hyperlink"/>
          </w:rPr>
          <w:t xml:space="preserve">Medical Science Data Value Evaluation Model: Mixed Methods Study</w:t>
        </w:r>
      </w:hyperlink>
      <w:r>
        <w:t xml:space="preserve">.</w:t>
      </w:r>
      <w:r>
        <w:t xml:space="preserve"> </w:t>
      </w:r>
      <w:r>
        <w:rPr>
          <w:i/>
          <w:iCs/>
        </w:rPr>
        <w:t xml:space="preserve">JMIR Med Inform</w:t>
      </w:r>
      <w:r>
        <w:t xml:space="preserve"> </w:t>
      </w:r>
      <w:r>
        <w:t xml:space="preserve">13, e63544–e63544</w:t>
      </w:r>
    </w:p>
    <w:bookmarkEnd w:id="62"/>
    <w:bookmarkStart w:id="64" w:name="ref-doi:10.15265/IY-2014-0020"/>
    <w:p>
      <w:pPr>
        <w:pStyle w:val="Bibliography"/>
      </w:pPr>
      <w:r>
        <w:t xml:space="preserve">14.</w:t>
      </w:r>
      <w:r>
        <w:t xml:space="preserve"> </w:t>
      </w:r>
      <w:r>
        <w:t xml:space="preserve">	</w:t>
      </w:r>
      <w:r>
        <w:t xml:space="preserve">Verspoor, K. and Martin-Sanchez, F. (2014)</w:t>
      </w:r>
      <w:r>
        <w:t xml:space="preserve"> </w:t>
      </w:r>
      <w:hyperlink r:id="rId63">
        <w:r>
          <w:rPr>
            <w:rStyle w:val="Hyperlink"/>
          </w:rPr>
          <w:t xml:space="preserve">Big Data in Medicine Is Driving Big Changes</w:t>
        </w:r>
      </w:hyperlink>
      <w:r>
        <w:t xml:space="preserve">.</w:t>
      </w:r>
      <w:r>
        <w:t xml:space="preserve"> </w:t>
      </w:r>
      <w:r>
        <w:rPr>
          <w:i/>
          <w:iCs/>
        </w:rPr>
        <w:t xml:space="preserve">Yearb Med Inform</w:t>
      </w:r>
      <w:r>
        <w:t xml:space="preserve"> </w:t>
      </w:r>
      <w:r>
        <w:t xml:space="preserve">23, 14–20</w:t>
      </w:r>
    </w:p>
    <w:bookmarkEnd w:id="64"/>
    <w:bookmarkStart w:id="66" w:name="ref-doi:10.1371/journal.pone.0229003"/>
    <w:p>
      <w:pPr>
        <w:pStyle w:val="Bibliography"/>
      </w:pPr>
      <w:r>
        <w:t xml:space="preserve">15.</w:t>
      </w:r>
      <w:r>
        <w:t xml:space="preserve"> </w:t>
      </w:r>
      <w:r>
        <w:t xml:space="preserve">	</w:t>
      </w:r>
      <w:r>
        <w:t xml:space="preserve">Tenopir, C.</w:t>
      </w:r>
      <w:r>
        <w:t xml:space="preserve"> </w:t>
      </w:r>
      <w:r>
        <w:rPr>
          <w:i/>
          <w:iCs/>
        </w:rPr>
        <w:t xml:space="preserve">et al.</w:t>
      </w:r>
      <w:r>
        <w:t xml:space="preserve"> </w:t>
      </w:r>
      <w:r>
        <w:t xml:space="preserve">(2020)</w:t>
      </w:r>
      <w:r>
        <w:t xml:space="preserve"> </w:t>
      </w:r>
      <w:hyperlink r:id="rId65">
        <w:r>
          <w:rPr>
            <w:rStyle w:val="Hyperlink"/>
          </w:rPr>
          <w:t xml:space="preserve">Data sharing, management, use, and reuse: Practices and perceptions of scientists worldwide</w:t>
        </w:r>
      </w:hyperlink>
      <w:r>
        <w:t xml:space="preserve">.</w:t>
      </w:r>
      <w:r>
        <w:t xml:space="preserve"> </w:t>
      </w:r>
      <w:r>
        <w:rPr>
          <w:i/>
          <w:iCs/>
        </w:rPr>
        <w:t xml:space="preserve">PLoS ONE</w:t>
      </w:r>
      <w:r>
        <w:t xml:space="preserve"> </w:t>
      </w:r>
      <w:r>
        <w:t xml:space="preserve">15, e0229003</w:t>
      </w:r>
    </w:p>
    <w:bookmarkEnd w:id="66"/>
    <w:bookmarkStart w:id="68" w:name="ref-doi:10.15585/mmwr.su7303a1"/>
    <w:p>
      <w:pPr>
        <w:pStyle w:val="Bibliography"/>
      </w:pPr>
      <w:r>
        <w:t xml:space="preserve">16.</w:t>
      </w:r>
      <w:r>
        <w:t xml:space="preserve"> </w:t>
      </w:r>
      <w:r>
        <w:t xml:space="preserve">	</w:t>
      </w:r>
      <w:r>
        <w:t xml:space="preserve">El Burai Felix, S.</w:t>
      </w:r>
      <w:r>
        <w:t xml:space="preserve"> </w:t>
      </w:r>
      <w:r>
        <w:rPr>
          <w:i/>
          <w:iCs/>
        </w:rPr>
        <w:t xml:space="preserve">et al.</w:t>
      </w:r>
      <w:r>
        <w:t xml:space="preserve"> </w:t>
      </w:r>
      <w:r>
        <w:t xml:space="preserve">(2024)</w:t>
      </w:r>
      <w:r>
        <w:t xml:space="preserve"> </w:t>
      </w:r>
      <w:hyperlink r:id="rId67">
        <w:r>
          <w:rPr>
            <w:rStyle w:val="Hyperlink"/>
          </w:rPr>
          <w:t xml:space="preserve">A Standard Framework for Evaluating Large Health Care Data and Related Resources</w:t>
        </w:r>
      </w:hyperlink>
      <w:r>
        <w:t xml:space="preserve">.</w:t>
      </w:r>
      <w:r>
        <w:t xml:space="preserve"> </w:t>
      </w:r>
      <w:r>
        <w:rPr>
          <w:i/>
          <w:iCs/>
        </w:rPr>
        <w:t xml:space="preserve">MMWR Suppl.</w:t>
      </w:r>
      <w:r>
        <w:t xml:space="preserve"> </w:t>
      </w:r>
      <w:r>
        <w:t xml:space="preserve">73, 1–13</w:t>
      </w:r>
    </w:p>
    <w:bookmarkEnd w:id="68"/>
    <w:bookmarkStart w:id="70" w:name="ref-doi:10.1038/nbt.3780"/>
    <w:p>
      <w:pPr>
        <w:pStyle w:val="Bibliography"/>
      </w:pPr>
      <w:r>
        <w:t xml:space="preserve">17.</w:t>
      </w:r>
      <w:r>
        <w:t xml:space="preserve"> </w:t>
      </w:r>
      <w:r>
        <w:t xml:space="preserve">	</w:t>
      </w:r>
      <w:r>
        <w:t xml:space="preserve">Beaulieu-Jones, B.K. and Greene, C.S. (2017)</w:t>
      </w:r>
      <w:r>
        <w:t xml:space="preserve"> </w:t>
      </w:r>
      <w:hyperlink r:id="rId69">
        <w:r>
          <w:rPr>
            <w:rStyle w:val="Hyperlink"/>
          </w:rPr>
          <w:t xml:space="preserve">Reproducibility of computational workflows is automated using continuous analysis</w:t>
        </w:r>
      </w:hyperlink>
      <w:r>
        <w:t xml:space="preserve">.</w:t>
      </w:r>
      <w:r>
        <w:t xml:space="preserve"> </w:t>
      </w:r>
      <w:r>
        <w:rPr>
          <w:i/>
          <w:iCs/>
        </w:rPr>
        <w:t xml:space="preserve">Nat Biotechnol</w:t>
      </w:r>
      <w:r>
        <w:t xml:space="preserve"> </w:t>
      </w:r>
      <w:r>
        <w:t xml:space="preserve">35, 342–346</w:t>
      </w:r>
    </w:p>
    <w:bookmarkEnd w:id="70"/>
    <w:bookmarkStart w:id="72" w:name="ref-doi:10.1186/gb-2004-5-10-r80"/>
    <w:p>
      <w:pPr>
        <w:pStyle w:val="Bibliography"/>
      </w:pPr>
      <w:r>
        <w:t xml:space="preserve">18.</w:t>
      </w:r>
      <w:r>
        <w:t xml:space="preserve"> </w:t>
      </w:r>
      <w:r>
        <w:t xml:space="preserve">	</w:t>
      </w:r>
      <w:r>
        <w:t xml:space="preserve">Gentleman, R.C.</w:t>
      </w:r>
      <w:r>
        <w:t xml:space="preserve"> </w:t>
      </w:r>
      <w:r>
        <w:rPr>
          <w:i/>
          <w:iCs/>
        </w:rPr>
        <w:t xml:space="preserve">et al.</w:t>
      </w:r>
      <w:r>
        <w:t xml:space="preserve"> </w:t>
      </w:r>
      <w:r>
        <w:t xml:space="preserve">(2004)</w:t>
      </w:r>
      <w:r>
        <w:t xml:space="preserve"> </w:t>
      </w:r>
      <w:hyperlink r:id="rId71">
        <w:r>
          <w:rPr>
            <w:rStyle w:val="Hyperlink"/>
          </w:rPr>
          <w:t xml:space="preserve">Bioconductor: open software development for computational biology and bioinformatics</w:t>
        </w:r>
      </w:hyperlink>
      <w:r>
        <w:t xml:space="preserve">.</w:t>
      </w:r>
      <w:r>
        <w:t xml:space="preserve"> </w:t>
      </w:r>
      <w:r>
        <w:rPr>
          <w:i/>
          <w:iCs/>
        </w:rPr>
        <w:t xml:space="preserve">Genome Biol</w:t>
      </w:r>
      <w:r>
        <w:t xml:space="preserve"> </w:t>
      </w:r>
      <w:r>
        <w:t xml:space="preserve">5</w:t>
      </w:r>
    </w:p>
    <w:bookmarkEnd w:id="72"/>
    <w:bookmarkStart w:id="74" w:name="ref-doi:10.12688/f1000research.9206.1"/>
    <w:p>
      <w:pPr>
        <w:pStyle w:val="Bibliography"/>
      </w:pPr>
      <w:r>
        <w:t xml:space="preserve">19.</w:t>
      </w:r>
      <w:r>
        <w:t xml:space="preserve"> </w:t>
      </w:r>
      <w:r>
        <w:t xml:space="preserve">	</w:t>
      </w:r>
      <w:r>
        <w:t xml:space="preserve">Artaza, H.</w:t>
      </w:r>
      <w:r>
        <w:t xml:space="preserve"> </w:t>
      </w:r>
      <w:r>
        <w:rPr>
          <w:i/>
          <w:iCs/>
        </w:rPr>
        <w:t xml:space="preserve">et al.</w:t>
      </w:r>
      <w:r>
        <w:t xml:space="preserve"> </w:t>
      </w:r>
      <w:r>
        <w:t xml:space="preserve">(2016)</w:t>
      </w:r>
      <w:r>
        <w:t xml:space="preserve"> </w:t>
      </w:r>
      <w:hyperlink r:id="rId73">
        <w:r>
          <w:rPr>
            <w:rStyle w:val="Hyperlink"/>
          </w:rPr>
          <w:t xml:space="preserve">Top 10 metrics for life science software good practices</w:t>
        </w:r>
      </w:hyperlink>
      <w:r>
        <w:t xml:space="preserve">.</w:t>
      </w:r>
      <w:r>
        <w:t xml:space="preserve"> </w:t>
      </w:r>
      <w:r>
        <w:rPr>
          <w:i/>
          <w:iCs/>
        </w:rPr>
        <w:t xml:space="preserve">F1000Res</w:t>
      </w:r>
      <w:r>
        <w:t xml:space="preserve"> </w:t>
      </w:r>
      <w:r>
        <w:t xml:space="preserve">5, 2000</w:t>
      </w:r>
    </w:p>
    <w:bookmarkEnd w:id="74"/>
    <w:bookmarkStart w:id="76" w:name="ref-doi:10.1093/jamia/ocab278"/>
    <w:p>
      <w:pPr>
        <w:pStyle w:val="Bibliography"/>
      </w:pPr>
      <w:r>
        <w:t xml:space="preserve">20.</w:t>
      </w:r>
      <w:r>
        <w:t xml:space="preserve"> </w:t>
      </w:r>
      <w:r>
        <w:t xml:space="preserve">	</w:t>
      </w:r>
      <w:r>
        <w:t xml:space="preserve">Kahn, M.G.</w:t>
      </w:r>
      <w:r>
        <w:t xml:space="preserve"> </w:t>
      </w:r>
      <w:r>
        <w:rPr>
          <w:i/>
          <w:iCs/>
        </w:rPr>
        <w:t xml:space="preserve">et al.</w:t>
      </w:r>
      <w:r>
        <w:t xml:space="preserve"> </w:t>
      </w:r>
      <w:r>
        <w:t xml:space="preserve">(2021)</w:t>
      </w:r>
      <w:r>
        <w:t xml:space="preserve"> </w:t>
      </w:r>
      <w:hyperlink r:id="rId75">
        <w:r>
          <w:rPr>
            <w:rStyle w:val="Hyperlink"/>
          </w:rPr>
          <w:t xml:space="preserve">Migrating a research data warehouse to a public cloud: challenges and opportunities</w:t>
        </w:r>
      </w:hyperlink>
      <w:r>
        <w:t xml:space="preserve">.</w:t>
      </w:r>
      <w:r>
        <w:t xml:space="preserve"> </w:t>
      </w:r>
      <w:r>
        <w:rPr>
          <w:i/>
          <w:iCs/>
        </w:rPr>
        <w:t xml:space="preserve">Journal of the American Medical Informatics Association</w:t>
      </w:r>
      <w:r>
        <w:t xml:space="preserve"> </w:t>
      </w:r>
      <w:r>
        <w:t xml:space="preserve">29, 592–600</w:t>
      </w:r>
    </w:p>
    <w:bookmarkEnd w:id="76"/>
    <w:bookmarkStart w:id="78" w:name="ref-doi:10.48550/arXiv.2509.12709"/>
    <w:p>
      <w:pPr>
        <w:pStyle w:val="Bibliography"/>
      </w:pPr>
      <w:r>
        <w:t xml:space="preserve">21.</w:t>
      </w:r>
      <w:r>
        <w:t xml:space="preserve"> </w:t>
      </w:r>
      <w:r>
        <w:t xml:space="preserve">	</w:t>
      </w:r>
      <w:r>
        <w:t xml:space="preserve">Zhang, H.</w:t>
      </w:r>
      <w:r>
        <w:t xml:space="preserve"> </w:t>
      </w:r>
      <w:r>
        <w:rPr>
          <w:i/>
          <w:iCs/>
        </w:rPr>
        <w:t xml:space="preserve">et al.</w:t>
      </w:r>
      <w:r>
        <w:t xml:space="preserve"> </w:t>
      </w:r>
      <w:r>
        <w:t xml:space="preserve">(2025)</w:t>
      </w:r>
      <w:r>
        <w:t xml:space="preserve"> </w:t>
      </w:r>
      <w:hyperlink r:id="rId77">
        <w:r>
          <w:rPr>
            <w:rStyle w:val="Hyperlink"/>
          </w:rPr>
          <w:t xml:space="preserve">Harnessing the Power of AI in Qualitative Research: Role Assignment, Engagement, and User Perceptions of AI-Generated Follow-Up Questions in Semi-Structured Interviews</w:t>
        </w:r>
      </w:hyperlink>
      <w:r>
        <w:t xml:space="preserve">arXiv</w:t>
      </w:r>
    </w:p>
    <w:bookmarkEnd w:id="78"/>
    <w:bookmarkStart w:id="80" w:name="ref-doi:10.1007/s10488-013-0528-y"/>
    <w:p>
      <w:pPr>
        <w:pStyle w:val="Bibliography"/>
      </w:pPr>
      <w:r>
        <w:t xml:space="preserve">22.</w:t>
      </w:r>
      <w:r>
        <w:t xml:space="preserve"> </w:t>
      </w:r>
      <w:r>
        <w:t xml:space="preserve">	</w:t>
      </w:r>
      <w:r>
        <w:t xml:space="preserve">Palinkas, L.A.</w:t>
      </w:r>
      <w:r>
        <w:t xml:space="preserve"> </w:t>
      </w:r>
      <w:r>
        <w:rPr>
          <w:i/>
          <w:iCs/>
        </w:rPr>
        <w:t xml:space="preserve">et al.</w:t>
      </w:r>
      <w:r>
        <w:t xml:space="preserve"> </w:t>
      </w:r>
      <w:r>
        <w:t xml:space="preserve">(2013)</w:t>
      </w:r>
      <w:r>
        <w:t xml:space="preserve"> </w:t>
      </w:r>
      <w:hyperlink r:id="rId79">
        <w:r>
          <w:rPr>
            <w:rStyle w:val="Hyperlink"/>
          </w:rPr>
          <w:t xml:space="preserve">Purposeful Sampling for Qualitative Data Collection and Analysis in Mixed Method Implementation Research</w:t>
        </w:r>
      </w:hyperlink>
      <w:r>
        <w:t xml:space="preserve">.</w:t>
      </w:r>
      <w:r>
        <w:t xml:space="preserve"> </w:t>
      </w:r>
      <w:r>
        <w:rPr>
          <w:i/>
          <w:iCs/>
        </w:rPr>
        <w:t xml:space="preserve">Adm Policy Ment Health</w:t>
      </w:r>
      <w:r>
        <w:t xml:space="preserve"> </w:t>
      </w:r>
      <w:r>
        <w:t xml:space="preserve">42, 533–544</w:t>
      </w:r>
    </w:p>
    <w:bookmarkEnd w:id="80"/>
    <w:bookmarkStart w:id="82" w:name="ref-doi:10.1002/jgf2.736"/>
    <w:p>
      <w:pPr>
        <w:pStyle w:val="Bibliography"/>
      </w:pPr>
      <w:r>
        <w:t xml:space="preserve">23.</w:t>
      </w:r>
      <w:r>
        <w:t xml:space="preserve"> </w:t>
      </w:r>
      <w:r>
        <w:t xml:space="preserve">	</w:t>
      </w:r>
      <w:r>
        <w:t xml:space="preserve">Creswell, J.W. and Inoue, M. (2024)</w:t>
      </w:r>
      <w:r>
        <w:t xml:space="preserve"> </w:t>
      </w:r>
      <w:hyperlink r:id="rId81">
        <w:r>
          <w:rPr>
            <w:rStyle w:val="Hyperlink"/>
          </w:rPr>
          <w:t xml:space="preserve">A process for conducting mixed methods data analysis</w:t>
        </w:r>
      </w:hyperlink>
      <w:r>
        <w:t xml:space="preserve">.</w:t>
      </w:r>
      <w:r>
        <w:t xml:space="preserve"> </w:t>
      </w:r>
      <w:r>
        <w:rPr>
          <w:i/>
          <w:iCs/>
        </w:rPr>
        <w:t xml:space="preserve">J of Gen and Family Med</w:t>
      </w:r>
      <w:r>
        <w:t xml:space="preserve"> </w:t>
      </w:r>
      <w:r>
        <w:t xml:space="preserve">26, 4–11</w:t>
      </w:r>
    </w:p>
    <w:bookmarkEnd w:id="82"/>
    <w:bookmarkStart w:id="84" w:name="ref-pmid:30861395"/>
    <w:p>
      <w:pPr>
        <w:pStyle w:val="Bibliography"/>
      </w:pPr>
      <w:r>
        <w:t xml:space="preserve">24.</w:t>
      </w:r>
      <w:r>
        <w:t xml:space="preserve"> </w:t>
      </w:r>
      <w:r>
        <w:t xml:space="preserve">	</w:t>
      </w:r>
      <w:r>
        <w:t xml:space="preserve">Wu, H.</w:t>
      </w:r>
      <w:r>
        <w:t xml:space="preserve"> </w:t>
      </w:r>
      <w:r>
        <w:rPr>
          <w:i/>
          <w:iCs/>
        </w:rPr>
        <w:t xml:space="preserve">et al.</w:t>
      </w:r>
      <w:r>
        <w:t xml:space="preserve"> </w:t>
      </w:r>
      <w:r>
        <w:t xml:space="preserve">(2019)</w:t>
      </w:r>
      <w:r>
        <w:t xml:space="preserve"> </w:t>
      </w:r>
      <w:hyperlink r:id="rId83">
        <w:r>
          <w:rPr>
            <w:rStyle w:val="Hyperlink"/>
          </w:rPr>
          <w:t xml:space="preserve">Using logic model and visualization to conduct portfolio evaluation.</w:t>
        </w:r>
      </w:hyperlink>
      <w:r>
        <w:t xml:space="preserve"> </w:t>
      </w:r>
      <w:r>
        <w:rPr>
          <w:i/>
          <w:iCs/>
        </w:rPr>
        <w:t xml:space="preserve">Eval Program Plann</w:t>
      </w:r>
      <w:r>
        <w:t xml:space="preserve"> </w:t>
      </w:r>
      <w:r>
        <w:t xml:space="preserve">74, 69–75</w:t>
      </w:r>
    </w:p>
    <w:bookmarkEnd w:id="84"/>
    <w:bookmarkStart w:id="86" w:name="ref-doi:10.1016/j.socscimed.2017.03.041"/>
    <w:p>
      <w:pPr>
        <w:pStyle w:val="Bibliography"/>
      </w:pPr>
      <w:r>
        <w:t xml:space="preserve">25.</w:t>
      </w:r>
      <w:r>
        <w:t xml:space="preserve"> </w:t>
      </w:r>
      <w:r>
        <w:t xml:space="preserve">	</w:t>
      </w:r>
      <w:r>
        <w:t xml:space="preserve">Leonard, K.L. and Masatu, M.C. (2017)</w:t>
      </w:r>
      <w:r>
        <w:t xml:space="preserve"> </w:t>
      </w:r>
      <w:hyperlink r:id="rId85">
        <w:r>
          <w:rPr>
            <w:rStyle w:val="Hyperlink"/>
          </w:rPr>
          <w:t xml:space="preserve">Changing health care provider performance through measurement</w:t>
        </w:r>
      </w:hyperlink>
      <w:r>
        <w:t xml:space="preserve">.</w:t>
      </w:r>
      <w:r>
        <w:t xml:space="preserve"> </w:t>
      </w:r>
      <w:r>
        <w:rPr>
          <w:i/>
          <w:iCs/>
        </w:rPr>
        <w:t xml:space="preserve">Social Science &amp;amp; Medicine</w:t>
      </w:r>
      <w:r>
        <w:t xml:space="preserve"> </w:t>
      </w:r>
      <w:r>
        <w:t xml:space="preserve">181, 54–65</w:t>
      </w:r>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29" Target="https://commonfund.nih.gov/dataecosystem" TargetMode="External" /><Relationship Type="http://schemas.openxmlformats.org/officeDocument/2006/relationships/hyperlink" Id="rId81" Target="https://doi.org/10.1002/jgf2.736" TargetMode="External" /><Relationship Type="http://schemas.openxmlformats.org/officeDocument/2006/relationships/hyperlink" Id="rId79" Target="https://doi.org/10.1007/s10488-013-0528-y" TargetMode="External" /><Relationship Type="http://schemas.openxmlformats.org/officeDocument/2006/relationships/hyperlink" Id="rId83" Target="https://doi.org/10.1016/j.evalprogplan.2019.02.011" TargetMode="External" /><Relationship Type="http://schemas.openxmlformats.org/officeDocument/2006/relationships/hyperlink" Id="rId85"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3" Target="https://doi.org/10.1056/nejmsr1809937" TargetMode="External" /><Relationship Type="http://schemas.openxmlformats.org/officeDocument/2006/relationships/hyperlink" Id="rId45" Target="https://doi.org/10.1093/gigascience/giac105" TargetMode="External" /><Relationship Type="http://schemas.openxmlformats.org/officeDocument/2006/relationships/hyperlink" Id="rId75"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77"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29" Target="https://commonfund.nih.gov/dataecosystem" TargetMode="External" /><Relationship Type="http://schemas.openxmlformats.org/officeDocument/2006/relationships/hyperlink" Id="rId81" Target="https://doi.org/10.1002/jgf2.736" TargetMode="External" /><Relationship Type="http://schemas.openxmlformats.org/officeDocument/2006/relationships/hyperlink" Id="rId79" Target="https://doi.org/10.1007/s10488-013-0528-y" TargetMode="External" /><Relationship Type="http://schemas.openxmlformats.org/officeDocument/2006/relationships/hyperlink" Id="rId83" Target="https://doi.org/10.1016/j.evalprogplan.2019.02.011" TargetMode="External" /><Relationship Type="http://schemas.openxmlformats.org/officeDocument/2006/relationships/hyperlink" Id="rId85"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3" Target="https://doi.org/10.1056/nejmsr1809937" TargetMode="External" /><Relationship Type="http://schemas.openxmlformats.org/officeDocument/2006/relationships/hyperlink" Id="rId45" Target="https://doi.org/10.1093/gigascience/giac105" TargetMode="External" /><Relationship Type="http://schemas.openxmlformats.org/officeDocument/2006/relationships/hyperlink" Id="rId75"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77"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Lifecycle-aware evaluation of biomedical data ecosystems</dc:title>
  <dc:creator>Ethan M. Lange; Vikram Adithya Ganesh; David Mayer; Adriana Ivich; Vince Rubinetti; Casey Greene; Sean Davis</dc:creator>
  <dc:language>en-US</dc:language>
  <cp:keywords>biomedical data ecosystems, research evaluation, FAIR, bibliometrics, NIH Common Fund, data sharing</cp:keywords>
  <dcterms:created xsi:type="dcterms:W3CDTF">2026-05-16T22:13:26Z</dcterms:created>
  <dcterms:modified xsi:type="dcterms:W3CDTF">2026-05-16T22:13:26Z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Public biomedical data resources have become central scientific infrastructure, but evaluation of these investments is fragmented: each funded program tracks different metrics in different ways, preventing portfolio-level comparison and evidence-driven funding decisions.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The relative weight of each framework shifts predictably across a resource’s lifecycle, and uniform metric panels across phases misallocate funding as a result. Drawing on the NIH Common Fund Data Ecosystem, we describe a portfolio-wide dashboard that operationalizes the framework across 19 programs in near real time.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assets/trends-journals.csl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