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 and programs that lean on citation counts as their primary impact key performance indicator (KPI) are measuring reach rather than influence.</w:t>
      </w:r>
      <w:r>
        <w:t xml:space="preserve"> </w:t>
      </w:r>
      <w:r>
        <w:t xml:space="preserve">Closing the gap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second-generation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and compute-level metrics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w:t>
      </w:r>
      <w:r>
        <w:t xml:space="preserve"> </w:t>
      </w:r>
      <w:r>
        <w:t xml:space="preserve">Curation costs are borne by data generators while reuse benefits accrue elsewhere — an asymmetry that means aggregate gains can fail to cover aggregate costs even when both are positive.</w:t>
      </w:r>
      <w:r>
        <w:t xml:space="preserve"> </w:t>
      </w:r>
      <w:r>
        <w:t xml:space="preserve">This argues for selective investment in high-value datasets rather than uniform support across the portfolio.</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The implementation demonstrates that lifecycle-aware portfolio evaluation is operationally tractable at NIH scale, in near real time, with manageable burden on individual projects.</w:t>
      </w:r>
      <w:r>
        <w:t xml:space="preserve"> </w:t>
      </w:r>
      <w:r>
        <w:t xml:space="preserve">The metric set itself is not final, and the working-group structure described below is the mechanism by which it continues to evolve.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without pre-policy baselines captured now, the policy’s effect on sharing and reuse can be inferred but not measured.</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2026-05-16T22:31:59Z</dcterms:created>
  <dcterms:modified xsi:type="dcterms:W3CDTF">2026-05-16T22:31:59Z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