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Science for Biologists: A Hands-On Introduction with R and Bioconductor</w:t>
      </w:r>
    </w:p>
    <w:p>
      <w:pPr>
        <w:pStyle w:val="Author"/>
      </w:pPr>
      <w:r>
        <w:t xml:space="preserve">Lori Shepherd Kern</w:t>
      </w:r>
      <w:r>
        <w:rPr>
          <w:vertAlign w:val="superscript"/>
        </w:rPr>
        <w:t xml:space="preserve">1</w:t>
      </w:r>
    </w:p>
    <w:p>
      <w:pPr>
        <w:pStyle w:val="Author"/>
      </w:pPr>
      <w:r>
        <w:t xml:space="preserve">Sean Davis</w:t>
      </w:r>
      <w:r>
        <w:rPr>
          <w:vertAlign w:val="superscript"/>
        </w:rPr>
        <w:t xml:space="preserve">2</w:t>
      </w:r>
      <w:r>
        <w:t xml:space="preserve"> </w:t>
      </w:r>
      <w:r>
        <w:t xml:space="preserve">(corresponding)</w:t>
      </w:r>
    </w:p>
    <w:p>
      <w:pPr>
        <w:pStyle w:val="Date"/>
      </w:pPr>
      <w:r>
        <w:t xml:space="preserve">6 August 2026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Roswell Park Comprehensive Cancer Center, Buffalo, NY, USA (Bioconductor Core</w:t>
      </w:r>
      <w:r>
        <w:t xml:space="preserve"> </w:t>
      </w:r>
      <w:r>
        <w:t xml:space="preserve">Team). ORCID</w:t>
      </w:r>
      <w:r>
        <w:t xml:space="preserve"> </w:t>
      </w:r>
      <w:hyperlink r:id="rId9">
        <w:r>
          <w:rPr>
            <w:rStyle w:val="Hyperlink"/>
          </w:rPr>
          <w:t xml:space="preserve">0000-0002-5910-4010</w:t>
        </w:r>
      </w:hyperlink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University of Colorado Anschutz School of Medicine, Aurora, CO, USA. ORCID</w:t>
      </w:r>
      <w:r>
        <w:t xml:space="preserve"> </w:t>
      </w:r>
      <w:hyperlink r:id="rId10">
        <w:r>
          <w:rPr>
            <w:rStyle w:val="Hyperlink"/>
          </w:rPr>
          <w:t xml:space="preserve">0000-0002-8991-6458</w:t>
        </w:r>
      </w:hyperlink>
      <w:r>
        <w:t xml:space="preserve">. Corresponding author:</w:t>
      </w:r>
      <w:r>
        <w:t xml:space="preserve"> </w:t>
      </w:r>
      <w:hyperlink r:id="rId11">
        <w:r>
          <w:rPr>
            <w:rStyle w:val="Hyperlink"/>
          </w:rPr>
          <w:t xml:space="preserve">seandavi@gmail.com</w:t>
        </w:r>
      </w:hyperlink>
    </w:p>
    <w:bookmarkStart w:id="1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Biomedical researchers are increasingly expected to analyze their</w:t>
      </w:r>
      <w:r>
        <w:t xml:space="preserve"> </w:t>
      </w:r>
      <w:r>
        <w:t xml:space="preserve">own data reproducibly, yet most have had no formal training in statistics or data</w:t>
      </w:r>
      <w:r>
        <w:t xml:space="preserve"> </w:t>
      </w:r>
      <w:r>
        <w:t xml:space="preserve">science, and generic</w:t>
      </w:r>
      <w:r>
        <w:t xml:space="preserve"> </w:t>
      </w:r>
      <w:r>
        <w:t xml:space="preserve">“intro to R”</w:t>
      </w:r>
      <w:r>
        <w:t xml:space="preserve"> </w:t>
      </w:r>
      <w:r>
        <w:t xml:space="preserve">materials teach syntax without the conceptual</w:t>
      </w:r>
      <w:r>
        <w:t xml:space="preserve"> </w:t>
      </w:r>
      <w:r>
        <w:t xml:space="preserve">grounding that biological data analysis requires.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rPr>
          <w:i/>
          <w:iCs/>
        </w:rPr>
        <w:t xml:space="preserve">The RBioc Book</w:t>
      </w:r>
      <w:r>
        <w:t xml:space="preserve"> </w:t>
      </w:r>
      <w:r>
        <w:t xml:space="preserve">is an open-access, fully executable textbook, built as</w:t>
      </w:r>
      <w:r>
        <w:t xml:space="preserve"> </w:t>
      </w:r>
      <w:r>
        <w:t xml:space="preserve">a Quarto book on the</w:t>
      </w:r>
      <w:r>
        <w:t xml:space="preserve"> </w:t>
      </w:r>
      <w:r>
        <w:rPr>
          <w:rStyle w:val="VerbatimChar"/>
        </w:rPr>
        <w:t xml:space="preserve">knitr</w:t>
      </w:r>
      <w:r>
        <w:t xml:space="preserve"> </w:t>
      </w:r>
      <w:r>
        <w:t xml:space="preserve">engine so that every chapter runs its own R code at</w:t>
      </w:r>
      <w:r>
        <w:t xml:space="preserve"> </w:t>
      </w:r>
      <w:r>
        <w:t xml:space="preserve">render time and prose, code, and output are always in sync. It is designed around</w:t>
      </w:r>
      <w:r>
        <w:t xml:space="preserve"> </w:t>
      </w:r>
      <w:r>
        <w:t xml:space="preserve">adult-learning principles, carries biological framing from the first chapters, and</w:t>
      </w:r>
      <w:r>
        <w:t xml:space="preserve"> </w:t>
      </w:r>
      <w:r>
        <w:t xml:space="preserve">builds a cumulative conceptual scaffold including R programming, data structures, and</w:t>
      </w:r>
      <w:r>
        <w:t xml:space="preserve"> </w:t>
      </w:r>
      <w:r>
        <w:t xml:space="preserve">statistical reasoning that the genomics and single-cell chapters later reuse. It is</w:t>
      </w:r>
      <w:r>
        <w:t xml:space="preserve"> </w:t>
      </w:r>
      <w:r>
        <w:t xml:space="preserve">openly licensed (CC-BY 4.0), versioned, and archived with a citable DOI.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The book takes a reader from a first line of R to the analysis of real</w:t>
      </w:r>
      <w:r>
        <w:t xml:space="preserve"> </w:t>
      </w:r>
      <w:r>
        <w:t xml:space="preserve">genomic data with Bioconductor, teaching against public datasets.</w:t>
      </w:r>
      <w:r>
        <w:t xml:space="preserve"> </w:t>
      </w:r>
      <w:r>
        <w:t xml:space="preserve">It has been taught in four formal</w:t>
      </w:r>
      <w:r>
        <w:t xml:space="preserve"> </w:t>
      </w:r>
      <w:r>
        <w:t xml:space="preserve">course offerings (~100 trainees, 2025–2026) and, as an online resource, recorded</w:t>
      </w:r>
      <w:r>
        <w:t xml:space="preserve"> </w:t>
      </w:r>
      <w:r>
        <w:t xml:space="preserve">9,098 page views across 62 pages from 1,475 unique readers between May 2024 and</w:t>
      </w:r>
      <w:r>
        <w:t xml:space="preserve"> </w:t>
      </w:r>
      <w:r>
        <w:t xml:space="preserve">August 2026, with per-chapter active-engagement times indicating readers</w:t>
      </w:r>
      <w:r>
        <w:t xml:space="preserve"> </w:t>
      </w:r>
      <w:r>
        <w:t xml:space="preserve">work through rather than skim the material. Instructors can adopt a chapter as a lab, fork it for a local course, or</w:t>
      </w:r>
      <w:r>
        <w:t xml:space="preserve"> </w:t>
      </w:r>
      <w:r>
        <w:t xml:space="preserve">assign it for self-paced study; every result is reproducible by re-running the code.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rPr>
          <w:i/>
          <w:iCs/>
        </w:rPr>
        <w:t xml:space="preserve">The RBioc Book</w:t>
      </w:r>
      <w:r>
        <w:t xml:space="preserve"> </w:t>
      </w:r>
      <w:r>
        <w:t xml:space="preserve">is a complete, classroom-tested, openly-licensed</w:t>
      </w:r>
      <w:r>
        <w:t xml:space="preserve"> </w:t>
      </w:r>
      <w:r>
        <w:t xml:space="preserve">teaching resource that closes the concept-and-reproducibility gap for biologists endeavoring</w:t>
      </w:r>
      <w:r>
        <w:t xml:space="preserve"> </w:t>
      </w:r>
      <w:r>
        <w:t xml:space="preserve">to understand data science, statistics, and reproducible computational research. It is</w:t>
      </w:r>
      <w:r>
        <w:t xml:space="preserve"> </w:t>
      </w:r>
      <w:r>
        <w:t xml:space="preserve">also a template for large-scale executable, community-maintained teaching</w:t>
      </w:r>
      <w:r>
        <w:t xml:space="preserve"> </w:t>
      </w:r>
      <w:r>
        <w:t xml:space="preserve">materials in the Bioconductor ecosystem.</w:t>
      </w:r>
    </w:p>
    <w:bookmarkEnd w:id="12"/>
    <w:bookmarkStart w:id="1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Biologists increasingly need to understand statistical and data science principles,</w:t>
      </w:r>
      <w:r>
        <w:t xml:space="preserve"> </w:t>
      </w:r>
      <w:r>
        <w:t xml:space="preserve">but many biologists have limited formal coursework in statistics or</w:t>
      </w:r>
      <w:r>
        <w:t xml:space="preserve"> </w:t>
      </w:r>
      <w:r>
        <w:t xml:space="preserve">data science</w:t>
      </w:r>
      <w:r>
        <w:t xml:space="preserve"> </w:t>
      </w:r>
      <w:r>
        <w:t xml:space="preserve">(Drnevich et al. 2025)</w:t>
      </w:r>
      <w:r>
        <w:t xml:space="preserve">. At the same time they are expected to drive</w:t>
      </w:r>
      <w:r>
        <w:t xml:space="preserve"> </w:t>
      </w:r>
      <w:r>
        <w:t xml:space="preserve">analyses of their own data — and to do so reproducibly. Many generic</w:t>
      </w:r>
      <w:r>
        <w:t xml:space="preserve"> </w:t>
      </w:r>
      <w:r>
        <w:t xml:space="preserve">“intro to R”</w:t>
      </w:r>
      <w:r>
        <w:t xml:space="preserve"> </w:t>
      </w:r>
      <w:r>
        <w:t xml:space="preserve">courses show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perform an analysis but do not motivate it with concept and</w:t>
      </w:r>
      <w:r>
        <w:t xml:space="preserve"> </w:t>
      </w:r>
      <w:r>
        <w:t xml:space="preserve">rationale, leaving learners able to copy a workflow but not to reason about it or</w:t>
      </w:r>
      <w:r>
        <w:t xml:space="preserve"> </w:t>
      </w:r>
      <w:r>
        <w:t xml:space="preserve">adapt it to their own problems.</w:t>
      </w:r>
    </w:p>
    <w:p>
      <w:pPr>
        <w:pStyle w:val="BodyText"/>
      </w:pPr>
      <w:r>
        <w:rPr>
          <w:i/>
          <w:iCs/>
        </w:rPr>
        <w:t xml:space="preserve">The RBioc Book</w:t>
      </w:r>
      <w:r>
        <w:t xml:space="preserve"> </w:t>
      </w:r>
      <w:r>
        <w:t xml:space="preserve">— the resource described here, published under that name at</w:t>
      </w:r>
      <w:r>
        <w:t xml:space="preserve"> </w:t>
      </w:r>
      <w:hyperlink r:id="rId13">
        <w:r>
          <w:rPr>
            <w:rStyle w:val="Hyperlink"/>
          </w:rPr>
          <w:t xml:space="preserve">https://seandavi.github.io/RBiocBook</w:t>
        </w:r>
      </w:hyperlink>
      <w:r>
        <w:t xml:space="preserve"> </w:t>
      </w:r>
      <w:r>
        <w:t xml:space="preserve">and archived under it at Zenodo — is an</w:t>
      </w:r>
      <w:r>
        <w:t xml:space="preserve"> </w:t>
      </w:r>
      <w:r>
        <w:t xml:space="preserve">open-access, executable textbook that takes a reader from</w:t>
      </w:r>
      <w:r>
        <w:t xml:space="preserve"> </w:t>
      </w:r>
      <w:r>
        <w:t xml:space="preserve">their first line of R</w:t>
      </w:r>
      <w:r>
        <w:t xml:space="preserve"> </w:t>
      </w:r>
      <w:r>
        <w:t xml:space="preserve">(R Core Team 2024)</w:t>
      </w:r>
      <w:r>
        <w:t xml:space="preserve"> </w:t>
      </w:r>
      <w:r>
        <w:t xml:space="preserve">to the analysis of real genomic data with</w:t>
      </w:r>
      <w:r>
        <w:t xml:space="preserve"> </w:t>
      </w:r>
      <w:r>
        <w:t xml:space="preserve">Bioconductor</w:t>
      </w:r>
      <w:r>
        <w:t xml:space="preserve"> </w:t>
      </w:r>
      <w:r>
        <w:t xml:space="preserve">(Huber et al. 2015)</w:t>
      </w:r>
      <w:r>
        <w:t xml:space="preserve">. It is written for biomedical researchers who</w:t>
      </w:r>
      <w:r>
        <w:t xml:space="preserve"> </w:t>
      </w:r>
      <w:r>
        <w:t xml:space="preserve">know the biology and have been introduced to programming, statistics, and</w:t>
      </w:r>
      <w:r>
        <w:t xml:space="preserve"> </w:t>
      </w:r>
      <w:r>
        <w:t xml:space="preserve">computation but want a more formal and thorough treatment of the concepts and</w:t>
      </w:r>
      <w:r>
        <w:t xml:space="preserve"> </w:t>
      </w:r>
      <w:r>
        <w:t xml:space="preserve">skills; a biology primer makes it usable from the other direction as well, for</w:t>
      </w:r>
      <w:r>
        <w:t xml:space="preserve"> </w:t>
      </w:r>
      <w:r>
        <w:t xml:space="preserve">computational readers approaching biological data for the first time. Rather than</w:t>
      </w:r>
      <w:r>
        <w:t xml:space="preserve"> </w:t>
      </w:r>
      <w:r>
        <w:t xml:space="preserve">teaching programming in the abstract and leaving the biology for</w:t>
      </w:r>
      <w:r>
        <w:t xml:space="preserve"> </w:t>
      </w:r>
      <w:r>
        <w:t xml:space="preserve">“later,”</w:t>
      </w:r>
      <w:r>
        <w:t xml:space="preserve"> </w:t>
      </w:r>
      <w:r>
        <w:t xml:space="preserve">the book</w:t>
      </w:r>
      <w:r>
        <w:t xml:space="preserve"> </w:t>
      </w:r>
      <w:r>
        <w:t xml:space="preserve">carries biological framing from the first chapters and builds the conceptual</w:t>
      </w:r>
      <w:r>
        <w:t xml:space="preserve"> </w:t>
      </w:r>
      <w:r>
        <w:t xml:space="preserve">scaffolding that the genomics chapters later depend on. Because the book is fully</w:t>
      </w:r>
      <w:r>
        <w:t xml:space="preserve"> </w:t>
      </w:r>
      <w:r>
        <w:t xml:space="preserve">executable and openly licensed, an instructor can adopt a chapter as a lab, fork it</w:t>
      </w:r>
      <w:r>
        <w:t xml:space="preserve"> </w:t>
      </w:r>
      <w:r>
        <w:t xml:space="preserve">for a local course, or assign it for self-paced study, and a learner can reproduce</w:t>
      </w:r>
      <w:r>
        <w:t xml:space="preserve"> </w:t>
      </w:r>
      <w:r>
        <w:t xml:space="preserve">every result by running the same code.</w:t>
      </w:r>
    </w:p>
    <w:p>
      <w:pPr>
        <w:pStyle w:val="BodyText"/>
      </w:pPr>
      <w:r>
        <w:rPr>
          <w:b/>
          <w:bCs/>
        </w:rPr>
        <w:t xml:space="preserve">Relation to existing resources.</w:t>
      </w:r>
      <w:r>
        <w:t xml:space="preserve"> </w:t>
      </w:r>
      <w:r>
        <w:t xml:space="preserve">Excellent open teaching resources already exist</w:t>
      </w:r>
      <w:r>
        <w:t xml:space="preserve"> </w:t>
      </w:r>
      <w:r>
        <w:t xml:space="preserve">at both ends of this path, and the gap</w:t>
      </w:r>
      <w:r>
        <w:t xml:space="preserve"> </w:t>
      </w:r>
      <w:r>
        <w:rPr>
          <w:i/>
          <w:iCs/>
        </w:rPr>
        <w:t xml:space="preserve">The RBioc Book</w:t>
      </w:r>
      <w:r>
        <w:t xml:space="preserve"> </w:t>
      </w:r>
      <w:r>
        <w:t xml:space="preserve">addresses is the span between</w:t>
      </w:r>
      <w:r>
        <w:t xml:space="preserve"> </w:t>
      </w:r>
      <w:r>
        <w:t xml:space="preserve">them.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 </w:t>
      </w:r>
      <w:r>
        <w:t xml:space="preserve">(Wickham, Çetinkaya-Rundel, and Grolemund 2023)</w:t>
      </w:r>
      <w:r>
        <w:t xml:space="preserve"> </w:t>
      </w:r>
      <w:r>
        <w:t xml:space="preserve">is the standard introduction to data</w:t>
      </w:r>
      <w:r>
        <w:t xml:space="preserve"> </w:t>
      </w:r>
      <w:r>
        <w:t xml:space="preserve">analysis in R, but it teaches against general-purpose datasets and does not carry the</w:t>
      </w:r>
      <w:r>
        <w:t xml:space="preserve"> </w:t>
      </w:r>
      <w:r>
        <w:t xml:space="preserve">reader toward biological data or the Bioconductor classes that biology requires.</w:t>
      </w:r>
      <w:r>
        <w:t xml:space="preserve"> </w:t>
      </w:r>
      <w:r>
        <w:rPr>
          <w:i/>
          <w:iCs/>
        </w:rPr>
        <w:t xml:space="preserve">Modern Statistics for Modern Biology</w:t>
      </w:r>
      <w:r>
        <w:t xml:space="preserve"> </w:t>
      </w:r>
      <w:r>
        <w:t xml:space="preserve">(Holmes and Huber 2019)</w:t>
      </w:r>
      <w:r>
        <w:t xml:space="preserve"> </w:t>
      </w:r>
      <w:r>
        <w:t xml:space="preserve">treats statistical reasoning</w:t>
      </w:r>
      <w:r>
        <w:t xml:space="preserve"> </w:t>
      </w:r>
      <w:r>
        <w:t xml:space="preserve">for biological data with far greater depth than we attempt, but assumes a reader</w:t>
      </w:r>
      <w:r>
        <w:t xml:space="preserve"> </w:t>
      </w:r>
      <w:r>
        <w:t xml:space="preserve">already fluent in R and comfortable with mathematical statistics.</w:t>
      </w:r>
      <w:r>
        <w:t xml:space="preserve"> </w:t>
      </w:r>
      <w:r>
        <w:rPr>
          <w:i/>
          <w:iCs/>
        </w:rPr>
        <w:t xml:space="preserve">Orchestrating</w:t>
      </w:r>
      <w:r>
        <w:rPr>
          <w:i/>
          <w:iCs/>
        </w:rPr>
        <w:t xml:space="preserve"> </w:t>
      </w:r>
      <w:r>
        <w:rPr>
          <w:i/>
          <w:iCs/>
        </w:rPr>
        <w:t xml:space="preserve">Single-Cell Analysis with Bioconductor</w:t>
      </w:r>
      <w:r>
        <w:t xml:space="preserve"> </w:t>
      </w:r>
      <w:r>
        <w:t xml:space="preserve">(Amezquita et al. 2020)</w:t>
      </w:r>
      <w:r>
        <w:t xml:space="preserve"> </w:t>
      </w:r>
      <w:r>
        <w:t xml:space="preserve">is the reference work for one</w:t>
      </w:r>
      <w:r>
        <w:t xml:space="preserve"> </w:t>
      </w:r>
      <w:r>
        <w:t xml:space="preserve">domain and, by design, begins where a competent Bioconductor user begins. A learner</w:t>
      </w:r>
      <w:r>
        <w:t xml:space="preserve"> </w:t>
      </w:r>
      <w:r>
        <w:t xml:space="preserve">starting from no R at all must therefore assemble a path across three resources with</w:t>
      </w:r>
      <w:r>
        <w:t xml:space="preserve"> </w:t>
      </w:r>
      <w:r>
        <w:t xml:space="preserve">different notational conventions, different assumed backgrounds, and no shared</w:t>
      </w:r>
      <w:r>
        <w:t xml:space="preserve"> </w:t>
      </w:r>
      <w:r>
        <w:t xml:space="preserve">running example — and, in our teaching experience, most stall at the seams rather</w:t>
      </w:r>
      <w:r>
        <w:t xml:space="preserve"> </w:t>
      </w:r>
      <w:r>
        <w:t xml:space="preserve">than inside any one text.</w:t>
      </w:r>
    </w:p>
    <w:p>
      <w:pPr>
        <w:pStyle w:val="BodyText"/>
      </w:pPr>
      <w:r>
        <w:rPr>
          <w:i/>
          <w:iCs/>
        </w:rPr>
        <w:t xml:space="preserve">The RBioc Book</w:t>
      </w:r>
      <w:r>
        <w:t xml:space="preserve"> </w:t>
      </w:r>
      <w:r>
        <w:t xml:space="preserve">is deliberately not a deeper treatment of any of these. Its</w:t>
      </w:r>
      <w:r>
        <w:t xml:space="preserve"> </w:t>
      </w:r>
      <w:r>
        <w:t xml:space="preserve">contribution is continuity: one notation, one cumulative scaffold, and one executable</w:t>
      </w:r>
      <w:r>
        <w:t xml:space="preserve"> </w:t>
      </w:r>
      <w:r>
        <w:t xml:space="preserve">artifact spanning from a first line of R to real Bioconductor genomics, with the</w:t>
      </w:r>
      <w:r>
        <w:t xml:space="preserve"> </w:t>
      </w:r>
      <w:r>
        <w:t xml:space="preserve">biological motivation present from the beginning rather than deferred. It is intended</w:t>
      </w:r>
      <w:r>
        <w:t xml:space="preserve"> </w:t>
      </w:r>
      <w:r>
        <w:t xml:space="preserve">to precede rather than replace the resources above, and it points to them where a</w:t>
      </w:r>
      <w:r>
        <w:t xml:space="preserve"> </w:t>
      </w:r>
      <w:r>
        <w:t xml:space="preserve">reader should go deeper. This positioning also reflects a broader need identified</w:t>
      </w:r>
      <w:r>
        <w:t xml:space="preserve"> </w:t>
      </w:r>
      <w:r>
        <w:t xml:space="preserve">across the Bioconductor teaching community</w:t>
      </w:r>
      <w:r>
        <w:t xml:space="preserve"> </w:t>
      </w:r>
      <w:r>
        <w:t xml:space="preserve">(Drnevich et al. 2025)</w:t>
      </w:r>
      <w:r>
        <w:t xml:space="preserve">.</w:t>
      </w:r>
    </w:p>
    <w:bookmarkEnd w:id="14"/>
    <w:bookmarkStart w:id="18" w:name="methods"/>
    <w:p>
      <w:pPr>
        <w:pStyle w:val="Heading1"/>
      </w:pPr>
      <w:r>
        <w:t xml:space="preserve">Methods</w:t>
      </w:r>
    </w:p>
    <w:bookmarkStart w:id="15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The book is built as a Quarto book</w:t>
      </w:r>
      <w:r>
        <w:t xml:space="preserve"> </w:t>
      </w:r>
      <w:r>
        <w:t xml:space="preserve">(Allaire et al. 2024)</w:t>
      </w:r>
      <w:r>
        <w:t xml:space="preserve"> </w:t>
      </w:r>
      <w:r>
        <w:t xml:space="preserve">so that rendering</w:t>
      </w:r>
      <w:r>
        <w:t xml:space="preserve"> </w:t>
      </w:r>
      <w:r>
        <w:rPr>
          <w:i/>
          <w:iCs/>
        </w:rPr>
        <w:t xml:space="preserve">executes</w:t>
      </w:r>
      <w:r>
        <w:t xml:space="preserve"> </w:t>
      </w:r>
      <w:r>
        <w:t xml:space="preserve">the R code in each chapter: the prose, the code, and the</w:t>
      </w:r>
      <w:r>
        <w:t xml:space="preserve"> </w:t>
      </w:r>
      <w:r>
        <w:t xml:space="preserve">output the reader sees are produced from the same source and are always in sync. This</w:t>
      </w:r>
      <w:r>
        <w:t xml:space="preserve"> </w:t>
      </w:r>
      <w:r>
        <w:t xml:space="preserve">executable design is at the core of the book. It makes the entire book a reproducible</w:t>
      </w:r>
      <w:r>
        <w:t xml:space="preserve"> </w:t>
      </w:r>
      <w:r>
        <w:t xml:space="preserve">artifact rather than a static document, and it means that keeping the book correct is</w:t>
      </w:r>
      <w:r>
        <w:t xml:space="preserve"> </w:t>
      </w:r>
      <w:r>
        <w:t xml:space="preserve">the same act as keeping the code runnable.</w:t>
      </w:r>
    </w:p>
    <w:p>
      <w:pPr>
        <w:pStyle w:val="BodyText"/>
      </w:pPr>
      <w:r>
        <w:t xml:space="preserve">The material is organized around adult-learning principles</w:t>
      </w:r>
      <w:r>
        <w:t xml:space="preserve"> </w:t>
      </w:r>
      <w:r>
        <w:t xml:space="preserve">(Knowles, Holton III, and Swanson 2015)</w:t>
      </w:r>
      <w:r>
        <w:t xml:space="preserve">. Each</w:t>
      </w:r>
      <w:r>
        <w:t xml:space="preserve"> </w:t>
      </w:r>
      <w:r>
        <w:t xml:space="preserve">chapter opens with explicit learning objectives, motivates concepts before</w:t>
      </w:r>
      <w:r>
        <w:t xml:space="preserve"> </w:t>
      </w:r>
      <w:r>
        <w:t xml:space="preserve">formalizing them, and pairs worked examples with exercises and solutions. A</w:t>
      </w:r>
      <w:r>
        <w:t xml:space="preserve"> </w:t>
      </w:r>
      <w:r>
        <w:t xml:space="preserve">consistent callout taxonomy (objectives, notes, warnings, exercises) gives the reader</w:t>
      </w:r>
      <w:r>
        <w:t xml:space="preserve"> </w:t>
      </w:r>
      <w:r>
        <w:t xml:space="preserve">predictable signposts throughout. The narrative is intentionally cumulative: early</w:t>
      </w:r>
      <w:r>
        <w:t xml:space="preserve"> </w:t>
      </w:r>
      <w:r>
        <w:t xml:space="preserve">chapters earn the vocabulary and data structures that the statistics, machine-learning,</w:t>
      </w:r>
      <w:r>
        <w:t xml:space="preserve"> </w:t>
      </w:r>
      <w:r>
        <w:t xml:space="preserve">and genomics chapters reuse. The genomics material is taught against real, public</w:t>
      </w:r>
      <w:r>
        <w:t xml:space="preserve"> </w:t>
      </w:r>
      <w:r>
        <w:t xml:space="preserve">datasets and the Bioconductor classes practitioners actually use — including the</w:t>
      </w:r>
      <w:r>
        <w:t xml:space="preserve"> </w:t>
      </w:r>
      <w:r>
        <w:t xml:space="preserve">genomic-interval infrastructure of</w:t>
      </w:r>
      <w:r>
        <w:t xml:space="preserve"> </w:t>
      </w:r>
      <w:r>
        <w:rPr>
          <w:rStyle w:val="VerbatimChar"/>
        </w:rPr>
        <w:t xml:space="preserve">GenomicRanges</w:t>
      </w:r>
      <w:r>
        <w:t xml:space="preserve"> </w:t>
      </w:r>
      <w:r>
        <w:t xml:space="preserve">(Lawrence et al. 2013)</w:t>
      </w:r>
      <w:r>
        <w:t xml:space="preserve"> </w:t>
      </w:r>
      <w:r>
        <w:t xml:space="preserve">— so the skills</w:t>
      </w:r>
      <w:r>
        <w:t xml:space="preserve"> </w:t>
      </w:r>
      <w:r>
        <w:t xml:space="preserve">transfer directly to the reader’s own analyses. Data manipulation and visualization</w:t>
      </w:r>
      <w:r>
        <w:t xml:space="preserve"> </w:t>
      </w:r>
      <w:r>
        <w:t xml:space="preserve">are taught with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(Wickham et al. 2019)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(Wickham 2016)</w:t>
      </w:r>
      <w:r>
        <w:t xml:space="preserve"> </w:t>
      </w:r>
      <w:r>
        <w:t xml:space="preserve">alongside base R, so that readers encounter the idioms actually used in practice</w:t>
      </w:r>
      <w:r>
        <w:t xml:space="preserve"> </w:t>
      </w:r>
      <w:r>
        <w:t xml:space="preserve">rather than a single house style.</w:t>
      </w:r>
    </w:p>
    <w:bookmarkEnd w:id="15"/>
    <w:bookmarkStart w:id="17" w:name="operation"/>
    <w:p>
      <w:pPr>
        <w:pStyle w:val="Heading2"/>
      </w:pPr>
      <w:r>
        <w:t xml:space="preserve">Operation</w:t>
      </w:r>
    </w:p>
    <w:p>
      <w:pPr>
        <w:pStyle w:val="FirstParagraph"/>
      </w:pPr>
      <w:r>
        <w:rPr>
          <w:b/>
          <w:bCs/>
        </w:rPr>
        <w:t xml:space="preserve">Minimal requirements.</w:t>
      </w:r>
      <w:r>
        <w:t xml:space="preserve"> </w:t>
      </w:r>
      <w:r>
        <w:t xml:space="preserve">Reading the book online requires only a web browser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https://seandavi.github.io/RBiocBook</w:t>
        </w:r>
      </w:hyperlink>
      <w:r>
        <w:t xml:space="preserve">). Building or extending it locally requires R</w:t>
      </w:r>
      <w:r>
        <w:t xml:space="preserve"> </w:t>
      </w:r>
      <w:r>
        <w:t xml:space="preserve">with the packages declared in the repository’s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and</w:t>
      </w:r>
      <w:r>
        <w:t xml:space="preserve"> </w:t>
      </w:r>
      <w:hyperlink r:id="rId16">
        <w:r>
          <w:rPr>
            <w:rStyle w:val="Hyperlink"/>
          </w:rPr>
          <w:t xml:space="preserve">Quarto</w:t>
        </w:r>
      </w:hyperlink>
      <w:r>
        <w:t xml:space="preserve">; the</w:t>
      </w:r>
      <w:r>
        <w:t xml:space="preserve"> </w:t>
      </w:r>
      <w:r>
        <w:rPr>
          <w:rStyle w:val="VerbatimChar"/>
        </w:rPr>
        <w:t xml:space="preserve">knitr</w:t>
      </w:r>
      <w:r>
        <w:t xml:space="preserve"> </w:t>
      </w:r>
      <w:r>
        <w:t xml:space="preserve">engine executes each chapter’s R at render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Workflow.</w:t>
      </w:r>
      <w:r>
        <w:t xml:space="preserve"> </w:t>
      </w:r>
      <w:r>
        <w:t xml:space="preserve">From a clone of the repository: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                      </w:t>
      </w:r>
      <w:r>
        <w:rPr>
          <w:rStyle w:val="CommentTok"/>
        </w:rPr>
        <w:t xml:space="preserve"># all formats (html, pdf, epub) into _book/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                      </w:t>
      </w:r>
      <w:r>
        <w:rPr>
          <w:rStyle w:val="CommentTok"/>
        </w:rPr>
        <w:t xml:space="preserve"># live-reload server while editing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  </w:t>
      </w:r>
      <w:r>
        <w:rPr>
          <w:rStyle w:val="CommentTok"/>
        </w:rPr>
        <w:t xml:space="preserve"># single chapter, fast iteration</w:t>
      </w:r>
    </w:p>
    <w:p>
      <w:pPr>
        <w:pStyle w:val="FirstParagraph"/>
      </w:pPr>
      <w:r>
        <w:rPr>
          <w:b/>
          <w:bCs/>
        </w:rPr>
        <w:t xml:space="preserve">Adoption modes.</w:t>
      </w:r>
      <w:r>
        <w:t xml:space="preserve"> </w:t>
      </w:r>
      <w:r>
        <w:t xml:space="preserve">Because each chapter is a self-contained, executable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document, an instructor can (i) assign the online edition for self-paced study,</w:t>
      </w:r>
      <w:r>
        <w:t xml:space="preserve"> </w:t>
      </w:r>
      <w:r>
        <w:t xml:space="preserve">(ii) adopt an individual chapter as a lab, or (iii) fork the repository and adapt</w:t>
      </w:r>
      <w:r>
        <w:t xml:space="preserve"> </w:t>
      </w:r>
      <w:r>
        <w:t xml:space="preserve">chapters for a local course, re-rendering to regenerate every result. The book is</w:t>
      </w:r>
      <w:r>
        <w:t xml:space="preserve"> </w:t>
      </w:r>
      <w:r>
        <w:t xml:space="preserve">versioned and each release is archived with a citable DOI, so a course can pin to a</w:t>
      </w:r>
      <w:r>
        <w:t xml:space="preserve"> </w:t>
      </w:r>
      <w:r>
        <w:t xml:space="preserve">specific version.</w:t>
      </w:r>
    </w:p>
    <w:bookmarkEnd w:id="17"/>
    <w:bookmarkEnd w:id="18"/>
    <w:bookmarkStart w:id="19" w:name="use-cases"/>
    <w:p>
      <w:pPr>
        <w:pStyle w:val="Heading1"/>
      </w:pPr>
      <w:r>
        <w:t xml:space="preserve">Use cases</w:t>
      </w:r>
    </w:p>
    <w:p>
      <w:pPr>
        <w:pStyle w:val="FirstParagraph"/>
      </w:pPr>
      <w:r>
        <w:rPr>
          <w:i/>
          <w:iCs/>
        </w:rPr>
        <w:t xml:space="preserve">The RBioc Book</w:t>
      </w:r>
      <w:r>
        <w:t xml:space="preserve"> </w:t>
      </w:r>
      <w:r>
        <w:t xml:space="preserve">is designed to support both synchronous and asynchronous teaching:</w:t>
      </w:r>
      <w:r>
        <w:t xml:space="preserve"> </w:t>
      </w:r>
      <w:r>
        <w:t xml:space="preserve">learners ingest material at their own pace, freeing instructors to engage</w:t>
      </w:r>
      <w:r>
        <w:t xml:space="preserve"> </w:t>
      </w:r>
      <w:r>
        <w:t xml:space="preserve">participants directly rather than lecture syntax.</w:t>
      </w:r>
    </w:p>
    <w:p>
      <w:pPr>
        <w:pStyle w:val="BodyText"/>
      </w:pPr>
      <w:r>
        <w:rPr>
          <w:b/>
          <w:bCs/>
        </w:rPr>
        <w:t xml:space="preserve">Executable chapter (input → output).</w:t>
      </w:r>
      <w:r>
        <w:t xml:space="preserve"> </w:t>
      </w:r>
      <w:r>
        <w:t xml:space="preserve">The single-cell RNA-seq chapter is</w:t>
      </w:r>
      <w:r>
        <w:t xml:space="preserve"> </w:t>
      </w:r>
      <w:r>
        <w:t xml:space="preserve">representative. It loads a published mouse-brain dataset as a</w:t>
      </w:r>
      <w:r>
        <w:t xml:space="preserve"> </w:t>
      </w:r>
      <w:r>
        <w:rPr>
          <w:rStyle w:val="VerbatimChar"/>
        </w:rPr>
        <w:t xml:space="preserve">SingleCellExperiment</w:t>
      </w:r>
      <w:r>
        <w:t xml:space="preserve">,</w:t>
      </w:r>
      <w:r>
        <w:t xml:space="preserve"> </w:t>
      </w:r>
      <w:r>
        <w:t xml:space="preserve">log-normalizes the counts, selects highly variable genes, runs PCA and UMAP, clusters</w:t>
      </w:r>
      <w:r>
        <w:t xml:space="preserve"> </w:t>
      </w:r>
      <w:r>
        <w:t xml:space="preserve">the cells, and identifies and visualizes the marker genes that define each cluster —</w:t>
      </w:r>
      <w:r>
        <w:t xml:space="preserve"> </w:t>
      </w:r>
      <w:r>
        <w:t xml:space="preserve">producing every table and figure inline at render time, with no hidden state, so a</w:t>
      </w:r>
      <w:r>
        <w:t xml:space="preserve"> </w:t>
      </w:r>
      <w:r>
        <w:t xml:space="preserve">reader reproduces the chapter by rendering it. It also shows the cumulative design</w:t>
      </w:r>
      <w:r>
        <w:t xml:space="preserve"> </w:t>
      </w:r>
      <w:r>
        <w:t xml:space="preserve">concretely:</w:t>
      </w:r>
      <w:r>
        <w:t xml:space="preserve"> </w:t>
      </w:r>
      <w:r>
        <w:rPr>
          <w:rStyle w:val="VerbatimChar"/>
        </w:rPr>
        <w:t xml:space="preserve">SingleCellExperiment</w:t>
      </w:r>
      <w:r>
        <w:t xml:space="preserve"> </w:t>
      </w:r>
      <w:r>
        <w:t xml:space="preserve">is introduced as an extension of the</w:t>
      </w:r>
      <w:r>
        <w:t xml:space="preserve"> </w:t>
      </w:r>
      <w:r>
        <w:rPr>
          <w:rStyle w:val="VerbatimChar"/>
        </w:rPr>
        <w:t xml:space="preserve">SummarizedExperiment</w:t>
      </w:r>
      <w:r>
        <w:t xml:space="preserve"> </w:t>
      </w:r>
      <w:r>
        <w:t xml:space="preserve">class taught in an earlier chapter, and the chapter tells the</w:t>
      </w:r>
      <w:r>
        <w:t xml:space="preserve"> </w:t>
      </w:r>
      <w:r>
        <w:t xml:space="preserve">reader to revisit that chapter first if the container’s structure is not fresh. This</w:t>
      </w:r>
      <w:r>
        <w:t xml:space="preserve"> </w:t>
      </w:r>
      <w:r>
        <w:t xml:space="preserve">input (chapter source + declared R environment) → output (rendered prose, code, and</w:t>
      </w:r>
      <w:r>
        <w:t xml:space="preserve"> </w:t>
      </w:r>
      <w:r>
        <w:t xml:space="preserve">result) round-trip is the unit the book is built from.</w:t>
      </w:r>
    </w:p>
    <w:p>
      <w:pPr>
        <w:pStyle w:val="BodyText"/>
      </w:pPr>
      <w:r>
        <w:rPr>
          <w:b/>
          <w:bCs/>
        </w:rPr>
        <w:t xml:space="preserve">Formal course use.</w:t>
      </w:r>
      <w:r>
        <w:t xml:space="preserve"> </w:t>
      </w:r>
      <w:r>
        <w:t xml:space="preserve">The book has been taught in four formal offerings — the Cold</w:t>
      </w:r>
      <w:r>
        <w:t xml:space="preserve"> </w:t>
      </w:r>
      <w:r>
        <w:t xml:space="preserve">Spring Harbor Laboratory data-analysis course (2025 and 2026) and the BigCARE program</w:t>
      </w:r>
      <w:r>
        <w:t xml:space="preserve"> </w:t>
      </w:r>
      <w:r>
        <w:t xml:space="preserve">(2025 and 2026), each with roughly 25 participants per session (about 100 trainees</w:t>
      </w:r>
      <w:r>
        <w:t xml:space="preserve"> </w:t>
      </w:r>
      <w:r>
        <w:t xml:space="preserve">over two years).</w:t>
      </w:r>
    </w:p>
    <w:p>
      <w:pPr>
        <w:pStyle w:val="BodyText"/>
      </w:pPr>
      <w:r>
        <w:rPr>
          <w:b/>
          <w:bCs/>
        </w:rPr>
        <w:t xml:space="preserve">Open readership.</w:t>
      </w:r>
      <w:r>
        <w:t xml:space="preserve"> </w:t>
      </w:r>
      <w:r>
        <w:t xml:space="preserve">Beyond the classroom, between May 2024 and August 2026 the online</w:t>
      </w:r>
      <w:r>
        <w:t xml:space="preserve"> </w:t>
      </w:r>
      <w:r>
        <w:t xml:space="preserve">edition recorded 9,098 page views across 62 distinct pages from 1,475 unique readers.</w:t>
      </w:r>
      <w:r>
        <w:t xml:space="preserve"> </w:t>
      </w:r>
      <w:r>
        <w:t xml:space="preserve">The reader count is Google Analytics 4’s own de-duplicated figure for pages under the</w:t>
      </w:r>
      <w:r>
        <w:t xml:space="preserve"> </w:t>
      </w:r>
      <w:r>
        <w:t xml:space="preserve">book’s path prefix, so a reader who works through several chapters is counted once; it</w:t>
      </w:r>
      <w:r>
        <w:t xml:space="preserve"> </w:t>
      </w:r>
      <w:r>
        <w:t xml:space="preserve">is not a sum of per-page counts, which would over-count the same reader to 4,933. For</w:t>
      </w:r>
      <w:r>
        <w:t xml:space="preserve"> </w:t>
      </w:r>
      <w:r>
        <w:t xml:space="preserve">scale, the landing page alone accounts for 990 of those readers. Engagement is</w:t>
      </w:r>
      <w:r>
        <w:t xml:space="preserve"> </w:t>
      </w:r>
      <w:r>
        <w:t xml:space="preserve">substantial where the material is hardest: the single-cell chapter averaged 7.4 minutes</w:t>
      </w:r>
      <w:r>
        <w:t xml:space="preserve"> </w:t>
      </w:r>
      <w:r>
        <w:t xml:space="preserve">of active engagement per reader,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and simulation chapters 6.7 and 6.0</w:t>
      </w:r>
      <w:r>
        <w:t xml:space="preserve"> </w:t>
      </w:r>
      <w:r>
        <w:t xml:space="preserve">minutes, and the R-basics chapter 4.4 minutes, indicating that readers work through</w:t>
      </w:r>
      <w:r>
        <w:t xml:space="preserve"> </w:t>
      </w:r>
      <w:r>
        <w:t xml:space="preserve">the material rather than skim it. The underlying export is archived in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paper/data/</w:t>
      </w:r>
      <w:r>
        <w:t xml:space="preserve">), and the script that produced it is included (</w:t>
      </w:r>
      <w:r>
        <w:rPr>
          <w:rStyle w:val="VerbatimChar"/>
        </w:rPr>
        <w:t xml:space="preserve">paper/ga4_pull.py</w:t>
      </w:r>
      <w:r>
        <w:t xml:space="preserve">), so</w:t>
      </w:r>
      <w:r>
        <w:t xml:space="preserve"> </w:t>
      </w:r>
      <w:r>
        <w:t xml:space="preserve">every figure here can be recomputed. The book continues to be developed in the open and</w:t>
      </w:r>
      <w:r>
        <w:t xml:space="preserve"> </w:t>
      </w:r>
      <w:r>
        <w:t xml:space="preserve">contains social coding best practice guidance to accept contributions.</w:t>
      </w:r>
    </w:p>
    <w:bookmarkEnd w:id="19"/>
    <w:bookmarkStart w:id="2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rPr>
          <w:i/>
          <w:iCs/>
        </w:rPr>
        <w:t xml:space="preserve">The RBioc Book</w:t>
      </w:r>
      <w:r>
        <w:t xml:space="preserve"> </w:t>
      </w:r>
      <w:r>
        <w:t xml:space="preserve">closes the gap between</w:t>
      </w:r>
      <w:r>
        <w:t xml:space="preserve"> </w:t>
      </w:r>
      <w:r>
        <w:t xml:space="preserve">“how to run R”</w:t>
      </w:r>
      <w:r>
        <w:t xml:space="preserve"> </w:t>
      </w:r>
      <w:r>
        <w:t xml:space="preserve">and</w:t>
      </w:r>
      <w:r>
        <w:t xml:space="preserve"> </w:t>
      </w:r>
      <w:r>
        <w:t xml:space="preserve">“how to reason about, and</w:t>
      </w:r>
      <w:r>
        <w:t xml:space="preserve"> </w:t>
      </w:r>
      <w:r>
        <w:t xml:space="preserve">reproducibly perform, biological data analysis,”</w:t>
      </w:r>
      <w:r>
        <w:t xml:space="preserve"> </w:t>
      </w:r>
      <w:r>
        <w:t xml:space="preserve">in one continuous path from a first</w:t>
      </w:r>
      <w:r>
        <w:t xml:space="preserve"> </w:t>
      </w:r>
      <w:r>
        <w:t xml:space="preserve">line of R to real Bioconductor genomics. Its executable, openly-licensed,</w:t>
      </w:r>
      <w:r>
        <w:t xml:space="preserve"> </w:t>
      </w:r>
      <w:r>
        <w:t xml:space="preserve">version-archived design makes it a reusable teaching resource — adoptable whole or in</w:t>
      </w:r>
      <w:r>
        <w:t xml:space="preserve"> </w:t>
      </w:r>
      <w:r>
        <w:t xml:space="preserve">part — and a template for community-maintained, reproducible teaching materials in</w:t>
      </w:r>
      <w:r>
        <w:t xml:space="preserve"> </w:t>
      </w:r>
      <w:r>
        <w:t xml:space="preserve">the Bioconductor ecosystem.</w:t>
      </w:r>
    </w:p>
    <w:p>
      <w:pPr>
        <w:pStyle w:val="BodyText"/>
      </w:pPr>
      <w:r>
        <w:rPr>
          <w:b/>
          <w:bCs/>
        </w:rPr>
        <w:t xml:space="preserve">Scope and limitations.</w:t>
      </w:r>
      <w:r>
        <w:t xml:space="preserve"> </w:t>
      </w:r>
      <w:r>
        <w:t xml:space="preserve">The book is a teaching resource, not a methods reference:</w:t>
      </w:r>
      <w:r>
        <w:t xml:space="preserve"> </w:t>
      </w:r>
      <w:r>
        <w:t xml:space="preserve">it teaches the reasoning and the standard workflow for each topic rather than</w:t>
      </w:r>
      <w:r>
        <w:t xml:space="preserve"> </w:t>
      </w:r>
      <w:r>
        <w:t xml:space="preserve">surveying alternatives, and it deliberately stops short of specialized or</w:t>
      </w:r>
      <w:r>
        <w:t xml:space="preserve"> </w:t>
      </w:r>
      <w:r>
        <w:t xml:space="preserve">fast-moving areas — among them multi-omic integration, spatial transcriptomics,</w:t>
      </w:r>
      <w:r>
        <w:t xml:space="preserve"> </w:t>
      </w:r>
      <w:r>
        <w:t xml:space="preserve">and workflow-level pipeline orchestration — that would date quickly or require</w:t>
      </w:r>
      <w:r>
        <w:t xml:space="preserve"> </w:t>
      </w:r>
      <w:r>
        <w:t xml:space="preserve">prerequisites the book does not build. The evidence of use reported here is</w:t>
      </w:r>
      <w:r>
        <w:t xml:space="preserve"> </w:t>
      </w:r>
      <w:r>
        <w:t xml:space="preserve">adoption and engagement data; the book has not been evaluated against learning</w:t>
      </w:r>
      <w:r>
        <w:t xml:space="preserve"> </w:t>
      </w:r>
      <w:r>
        <w:t xml:space="preserve">outcomes in a controlled setting, and such a study would be the natural next step</w:t>
      </w:r>
      <w:r>
        <w:t xml:space="preserve"> </w:t>
      </w:r>
      <w:r>
        <w:t xml:space="preserve">for assessing pedagogical effect rather than reach. Being executable also carries an</w:t>
      </w:r>
      <w:r>
        <w:t xml:space="preserve"> </w:t>
      </w:r>
      <w:r>
        <w:t xml:space="preserve">ongoing maintenance obligation: chapters are re-rendered against current package</w:t>
      </w:r>
      <w:r>
        <w:t xml:space="preserve"> </w:t>
      </w:r>
      <w:r>
        <w:t xml:space="preserve">versions, and upstream Bioconductor changes require corresponding updates — a cost</w:t>
      </w:r>
      <w:r>
        <w:t xml:space="preserve"> </w:t>
      </w:r>
      <w:r>
        <w:t xml:space="preserve">the design converts from silent documentation rot into a visible build failure, but</w:t>
      </w:r>
      <w:r>
        <w:t xml:space="preserve"> </w:t>
      </w:r>
      <w:r>
        <w:t xml:space="preserve">does not eliminate.</w:t>
      </w:r>
    </w:p>
    <w:bookmarkEnd w:id="20"/>
    <w:bookmarkStart w:id="23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book teaches against publicly available datasets, cited and linked in place</w:t>
      </w:r>
      <w:r>
        <w:t xml:space="preserve"> </w:t>
      </w:r>
      <w:r>
        <w:t xml:space="preserve">within the relevant chapters. Website usage figures reported here were derived from</w:t>
      </w:r>
      <w:r>
        <w:t xml:space="preserve"> </w:t>
      </w:r>
      <w:r>
        <w:t xml:space="preserve">Google Analytics 4, restricted to pages under the book’s path prefix, over</w:t>
      </w:r>
      <w:r>
        <w:t xml:space="preserve"> </w:t>
      </w:r>
      <w:r>
        <w:t xml:space="preserve">May 2024–August 2026. Both the export used for the reported totals and the script</w:t>
      </w:r>
      <w:r>
        <w:t xml:space="preserve"> </w:t>
      </w:r>
      <w:r>
        <w:t xml:space="preserve">that generated it are included in the source repository (</w:t>
      </w:r>
      <w:r>
        <w:rPr>
          <w:rStyle w:val="VerbatimChar"/>
        </w:rPr>
        <w:t xml:space="preserve">paper/data/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paper/ga4_pull.py</w:t>
      </w:r>
      <w:r>
        <w:t xml:space="preserve">), so the figures can be reproduced or recomputed for a later</w:t>
      </w:r>
      <w:r>
        <w:t xml:space="preserve"> </w:t>
      </w:r>
      <w:r>
        <w:t xml:space="preserve">window. They are also captured in the archived release of the book deposited at</w:t>
      </w:r>
      <w:r>
        <w:t xml:space="preserve"> </w:t>
      </w:r>
      <w:r>
        <w:t xml:space="preserve">Zenodo (version 2026.08.06,</w:t>
      </w:r>
      <w:r>
        <w:t xml:space="preserve"> </w:t>
      </w:r>
      <w:hyperlink r:id="rId21">
        <w:r>
          <w:rPr>
            <w:rStyle w:val="Hyperlink"/>
          </w:rPr>
          <w:t xml:space="preserve">https://doi.org/10.5281/zenodo.21823063</w:t>
        </w:r>
      </w:hyperlink>
      <w:r>
        <w:t xml:space="preserve">; concept DOI</w:t>
      </w:r>
      <w:r>
        <w:t xml:space="preserve"> </w:t>
      </w:r>
      <w:hyperlink r:id="rId22">
        <w:r>
          <w:rPr>
            <w:rStyle w:val="Hyperlink"/>
          </w:rPr>
          <w:t xml:space="preserve">https://doi.org/10.5281/zenodo.20574829</w:t>
        </w:r>
      </w:hyperlink>
      <w:r>
        <w:t xml:space="preserve"> </w:t>
      </w:r>
      <w:r>
        <w:t xml:space="preserve">always resolves to the latest version).</w:t>
      </w:r>
    </w:p>
    <w:bookmarkEnd w:id="23"/>
    <w:bookmarkStart w:id="25" w:name="software-and-resource-availability"/>
    <w:p>
      <w:pPr>
        <w:pStyle w:val="Heading1"/>
      </w:pPr>
      <w:r>
        <w:t xml:space="preserve">Software and resource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code / book repository:</w:t>
      </w:r>
      <w:r>
        <w:t xml:space="preserve"> </w:t>
      </w:r>
      <w:hyperlink r:id="rId24">
        <w:r>
          <w:rPr>
            <w:rStyle w:val="Hyperlink"/>
          </w:rPr>
          <w:t xml:space="preserve">https://github.com/seandavi/RBiocBook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book:</w:t>
      </w:r>
      <w:r>
        <w:t xml:space="preserve"> </w:t>
      </w:r>
      <w:hyperlink r:id="rId13">
        <w:r>
          <w:rPr>
            <w:rStyle w:val="Hyperlink"/>
          </w:rPr>
          <w:t xml:space="preserve">https://seandavi.github.io/RBiocBook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Archived version (concept DOI):</w:t>
      </w:r>
      <w:r>
        <w:t xml:space="preserve"> </w:t>
      </w:r>
      <w:hyperlink r:id="rId22">
        <w:r>
          <w:rPr>
            <w:rStyle w:val="Hyperlink"/>
          </w:rPr>
          <w:t xml:space="preserve">https://doi.org/10.5281/zenodo.20574829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Original content (prose, original figures, example code) is released</w:t>
      </w:r>
      <w:r>
        <w:t xml:space="preserve"> </w:t>
      </w:r>
      <w:r>
        <w:t xml:space="preserve">under CC-BY 4.0; example code is additionally reusable as such. Third-party figures,</w:t>
      </w:r>
      <w:r>
        <w:t xml:space="preserve"> </w:t>
      </w:r>
      <w:r>
        <w:t xml:space="preserve">datasets, and adapted passages retain their own open licenses, each documented on</w:t>
      </w:r>
      <w:r>
        <w:t xml:space="preserve"> </w:t>
      </w:r>
      <w:r>
        <w:t xml:space="preserve">the book’s</w:t>
      </w:r>
      <w:r>
        <w:t xml:space="preserve"> </w:t>
      </w:r>
      <w:r>
        <w:rPr>
          <w:i/>
          <w:iCs/>
        </w:rPr>
        <w:t xml:space="preserve">Contributors &amp; acknowledgments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Machine-readable citation: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in the repository.</w:t>
      </w:r>
    </w:p>
    <w:bookmarkEnd w:id="25"/>
    <w:bookmarkStart w:id="26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Lori Shepherd Kern — authored</w:t>
      </w:r>
      <w:r>
        <w:t xml:space="preserve"> </w:t>
      </w:r>
      <w:r>
        <w:rPr>
          <w:i/>
          <w:iCs/>
        </w:rPr>
        <w:t xml:space="preserve">Base R versus the tidyverse</w:t>
      </w:r>
      <w:r>
        <w:t xml:space="preserve">,</w:t>
      </w:r>
      <w:r>
        <w:t xml:space="preserve"> </w:t>
      </w:r>
      <w:r>
        <w:rPr>
          <w:i/>
          <w:iCs/>
        </w:rPr>
        <w:t xml:space="preserve">Control statements</w:t>
      </w:r>
      <w:r>
        <w:t xml:space="preserve">,</w:t>
      </w:r>
      <w:r>
        <w:t xml:space="preserve"> </w:t>
      </w:r>
      <w:r>
        <w:rPr>
          <w:i/>
          <w:iCs/>
        </w:rPr>
        <w:t xml:space="preserve">Factors</w:t>
      </w:r>
      <w:r>
        <w:t xml:space="preserve">, and</w:t>
      </w:r>
      <w:r>
        <w:t xml:space="preserve"> </w:t>
      </w:r>
      <w:r>
        <w:rPr>
          <w:i/>
          <w:iCs/>
        </w:rPr>
        <w:t xml:space="preserve">Organizing, saving, and loading your work</w:t>
      </w:r>
      <w:r>
        <w:t xml:space="preserve">, with edits throughout.</w:t>
      </w:r>
      <w:r>
        <w:t xml:space="preserve"> </w:t>
      </w:r>
      <w:r>
        <w:t xml:space="preserve">Sean Davis — conceived the book; primary author and editor; wrote most chapters. Both</w:t>
      </w:r>
      <w:r>
        <w:t xml:space="preserve"> </w:t>
      </w:r>
      <w:r>
        <w:t xml:space="preserve">authors reviewed and approved the manuscript.</w:t>
      </w:r>
    </w:p>
    <w:bookmarkEnd w:id="26"/>
    <w:bookmarkStart w:id="27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No competing interests were disclosed.</w:t>
      </w:r>
    </w:p>
    <w:bookmarkEnd w:id="27"/>
    <w:bookmarkStart w:id="28" w:name="grant-information"/>
    <w:p>
      <w:pPr>
        <w:pStyle w:val="Heading1"/>
      </w:pPr>
      <w:r>
        <w:t xml:space="preserve">Grant information</w:t>
      </w:r>
    </w:p>
    <w:p>
      <w:pPr>
        <w:pStyle w:val="FirstParagraph"/>
      </w:pPr>
      <w:r>
        <w:t xml:space="preserve">This work was supported in part by the US National Institutes of Health / National</w:t>
      </w:r>
      <w:r>
        <w:t xml:space="preserve"> </w:t>
      </w:r>
      <w:r>
        <w:t xml:space="preserve">Cancer Institute Informatics Technology for Cancer Research (ITCR) program through the</w:t>
      </w:r>
      <w:r>
        <w:t xml:space="preserve"> </w:t>
      </w:r>
      <w:r>
        <w:t xml:space="preserve">Bioconductor U24 award (U24 CA289073).</w:t>
      </w:r>
    </w:p>
    <w:bookmarkEnd w:id="28"/>
    <w:bookmarkStart w:id="29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We thank Martin Morgan (Bioconductor Core Team) for contributions to the</w:t>
      </w:r>
      <w:r>
        <w:t xml:space="preserve"> </w:t>
      </w:r>
      <w:r>
        <w:rPr>
          <w:i/>
          <w:iCs/>
        </w:rPr>
        <w:t xml:space="preserve">Base R</w:t>
      </w:r>
      <w:r>
        <w:rPr>
          <w:i/>
          <w:iCs/>
        </w:rPr>
        <w:t xml:space="preserve"> </w:t>
      </w:r>
      <w:r>
        <w:rPr>
          <w:i/>
          <w:iCs/>
        </w:rPr>
        <w:t xml:space="preserve">versus the tidyverse</w:t>
      </w:r>
      <w:r>
        <w:t xml:space="preserve"> </w:t>
      </w:r>
      <w:r>
        <w:t xml:space="preserve">chapter and the</w:t>
      </w:r>
      <w:r>
        <w:t xml:space="preserve"> </w:t>
      </w:r>
      <w:r>
        <w:rPr>
          <w:i/>
          <w:iCs/>
        </w:rPr>
        <w:t xml:space="preserve">BRFSS case study</w:t>
      </w:r>
      <w:r>
        <w:t xml:space="preserve">; the Cold Spring Harbor</w:t>
      </w:r>
      <w:r>
        <w:t xml:space="preserve"> </w:t>
      </w:r>
      <w:r>
        <w:t xml:space="preserve">Laboratory and BigCARE course participants whose questions shaped the material; the</w:t>
      </w:r>
      <w:r>
        <w:t xml:space="preserve"> </w:t>
      </w:r>
      <w:r>
        <w:t xml:space="preserve">Bioconductor community; and the contributors credited on the book’s</w:t>
      </w:r>
      <w:r>
        <w:t xml:space="preserve"> </w:t>
      </w:r>
      <w:r>
        <w:rPr>
          <w:i/>
          <w:iCs/>
        </w:rPr>
        <w:t xml:space="preserve">Contributors &amp;</w:t>
      </w:r>
      <w:r>
        <w:rPr>
          <w:i/>
          <w:iCs/>
        </w:rPr>
        <w:t xml:space="preserve"> </w:t>
      </w:r>
      <w:r>
        <w:rPr>
          <w:i/>
          <w:iCs/>
        </w:rPr>
        <w:t xml:space="preserve">acknowledgments</w:t>
      </w:r>
      <w:r>
        <w:t xml:space="preserve"> </w:t>
      </w:r>
      <w:r>
        <w:t xml:space="preserve">page.</w:t>
      </w:r>
    </w:p>
    <w:bookmarkEnd w:id="29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31" w:name="ref-quarto2024"/>
    <w:p>
      <w:pPr>
        <w:pStyle w:val="Bibliography"/>
      </w:pPr>
      <w:r>
        <w:t xml:space="preserve">Allaire, J. J., Charles Teague, Carlos Scheidegger, Yihui Xie, and Christophe Dervieux. 2024.</w:t>
      </w:r>
      <w:r>
        <w:t xml:space="preserve"> </w:t>
      </w:r>
      <w:r>
        <w:t xml:space="preserve">“Quarto.”</w:t>
      </w:r>
      <w:r>
        <w:t xml:space="preserve"> </w:t>
      </w:r>
      <w:hyperlink r:id="rId30">
        <w:r>
          <w:rPr>
            <w:rStyle w:val="Hyperlink"/>
          </w:rPr>
          <w:t xml:space="preserve">https://doi.org/10.5281/zenodo.5960048</w:t>
        </w:r>
      </w:hyperlink>
      <w:r>
        <w:t xml:space="preserve">.</w:t>
      </w:r>
    </w:p>
    <w:bookmarkEnd w:id="31"/>
    <w:bookmarkStart w:id="33" w:name="ref-amezquita2020"/>
    <w:p>
      <w:pPr>
        <w:pStyle w:val="Bibliography"/>
      </w:pPr>
      <w:r>
        <w:t xml:space="preserve">Amezquita, Robert A, Aaron T L Lun, Etienne Becht, Vince J Carey, Lindsay N Carpp, Ludwig Geistlinger, Federico Marini, et al. 2020.</w:t>
      </w:r>
      <w:r>
        <w:t xml:space="preserve"> </w:t>
      </w:r>
      <w:r>
        <w:t xml:space="preserve">“Orchestrating Single-Cell Analysis with</w:t>
      </w:r>
      <w:r>
        <w:t xml:space="preserve"> </w:t>
      </w:r>
      <w:r>
        <w:t xml:space="preserve">Bioconductor</w:t>
      </w:r>
      <w:r>
        <w:t xml:space="preserve">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17 (2): 137–45.</w:t>
      </w:r>
      <w:r>
        <w:t xml:space="preserve"> </w:t>
      </w:r>
      <w:hyperlink r:id="rId32">
        <w:r>
          <w:rPr>
            <w:rStyle w:val="Hyperlink"/>
          </w:rPr>
          <w:t xml:space="preserve">https://doi.org/10.1038/s41592-019-0654-x</w:t>
        </w:r>
      </w:hyperlink>
      <w:r>
        <w:t xml:space="preserve">.</w:t>
      </w:r>
    </w:p>
    <w:bookmarkEnd w:id="33"/>
    <w:bookmarkStart w:id="35" w:name="ref-biocteaching2025"/>
    <w:p>
      <w:pPr>
        <w:pStyle w:val="Bibliography"/>
      </w:pPr>
      <w:r>
        <w:t xml:space="preserve">Drnevich, Jenny, Frederick J Tan, Fabricio Almeida-Silva, Robert Castelo, Aedin C Culhane, Sean Davis, Maria A Doyle, et al. 2025.</w:t>
      </w:r>
      <w:r>
        <w:t xml:space="preserve"> </w:t>
      </w:r>
      <w:r>
        <w:t xml:space="preserve">“Learning and Teaching Biological Data Science in the</w:t>
      </w:r>
      <w:r>
        <w:t xml:space="preserve"> </w:t>
      </w:r>
      <w:r>
        <w:t xml:space="preserve">Bioconductor</w:t>
      </w:r>
      <w:r>
        <w:t xml:space="preserve"> </w:t>
      </w:r>
      <w:r>
        <w:t xml:space="preserve">Community.”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https://arxiv.org/abs/2410.01351</w:t>
        </w:r>
      </w:hyperlink>
      <w:r>
        <w:t xml:space="preserve">.</w:t>
      </w:r>
    </w:p>
    <w:bookmarkEnd w:id="35"/>
    <w:bookmarkStart w:id="37" w:name="ref-holmes2019msmb"/>
    <w:p>
      <w:pPr>
        <w:pStyle w:val="Bibliography"/>
      </w:pPr>
      <w:r>
        <w:t xml:space="preserve">Holmes, Susan, and Wolfgang Huber. 2019.</w:t>
      </w:r>
      <w:r>
        <w:t xml:space="preserve"> </w:t>
      </w:r>
      <w:r>
        <w:rPr>
          <w:i/>
          <w:iCs/>
        </w:rPr>
        <w:t xml:space="preserve">Modern Statistics for Modern Biology</w:t>
      </w:r>
      <w:r>
        <w:t xml:space="preserve">. Cambridge, UK: Cambridge University Press.</w:t>
      </w:r>
      <w:r>
        <w:t xml:space="preserve"> </w:t>
      </w:r>
      <w:hyperlink r:id="rId36">
        <w:r>
          <w:rPr>
            <w:rStyle w:val="Hyperlink"/>
          </w:rPr>
          <w:t xml:space="preserve">https://www.huber.embl.de/msmb/</w:t>
        </w:r>
      </w:hyperlink>
      <w:r>
        <w:t xml:space="preserve">.</w:t>
      </w:r>
    </w:p>
    <w:bookmarkEnd w:id="37"/>
    <w:bookmarkStart w:id="39" w:name="ref-huber2015"/>
    <w:p>
      <w:pPr>
        <w:pStyle w:val="Bibliography"/>
      </w:pPr>
      <w:r>
        <w:t xml:space="preserve">Huber, Wolfgang, Vincent J Carey, Robert Gentleman, Simon Anders, Marc Carlson, Benilton S Carvalho, Hector Corrada Bravo, et al. 2015.</w:t>
      </w:r>
      <w:r>
        <w:t xml:space="preserve"> </w:t>
      </w:r>
      <w:r>
        <w:t xml:space="preserve">“Orchestrating High-Throughput Genomic Analysis with</w:t>
      </w:r>
      <w:r>
        <w:t xml:space="preserve"> </w:t>
      </w:r>
      <w:r>
        <w:t xml:space="preserve">Bioconductor</w:t>
      </w:r>
      <w:r>
        <w:t xml:space="preserve">.”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12 (2): 115–21.</w:t>
      </w:r>
      <w:r>
        <w:t xml:space="preserve"> </w:t>
      </w:r>
      <w:hyperlink r:id="rId38">
        <w:r>
          <w:rPr>
            <w:rStyle w:val="Hyperlink"/>
          </w:rPr>
          <w:t xml:space="preserve">https://doi.org/10.1038/nmeth.3252</w:t>
        </w:r>
      </w:hyperlink>
      <w:r>
        <w:t xml:space="preserve">.</w:t>
      </w:r>
    </w:p>
    <w:bookmarkEnd w:id="39"/>
    <w:bookmarkStart w:id="40" w:name="ref-knowles2015adult"/>
    <w:p>
      <w:pPr>
        <w:pStyle w:val="Bibliography"/>
      </w:pPr>
      <w:r>
        <w:t xml:space="preserve">Knowles, Malcolm S, Elwood F Holton III, and Richard A Swanson. 2015.</w:t>
      </w:r>
      <w:r>
        <w:t xml:space="preserve"> </w:t>
      </w:r>
      <w:r>
        <w:rPr>
          <w:i/>
          <w:iCs/>
        </w:rPr>
        <w:t xml:space="preserve">The Adult Learner: The Definitive Classic in Adult Education and Human Resource Development</w:t>
      </w:r>
      <w:r>
        <w:t xml:space="preserve">. 8th ed. Routledge.</w:t>
      </w:r>
    </w:p>
    <w:bookmarkEnd w:id="40"/>
    <w:bookmarkStart w:id="42" w:name="ref-lawrence2013"/>
    <w:p>
      <w:pPr>
        <w:pStyle w:val="Bibliography"/>
      </w:pPr>
      <w:r>
        <w:t xml:space="preserve">Lawrence, Michael, Wolfgang Huber, Hervé Pagès, Patrick Aboyoun, Marc Carlson, Robert Gentleman, Martin T Morgan, and Vincent J Carey. 2013.</w:t>
      </w:r>
      <w:r>
        <w:t xml:space="preserve"> </w:t>
      </w:r>
      <w:r>
        <w:t xml:space="preserve">“Software for Computing and Annotating Genomic Ranges.”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9 (8): e1003118.</w:t>
      </w:r>
      <w:r>
        <w:t xml:space="preserve"> </w:t>
      </w:r>
      <w:hyperlink r:id="rId41">
        <w:r>
          <w:rPr>
            <w:rStyle w:val="Hyperlink"/>
          </w:rPr>
          <w:t xml:space="preserve">https://doi.org/10.1371/journal.pcbi.1003118</w:t>
        </w:r>
      </w:hyperlink>
      <w:r>
        <w:t xml:space="preserve">.</w:t>
      </w:r>
    </w:p>
    <w:bookmarkEnd w:id="42"/>
    <w:bookmarkStart w:id="44" w:name="ref-rcore2024"/>
    <w:p>
      <w:pPr>
        <w:pStyle w:val="Bibliography"/>
      </w:pPr>
      <w:r>
        <w:t xml:space="preserve">R Core Team. 2024.</w:t>
      </w:r>
      <w:r>
        <w:t xml:space="preserve"> </w:t>
      </w:r>
      <w:r>
        <w:t xml:space="preserve">“R: A Language and Environment for Statistical Computing.”</w:t>
      </w:r>
      <w:r>
        <w:t xml:space="preserve"> </w:t>
      </w:r>
      <w:r>
        <w:t xml:space="preserve">Vienna, Austria: R Foundation for Statistical Computing.</w:t>
      </w:r>
      <w:r>
        <w:t xml:space="preserve"> </w:t>
      </w:r>
      <w:hyperlink r:id="rId4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4"/>
    <w:bookmarkStart w:id="46" w:name="ref-wickham2016ggplot2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Springer-Verlag New York.</w:t>
      </w:r>
      <w:r>
        <w:t xml:space="preserve"> </w:t>
      </w:r>
      <w:hyperlink r:id="rId45">
        <w:r>
          <w:rPr>
            <w:rStyle w:val="Hyperlink"/>
          </w:rPr>
          <w:t xml:space="preserve">https://ggplot2-book.org/</w:t>
        </w:r>
      </w:hyperlink>
      <w:r>
        <w:t xml:space="preserve">.</w:t>
      </w:r>
    </w:p>
    <w:bookmarkEnd w:id="46"/>
    <w:bookmarkStart w:id="48" w:name="ref-tidyverse2019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47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48"/>
    <w:bookmarkStart w:id="50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Science: Import, Tidy, Transform, Visualize, and Model Data</w:t>
      </w:r>
      <w:r>
        <w:t xml:space="preserve">. 2nd ed. O’Reilly Media.</w:t>
      </w:r>
      <w:r>
        <w:t xml:space="preserve"> </w:t>
      </w:r>
      <w:hyperlink r:id="rId49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arxiv.org/abs/2410.01351" TargetMode="External" /><Relationship Type="http://schemas.openxmlformats.org/officeDocument/2006/relationships/hyperlink" Id="rId38" Target="https://doi.org/10.1038/nmeth.3252" TargetMode="External" /><Relationship Type="http://schemas.openxmlformats.org/officeDocument/2006/relationships/hyperlink" Id="rId32" Target="https://doi.org/10.1038/s41592-019-0654-x" TargetMode="External" /><Relationship Type="http://schemas.openxmlformats.org/officeDocument/2006/relationships/hyperlink" Id="rId41" Target="https://doi.org/10.1371/journal.pcbi.1003118" TargetMode="External" /><Relationship Type="http://schemas.openxmlformats.org/officeDocument/2006/relationships/hyperlink" Id="rId47" Target="https://doi.org/10.21105/joss.01686" TargetMode="External" /><Relationship Type="http://schemas.openxmlformats.org/officeDocument/2006/relationships/hyperlink" Id="rId22" Target="https://doi.org/10.5281/zenodo.20574829" TargetMode="External" /><Relationship Type="http://schemas.openxmlformats.org/officeDocument/2006/relationships/hyperlink" Id="rId21" Target="https://doi.org/10.5281/zenodo.21823063" TargetMode="External" /><Relationship Type="http://schemas.openxmlformats.org/officeDocument/2006/relationships/hyperlink" Id="rId30" Target="https://doi.org/10.5281/zenodo.5960048" TargetMode="External" /><Relationship Type="http://schemas.openxmlformats.org/officeDocument/2006/relationships/hyperlink" Id="rId45" Target="https://ggplot2-book.org/" TargetMode="External" /><Relationship Type="http://schemas.openxmlformats.org/officeDocument/2006/relationships/hyperlink" Id="rId24" Target="https://github.com/seandavi/RBiocBook" TargetMode="External" /><Relationship Type="http://schemas.openxmlformats.org/officeDocument/2006/relationships/hyperlink" Id="rId9" Target="https://orcid.org/0000-0002-5910-4010" TargetMode="External" /><Relationship Type="http://schemas.openxmlformats.org/officeDocument/2006/relationships/hyperlink" Id="rId10" Target="https://orcid.org/0000-0002-8991-6458" TargetMode="External" /><Relationship Type="http://schemas.openxmlformats.org/officeDocument/2006/relationships/hyperlink" Id="rId16" Target="https://quarto.org/" TargetMode="External" /><Relationship Type="http://schemas.openxmlformats.org/officeDocument/2006/relationships/hyperlink" Id="rId49" Target="https://r4ds.hadley.nz/" TargetMode="External" /><Relationship Type="http://schemas.openxmlformats.org/officeDocument/2006/relationships/hyperlink" Id="rId13" Target="https://seandavi.github.io/RBiocBook" TargetMode="External" /><Relationship Type="http://schemas.openxmlformats.org/officeDocument/2006/relationships/hyperlink" Id="rId43" Target="https://www.R-project.org/" TargetMode="External" /><Relationship Type="http://schemas.openxmlformats.org/officeDocument/2006/relationships/hyperlink" Id="rId36" Target="https://www.huber.embl.de/msmb/" TargetMode="External" /><Relationship Type="http://schemas.openxmlformats.org/officeDocument/2006/relationships/hyperlink" Id="rId11" Target="mailto:seandavi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rxiv.org/abs/2410.01351" TargetMode="External" /><Relationship Type="http://schemas.openxmlformats.org/officeDocument/2006/relationships/hyperlink" Id="rId38" Target="https://doi.org/10.1038/nmeth.3252" TargetMode="External" /><Relationship Type="http://schemas.openxmlformats.org/officeDocument/2006/relationships/hyperlink" Id="rId32" Target="https://doi.org/10.1038/s41592-019-0654-x" TargetMode="External" /><Relationship Type="http://schemas.openxmlformats.org/officeDocument/2006/relationships/hyperlink" Id="rId41" Target="https://doi.org/10.1371/journal.pcbi.1003118" TargetMode="External" /><Relationship Type="http://schemas.openxmlformats.org/officeDocument/2006/relationships/hyperlink" Id="rId47" Target="https://doi.org/10.21105/joss.01686" TargetMode="External" /><Relationship Type="http://schemas.openxmlformats.org/officeDocument/2006/relationships/hyperlink" Id="rId22" Target="https://doi.org/10.5281/zenodo.20574829" TargetMode="External" /><Relationship Type="http://schemas.openxmlformats.org/officeDocument/2006/relationships/hyperlink" Id="rId21" Target="https://doi.org/10.5281/zenodo.21823063" TargetMode="External" /><Relationship Type="http://schemas.openxmlformats.org/officeDocument/2006/relationships/hyperlink" Id="rId30" Target="https://doi.org/10.5281/zenodo.5960048" TargetMode="External" /><Relationship Type="http://schemas.openxmlformats.org/officeDocument/2006/relationships/hyperlink" Id="rId45" Target="https://ggplot2-book.org/" TargetMode="External" /><Relationship Type="http://schemas.openxmlformats.org/officeDocument/2006/relationships/hyperlink" Id="rId24" Target="https://github.com/seandavi/RBiocBook" TargetMode="External" /><Relationship Type="http://schemas.openxmlformats.org/officeDocument/2006/relationships/hyperlink" Id="rId9" Target="https://orcid.org/0000-0002-5910-4010" TargetMode="External" /><Relationship Type="http://schemas.openxmlformats.org/officeDocument/2006/relationships/hyperlink" Id="rId10" Target="https://orcid.org/0000-0002-8991-6458" TargetMode="External" /><Relationship Type="http://schemas.openxmlformats.org/officeDocument/2006/relationships/hyperlink" Id="rId16" Target="https://quarto.org/" TargetMode="External" /><Relationship Type="http://schemas.openxmlformats.org/officeDocument/2006/relationships/hyperlink" Id="rId49" Target="https://r4ds.hadley.nz/" TargetMode="External" /><Relationship Type="http://schemas.openxmlformats.org/officeDocument/2006/relationships/hyperlink" Id="rId13" Target="https://seandavi.github.io/RBiocBook" TargetMode="External" /><Relationship Type="http://schemas.openxmlformats.org/officeDocument/2006/relationships/hyperlink" Id="rId43" Target="https://www.R-project.org/" TargetMode="External" /><Relationship Type="http://schemas.openxmlformats.org/officeDocument/2006/relationships/hyperlink" Id="rId36" Target="https://www.huber.embl.de/msmb/" TargetMode="External" /><Relationship Type="http://schemas.openxmlformats.org/officeDocument/2006/relationships/hyperlink" Id="rId11" Target="mailto:seandavi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for Biologists: A Hands-On Introduction with R and Bioconductor</dc:title>
  <dc:creator>Lori Shepherd Kern1; Sean Davis2 (corresponding)</dc:creator>
  <cp:keywords>R, Bioconductor, data science, genomics, bioinformatics, statistics, reproducible research, open educational resource</cp:keywords>
  <dcterms:created xsi:type="dcterms:W3CDTF">2026-08-06T11:27:08Z</dcterms:created>
  <dcterms:modified xsi:type="dcterms:W3CDTF">2026-08-06T11:27:08Z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rticle_type">
    <vt:lpwstr>Software Tool Article</vt:lpwstr>
  </property>
  <property fmtid="{D5CDD505-2E9C-101B-9397-08002B2CF9AE}" pid="4" name="authors">
    <vt:lpwstr/>
  </property>
  <property fmtid="{D5CDD505-2E9C-101B-9397-08002B2CF9AE}" pid="5" name="bibliography">
    <vt:lpwstr>paper.bib</vt:lpwstr>
  </property>
  <property fmtid="{D5CDD505-2E9C-101B-9397-08002B2CF9AE}" pid="6" name="date">
    <vt:lpwstr>6 August 2026</vt:lpwstr>
  </property>
  <property fmtid="{D5CDD505-2E9C-101B-9397-08002B2CF9AE}" pid="7" name="gateway">
    <vt:lpwstr>Bioconductor</vt:lpwstr>
  </property>
</Properties>
</file>