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40"/>
        <w:jc w:val="center"/>
      </w:pPr>
      <w:r>
        <w:rPr>
          <w:rFonts w:ascii="PingFang SC" w:hAnsi="PingFang SC" w:eastAsia="PingFang SC" w:cs="PingFang SC"/>
          <w:b/>
          <w:color w:val="2E74B5"/>
          <w:sz w:val="21"/>
        </w:rPr>
        <w:t>PRODUCT &amp; BUSINESS PLAN</w:t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b/>
          <w:color w:val="0B2545"/>
          <w:sz w:val="60"/>
        </w:rPr>
        <w:t>协作式数字样板间平台</w:t>
      </w:r>
    </w:p>
    <w:p>
      <w:pPr>
        <w:spacing w:after="80"/>
        <w:jc w:val="center"/>
      </w:pPr>
      <w:r>
        <w:rPr>
          <w:rFonts w:ascii="PingFang SC" w:hAnsi="PingFang SC" w:eastAsia="PingFang SC" w:cs="PingFang SC"/>
          <w:b/>
          <w:color w:val="1F4D78"/>
          <w:sz w:val="36"/>
        </w:rPr>
        <w:t>商业计划与产品开发蓝图</w:t>
      </w:r>
    </w:p>
    <w:p>
      <w:pPr>
        <w:spacing w:after="760"/>
        <w:jc w:val="center"/>
      </w:pPr>
      <w:r>
        <w:rPr>
          <w:rFonts w:ascii="PingFang SC" w:hAnsi="PingFang SC" w:eastAsia="PingFang SC" w:cs="PingFang SC"/>
          <w:color w:val="5F6B76"/>
          <w:sz w:val="25"/>
        </w:rPr>
        <w:t>把开发商已有的 3D 空间转化为可引导、可问答、可布置、可分享、可交接的购房协作体验</w:t>
      </w:r>
    </w:p>
    <w:p>
      <w:pPr>
        <w:spacing w:after="80"/>
        <w:jc w:val="center"/>
      </w:pPr>
      <w:r>
        <w:rPr>
          <w:rFonts w:ascii="PingFang SC" w:hAnsi="PingFang SC" w:eastAsia="PingFang SC" w:cs="PingFang SC"/>
          <w:b/>
          <w:color w:val="0B2545"/>
          <w:sz w:val="21"/>
        </w:rPr>
        <w:t>版本 0.1  |  2026-07-13</w:t>
      </w:r>
    </w:p>
    <w:p>
      <w:pPr>
        <w:spacing w:after="1760"/>
        <w:jc w:val="center"/>
      </w:pPr>
      <w:r>
        <w:rPr>
          <w:rFonts w:ascii="PingFang SC" w:hAnsi="PingFang SC" w:eastAsia="PingFang SC" w:cs="PingFang SC"/>
          <w:i/>
          <w:color w:val="5F6B76"/>
          <w:sz w:val="19"/>
        </w:rPr>
        <w:t>用途：产品发现、商业验证、合作洽谈与后续软件开发</w:t>
      </w:r>
    </w:p>
    <w:p>
      <w:pPr>
        <w:spacing w:before="240" w:after="0"/>
        <w:jc w:val="center"/>
      </w:pPr>
      <w:r>
        <w:rPr>
          <w:rFonts w:ascii="PingFang SC" w:hAnsi="PingFang SC" w:eastAsia="PingFang SC" w:cs="PingFang SC"/>
          <w:b/>
          <w:color w:val="9B1C1C"/>
          <w:sz w:val="18"/>
        </w:rPr>
        <w:t>内部工作稿｜商业、价格与时间数字均为待验证假设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文档说明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6F9"/>
            <w:tcBorders>
              <w:top w:val="single" w:sz="4" w:color="CDD5DF"/>
              <w:start w:val="single" w:sz="16" w:color="2E74B5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2E74B5"/>
                <w:sz w:val="21"/>
              </w:rPr>
              <w:t xml:space="preserve">战略结论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本项目不作为黑客松选题推进；它应被视为一个需要设计伙伴、商业授权、持续产品化和行业销售能力的 B2B2C 软件业务。第一阶段只做“分享—评论—Remix—销售交接”的协作闭环，不做公开信息流式社交网络。</w:t>
            </w:r>
          </w:p>
        </w:tc>
      </w:tr>
    </w:tbl>
    <w:p>
      <w:pPr>
        <w:spacing w:before="40" w:after="80"/>
      </w:pP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本计划提炼自团队关于 NVIDIA 黑客松选题、Matterport 集成、AI 导览、家具摆放、数据主权和协作分享的连续讨论。文中把内容分成三类：已经达成的产品决策、由公开资料支持的外部事实、尚需通过客户和技术验证的商业假设。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/>
          <w:color w:val="5F6B76"/>
          <w:sz w:val="22"/>
        </w:rPr>
        <w:t>本文件不是法律、财务或投资建议。Matterport、家具模型、楼盘资料和客户行为数据均涉及合同、知识产权、隐私与销售陈述责任；正式上线前必须由专业人员复核。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文档导航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1. 执行摘要与关键决策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2. 产品愿景、客户和问题定义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3. 核心体验与产品边界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4. 商业模式与市场进入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5. 竞争格局与差异化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6. Matterport、BIM 与输入平台策略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7. 软件架构、AI 边界和数据模型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8. MVP 产品需求与验收标准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9. 路线图、组织与运营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10. 指标、验证计划与风险闸门</w:t>
      </w: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1. 执行摘要与关键决策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1.1 一句话定位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  <w:tcBorders>
              <w:top w:val="single" w:sz="4" w:color="CDD5DF"/>
              <w:start w:val="single" w:sz="16" w:color="2E74B5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2E74B5"/>
                <w:sz w:val="21"/>
              </w:rPr>
              <w:t xml:space="preserve">定位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面向住宅开发商与售楼中心的协作式数字样板间平台：把 Matterport、BIM 或其他 3D 场景接入 AI 导览、权威问答、家具配置、家庭协作和销售交接流程。</w:t>
            </w:r>
          </w:p>
        </w:tc>
      </w:tr>
    </w:tbl>
    <w:p>
      <w:pPr>
        <w:spacing w:before="40" w:after="80"/>
      </w:pP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它不是 3D 扫描工具，不是 Matterport 的替代品，不是家具电商，也不是公开社交网络。它解决的是：购房者看过一个户型以后，如何继续理解、试配、与家人共同决策，并把结论无损地交回售楼顾问。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1.2 已确定的决策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不自行建设扫描硬件或数字孪生生产系统；优先把 Matterport、IFC/BIM 和 RoomPlan 视为输入提供方。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选择协作分享而非公开社交网络：核心原语为保存、分享链接、评论、Remix、版本比较和销售交接。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AI 负责导览编排、问题理解、检索、个性化解释和布局建议；尺寸、价格、库存与销售承诺由确定性数据源和工具提供。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数据主权表述从“整套产品完全离线”修正为“私有 AI 计算＋受控发布”；公开分享仅包含被批准的场景状态与内容。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家具厂商不是第一阶段付费方。第一收入来自开发商项目实施、平台订阅和企业集成；目录合作或成交分成留到需求成立后。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从户型图生成 3D 空间属于未来输入适配器和研发方向，不进入 MVP 的关键路径。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1.3 业务形态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3000"/>
        <w:gridCol w:w="4810"/>
      </w:tblGrid>
      <w:tr>
        <w:trPr>
          <w:tblHeader w:val="true"/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从平台获得的价值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付费客户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住宅开发商、售楼中心、数字营销代理商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更完整的数字看房体验、可延续的客户意向、可审核的销售内容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运营用户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营销经理、售楼顾问、内容管理员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配置导览、维护事实、接收客户方案和跟进线索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终端用户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购房者及其家庭成员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理解户型、试配生活场景、共同评论和比较方案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后续伙伴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家具品牌、3D 资产服务商、Matterport 服务商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进入高意向场景、提供目录和实施能力</w:t>
            </w:r>
          </w:p>
        </w:tc>
      </w:tr>
    </w:tbl>
    <w:p>
      <w:pPr>
        <w:spacing w:before="40" w:after="40"/>
      </w:pP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2. 产品愿景、客户和问题定义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2.1 产品愿景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未来的样板间不应只是一次性观看内容，而应成为一个持续存在的决策空间。客户离开售楼中心后，仍然可以回到同一户型、保留家具方案、向家人解释自己的选择、比较不同版本，并在准备好时将决定发送给销售。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平台的长期愿景是成为房地产交易前端的“空间协作层”：连接空间模型、开发商授权知识、家庭决策过程和销售工作流，而不是拥有所有底层扫描、渲染或电商能力。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2.2 首要客户画像（ICP）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建议首先选择拥有样板间、数字营销预算和标准化楼盘资料的中大型住宅开发项目，而不是个人经纪人或普通家庭装修市场。前者有明确项目预算和高价值成交，后两者分别面临低客单、渠道碎片化和强势家具规划工具竞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400"/>
        <w:gridCol w:w="336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筛选维度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首批设计伙伴标准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暂不优先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项目类型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在售或即将开售的新住宅项目，有样板间或可用 BIM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零散二手房、单套短租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数字资产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已有 Matterport、BIM/IFC、GLB 或高质量户型模型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完全没有可用空间资产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组织能力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营销、销售和 IT 至少各有一名对接人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无人维护内容或数据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商业动机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希望提升远程看房、家庭协作、销售跟进或方案转化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只想购买一次性视觉效果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数据条件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能提供授权规格、FAQ、户型和可公开字段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无法确认资料版本和发布权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2.3 待验证的问题假设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购房家庭目前依赖截图、聊天记录和反复到访来讨论空间，信息与上下文容易丢失。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售楼顾问重复回答尺寸、阳台、动线、装修和配套问题，但答案版本难以统一。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静态 3D 看房带来浏览，却不能自然地产生可跟进的“客户方案”。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开发商愿意为可复用、可审核、可量化的数字体验付费，而不是仅为一次性定制演示付费。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家庭成员的评论和 Remix 能提高回访、预约或销售交接，而不是只增加娱乐性。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6F9"/>
            <w:tcBorders>
              <w:top w:val="single" w:sz="4" w:color="CDD5DF"/>
              <w:start w:val="single" w:sz="16" w:color="7A5A00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7A5A00"/>
                <w:sz w:val="21"/>
              </w:rPr>
              <w:t xml:space="preserve">证据纪律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以上均为商业假设。任何产品开发规模扩大之前，必须通过设计伙伴访谈、实际使用录像、付费试点或可量化行为数据进行验证。</w:t>
            </w:r>
          </w:p>
        </w:tc>
      </w:tr>
    </w:tbl>
    <w:p>
      <w:pPr>
        <w:spacing w:before="40" w:after="80"/>
      </w:pP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3. 核心体验与产品边界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3.1 端到端核心旅程</w:t>
      </w:r>
    </w:p>
    <w:p>
      <w:pPr>
        <w:spacing w:after="80" w:lineRule="auto" w:line="290"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开发商导入一个已授权的 3D 空间，并上传规格、FAQ、价格字段和批准话术。</w:t>
      </w:r>
    </w:p>
    <w:p>
      <w:pPr>
        <w:spacing w:after="80" w:lineRule="auto" w:line="290"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内容管理员在空间中设置导览节点，AI 可以协助生成解说草稿，但发布前必须人工批准。</w:t>
      </w:r>
    </w:p>
    <w:p>
      <w:pPr>
        <w:spacing w:after="80" w:lineRule="auto" w:line="290"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购房者打开项目链接，通过热点、自动导览或第一人称模式进入房间；位置事件触发对应解说。</w:t>
      </w:r>
    </w:p>
    <w:p>
      <w:pPr>
        <w:spacing w:after="80" w:lineRule="auto" w:line="290"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购房者提出问题。系统从结构化事实与版本化文档中检索，显示来源；无可靠依据时拒绝回答。</w:t>
      </w:r>
    </w:p>
    <w:p>
      <w:pPr>
        <w:spacing w:after="80" w:lineRule="auto" w:line="290"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购房者把授权家具放入场景，调整位置、旋转和组合，保存为一个不可变的配置版本。</w:t>
      </w:r>
    </w:p>
    <w:p>
      <w:pPr>
        <w:spacing w:after="80" w:lineRule="auto" w:line="290"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购房者生成查看或 Remix 链接，家人打开后评论、复制并修改自己的版本。</w:t>
      </w:r>
    </w:p>
    <w:p>
      <w:pPr>
        <w:spacing w:after="80" w:lineRule="auto" w:line="290"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用户选择一个方案并主动发送给售楼顾问；系统生成包含户型、家具、问题与来源的摘要。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3.2 分享对象：不是截图，而是可恢复的场景状态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平台真正的核心资产不是 3D 模型本身，而是可恢复、可分叉、可审计的 Configuration Snapshot。分享链接只引用空间来源和用户配置，不复制未获授权的底层模型。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状态类别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最小字段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设计原则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空间引用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provider、space_id、scene_version、view_id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只引用有权访问的空间版本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镜头与导览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camera_pose、tour_stop、narration_version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可恢复到用户分享时的视角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家具配置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sku、asset_version、position、rotation、scale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变换值确定、跨设备重放一致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协作关系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owner、permissions、remix_of、revision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每次 Remix 生成新分支，不覆盖来源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销售上下文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approved_answers、selected_options、handoff_status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仅保存已同意共享的内容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3.3 MVP 明确不做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自研 3D 扫描硬件或与 Matterport 竞争的完整数字孪生平台。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公开内容信息流、关注关系、创作者经济或大规模内容推荐。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从任意照片或户型图自动生成可用于销售承诺的精确建筑模型。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家具库存、支付、物流和售后的一体化电商系统。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让 LLM 自由生成面积、价格、交付日期、材料或合同解释。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没有书面商业授权的 Matterport 广告、联盟链接或转售行为。</w:t>
      </w: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4. 商业模式与市场进入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4.1 收入模型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商业模式应先以项目实施和平台订阅为主，避免在没有真实流量和转化数据时依赖家具厂商赞助。Matterport 相关费用应透明地作为客户成本或合同项处理，不能假设可无限转售。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450"/>
        <w:gridCol w:w="5160"/>
      </w:tblGrid>
      <w:tr>
        <w:trPr>
          <w:tblHeader w:val="true"/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收入项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建议收费单位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价值与边界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付费发现/技术验证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4–6 周固定项目费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验证空间接入、资料权限、导览和一个分享闭环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项目上线实施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按楼盘/户型包一次性收费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场景接入、内容结构化、家具资产处理、品牌配置与验收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平台订阅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按在售项目或售楼中心/月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托管、协作、配置版本、分析、维护和支持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企业集成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年度合同或专业服务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CRM/SSO/权限、私有模型、审计、数据接口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私有 AI 部署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设备＋维护或软件订阅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敏感资料本地推理；不是所有客户的默认形态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家具目录与成交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后续目录接入或真实成交佣金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须有透明标识、归因规则和平台许可；不按浏览次数收费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4.2 价格假设（仅用于客户访谈锚定）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6F9"/>
            <w:tcBorders>
              <w:top w:val="single" w:sz="4" w:color="CDD5DF"/>
              <w:start w:val="single" w:sz="16" w:color="7A5A00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7A5A00"/>
                <w:sz w:val="21"/>
              </w:rPr>
              <w:t xml:space="preserve">重要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下列区间不是市场报价或收入预测。它们用于测试客户支付意愿，并必须根据目标地区、项目规模、Matterport 合同、内容工作量和支持要求重新定价。</w:t>
            </w:r>
          </w:p>
        </w:tc>
      </w:tr>
    </w:tbl>
    <w:p>
      <w:pPr>
        <w:spacing w:before="4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48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初始访谈区间（人民币）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必须覆盖的成本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付费发现/PoC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¥50,000–¥150,000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集成验证、样板内容、客户工作坊、风险结论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项目上线实施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¥100,000–¥300,000/项目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3D/内容运营、品牌配置、验收、培训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平台订阅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¥8,000–¥25,000/月/在售项目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托管、协作、维护、分析、客服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企业私有部署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单独报价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硬件、部署、更新、安全审计和现场支持</w:t>
            </w:r>
          </w:p>
        </w:tc>
      </w:tr>
    </w:tbl>
    <w:p>
      <w:pPr>
        <w:spacing w:before="40" w:after="40"/>
      </w:pP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收入模型采用自下而上计算：年度经常性收入＝活跃付费项目数×月订阅×12；实施收入＝当年新上线项目数×平均实施费。早期试点的毛利可能较低，规模化前必须把标准项目的人工上线时间压缩到可重复、可报价的范围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4.3 市场进入策略</w:t>
      </w:r>
    </w:p>
    <w:p>
      <w:pPr>
        <w:spacing w:after="80" w:lineRule="auto" w:line="290"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先找 2 家设计伙伴：一家开发商/营销代理，一家 Matterport 或 3D 内容服务商。</w:t>
      </w:r>
    </w:p>
    <w:p>
      <w:pPr>
        <w:spacing w:after="80" w:lineRule="auto" w:line="290"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从一个楼盘、一个户型、一个客厅切入，不从集团级采购开始。</w:t>
      </w:r>
    </w:p>
    <w:p>
      <w:pPr>
        <w:spacing w:after="80" w:lineRule="auto" w:line="290"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优先卖“家庭协作与销售交接”，而不是卖 AI、DGX 或数字孪生技术名词。</w:t>
      </w:r>
    </w:p>
    <w:p>
      <w:pPr>
        <w:spacing w:after="80" w:lineRule="auto" w:line="290"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将付费 PoC 写成可退出的阶段合同：达不到集成、使用或数据权限门槛就停止。</w:t>
      </w:r>
    </w:p>
    <w:p>
      <w:pPr>
        <w:spacing w:after="80" w:lineRule="auto" w:line="290"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第一批案例必须记录从打开场景到分享、Remix、交接的完整行为链和客户访谈。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4.4 渠道策略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400"/>
        <w:gridCol w:w="37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渠道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为什么适合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合作产品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Matterport 服务商/摄影机构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已有模型生产能力和房地产客户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联合交付数字样板间升级包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地产数字营销代理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掌握售楼内容预算和项目节奏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白标或联合品牌方案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样板间设计与家具方案公司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拥有资产、风格和客户关系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目录接入与内容运营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BIM/可视化工作室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可服务期房和无扫描空间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IFC/BIM 到交互场景适配</w:t>
            </w:r>
          </w:p>
        </w:tc>
      </w:tr>
    </w:tbl>
    <w:p>
      <w:pPr>
        <w:spacing w:before="40" w:after="40"/>
      </w:pP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5. 竞争格局与差异化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5.1 竞争不是单一产品，而是四类替代方案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2300"/>
        <w:gridCol w:w="2450"/>
        <w:gridCol w:w="2960"/>
      </w:tblGrid>
      <w:tr>
        <w:trPr>
          <w:tblHeader w:val="true"/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现有价值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本平台不应重复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可建立的差异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空间捕获/数字孪生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扫描、托管、漫游、测量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不自研扫描和基础播放器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跨来源适配、AI 与协作工作流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家具规划工具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摆放品牌商品、保存和分享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不做通用装修社区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绑定具体待售户型、权威资料和销售交接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3D 可视化服务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高质量定制渲染与动画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不以一次性项目制为终点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可运营的软件、配置状态和复用数据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地产 CRM/营销自动化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线索、跟进、表单和归因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不重建完整 CRM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输出空间化意向和可视方案</w:t>
            </w:r>
          </w:p>
        </w:tc>
      </w:tr>
    </w:tbl>
    <w:p>
      <w:pPr>
        <w:spacing w:before="40" w:after="40"/>
      </w:pP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IKEA Kreativ 已经支持在 Web 上分享 Remix 链接，因此“能分享和复制家具设计”只是基线，而不是壁垒。我们的差异必须落在开发商场景、权威数据、跨品牌目录、家庭决策和销售工作流上。</w:t>
      </w:r>
    </w:p>
    <w:p>
      <w:pPr>
        <w:spacing w:after="160" w:lineRule="auto" w:line="283"/>
      </w:pPr>
      <w:r>
        <w:rPr>
          <w:rFonts w:ascii="PingFang SC" w:hAnsi="PingFang SC" w:eastAsia="PingFang SC" w:cs="PingFang SC"/>
          <w:color w:val="5F6B76"/>
          <w:sz w:val="19"/>
        </w:rPr>
        <w:t>参考：</w:t>
      </w:r>
      <w:hyperlink r:id="rId11">
        <w:r>
          <w:rPr>
            <w:rFonts w:ascii="PingFang SC" w:hAnsi="PingFang SC" w:eastAsia="PingFang SC"/>
            <w:color w:val="2E74B5"/>
            <w:u w:val="single"/>
          </w:rPr>
          <w:t>IKEA Kreativ 官方分享与 Remix 说明</w:t>
        </w:r>
      </w:hyperlink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5.2 差异化承诺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Provider-neutral：Matterport 是首个适配器，不是唯一数据模式。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Grounded：回答与解说引用开发商批准的事实、文档版本和生效时间。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Persistent：家具、视角、问题和评论形成可恢复的版本，而不是一次会话。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Collaborative：围绕家庭共同决策设计查看、评论、Remix 和比较。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Actionable：配置可以进入预约、报价、顾问跟进或 CRM，而不是停留在观看。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5.3 可形成的护城河与不能假装存在的护城河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4350"/>
        <w:gridCol w:w="251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可积累资产</w:t>
            </w:r>
          </w:p>
        </w:tc>
        <w:tc>
          <w:tcPr>
            <w:tcW w:type="dxa" w:w="4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形成条件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场景适配层与标准化状态模型</w:t>
            </w:r>
          </w:p>
        </w:tc>
        <w:tc>
          <w:tcPr>
            <w:tcW w:type="dxa" w:w="4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持续兼容 Matterport、IFC、RoomPlan 等来源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可以从产品第一天建设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开发商授权知识层</w:t>
            </w:r>
          </w:p>
        </w:tc>
        <w:tc>
          <w:tcPr>
            <w:tcW w:type="dxa" w:w="4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客户持续维护、版本可审计、答案质量领先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需要设计伙伴和内容运营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家庭协作与 Remix 图谱</w:t>
            </w:r>
          </w:p>
        </w:tc>
        <w:tc>
          <w:tcPr>
            <w:tcW w:type="dxa" w:w="4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用户真实使用、同意分析、能改善销售结果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尚无数据，不能宣称网络效应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家具资产标准与目录运营</w:t>
            </w:r>
          </w:p>
        </w:tc>
        <w:tc>
          <w:tcPr>
            <w:tcW w:type="dxa" w:w="4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模型质量、SKU 元数据和品牌协议稳定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高运营成本，后置建设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渠道与实施伙伴网络</w:t>
            </w:r>
          </w:p>
        </w:tc>
        <w:tc>
          <w:tcPr>
            <w:tcW w:type="dxa" w:w="4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合作伙伴能低成本复制交付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需要商业拓展</w:t>
            </w:r>
          </w:p>
        </w:tc>
      </w:tr>
    </w:tbl>
    <w:p>
      <w:pPr>
        <w:spacing w:before="40" w:after="40"/>
      </w:pP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6. Matterport、BIM 与输入平台策略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6.1 三条输入路线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350"/>
        <w:gridCol w:w="2300"/>
        <w:gridCol w:w="291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路线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适用场景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优点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Matterport Embed SDK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快速导览、位置事件和 2D 交互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最快验证，现成播放器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网络依赖、商业条款、家具能力有限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Matterport Bundle SDK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家具插入、场景图和深度定制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更适合完整配置器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SDK 授权、版本变化、商业协议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MatterPak/开放文件＋自有渲染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需要自主托管或离线控制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可降低运行时依赖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导出费用、许可、渲染和交互成本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IFC/BIM Adapter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期房、建筑模型已有的项目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开放标准、语义丰富、避免扫描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模型复杂、清理与轻量化工作量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RoomPlan/USDZ Adapter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小规模现房、移动扫描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结构和尺寸可程序读取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Apple 设备依赖、精度与覆盖需验证</w:t>
            </w:r>
          </w:p>
        </w:tc>
      </w:tr>
    </w:tbl>
    <w:p>
      <w:pPr>
        <w:spacing w:before="40" w:after="40"/>
      </w:pP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Matterport 官方文档明确区分 Embed SDK 与自托管 Bundle SDK；向场景添加 3D 对象属于 Bundle SDK 场景。MatterPak 可提供 OBJ/MTL 和点云等技术资产。IFC 则是 vendor-neutral 的开放 BIM 标准，适合作为长期去锁定路线。</w:t>
      </w:r>
    </w:p>
    <w:p>
      <w:pPr>
        <w:spacing w:after="160" w:lineRule="auto" w:line="283"/>
      </w:pPr>
      <w:hyperlink r:id="rId12">
        <w:r>
          <w:rPr>
            <w:rFonts w:ascii="PingFang SC" w:hAnsi="PingFang SC" w:eastAsia="PingFang SC"/>
            <w:color w:val="2E74B5"/>
            <w:u w:val="single"/>
          </w:rPr>
          <w:t>Matterport SDK 概览</w:t>
        </w:r>
      </w:hyperlink>
      <w:r>
        <w:rPr>
          <w:rFonts w:ascii="PingFang SC" w:hAnsi="PingFang SC" w:eastAsia="PingFang SC" w:cs="PingFang SC"/>
          <w:color w:val="5F6B76"/>
          <w:sz w:val="18"/>
        </w:rPr>
        <w:t xml:space="preserve">  |  </w:t>
      </w:r>
      <w:hyperlink r:id="rId13">
        <w:r>
          <w:rPr>
            <w:rFonts w:ascii="PingFang SC" w:hAnsi="PingFang SC" w:eastAsia="PingFang SC"/>
            <w:color w:val="2E74B5"/>
            <w:u w:val="single"/>
          </w:rPr>
          <w:t>Matterport Add-ons</w:t>
        </w:r>
      </w:hyperlink>
      <w:r>
        <w:rPr>
          <w:rFonts w:ascii="PingFang SC" w:hAnsi="PingFang SC" w:eastAsia="PingFang SC" w:cs="PingFang SC"/>
          <w:color w:val="5F6B76"/>
          <w:sz w:val="18"/>
        </w:rPr>
        <w:t xml:space="preserve">  |  </w:t>
      </w:r>
      <w:hyperlink r:id="rId14">
        <w:r>
          <w:rPr>
            <w:rFonts w:ascii="PingFang SC" w:hAnsi="PingFang SC" w:eastAsia="PingFang SC"/>
            <w:color w:val="2E74B5"/>
            <w:u w:val="single"/>
          </w:rPr>
          <w:t>buildingSMART IFC</w:t>
        </w:r>
      </w:hyperlink>
      <w:r>
        <w:rPr>
          <w:rFonts w:ascii="PingFang SC" w:hAnsi="PingFang SC" w:eastAsia="PingFang SC" w:cs="PingFang SC"/>
          <w:color w:val="5F6B76"/>
          <w:sz w:val="18"/>
        </w:rPr>
        <w:t xml:space="preserve">  |  </w:t>
      </w:r>
      <w:hyperlink r:id="rId15">
        <w:r>
          <w:rPr>
            <w:rFonts w:ascii="PingFang SC" w:hAnsi="PingFang SC" w:eastAsia="PingFang SC"/>
            <w:color w:val="2E74B5"/>
            <w:u w:val="single"/>
          </w:rPr>
          <w:t>Apple RoomPlan</w:t>
        </w:r>
      </w:hyperlink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6.2 商业授权是第一道 P0 闸门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  <w:tcBorders>
              <w:top w:val="single" w:sz="4" w:color="CDD5DF"/>
              <w:start w:val="single" w:sz="16" w:color="9B1C1C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9B1C1C"/>
                <w:sz w:val="21"/>
              </w:rPr>
              <w:t xml:space="preserve">P0：书面商业路径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Matterport 当前公开协议允许 SDK 插入家具和构建第三方应用，但也说明商业使用可能需要单独协议、费用或收入分成；部分 SDK 使用对收费、广告和联盟收入存在限制。任何收费产品开发前，必须取得适用于目标账户、地区和产品模式的 Matterport 书面确认。</w:t>
            </w:r>
          </w:p>
        </w:tc>
      </w:tr>
    </w:tbl>
    <w:p>
      <w:pPr>
        <w:spacing w:before="40" w:after="80"/>
      </w:pP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因此，技术 PoC 可以使用 Sandbox、公开模型或客户自有授权模型；商业 PoC 合同必须明确：谁拥有模型、谁购买开发者工具、是否允许收费访问、是否允许家具品牌合作、模型停用后的数据处理，以及 SDK 变更或服务终止时的迁移责任。</w:t>
      </w:r>
    </w:p>
    <w:p>
      <w:pPr>
        <w:spacing w:after="160" w:lineRule="auto" w:line="283"/>
      </w:pPr>
      <w:hyperlink r:id="rId16">
        <w:r>
          <w:rPr>
            <w:rFonts w:ascii="PingFang SC" w:hAnsi="PingFang SC" w:eastAsia="PingFang SC"/>
            <w:color w:val="2E74B5"/>
            <w:u w:val="single"/>
          </w:rPr>
          <w:t>Matterport Platform Subscription Agreement（当前公开版本）</w:t>
        </w:r>
      </w:hyperlink>
      <w:r>
        <w:rPr>
          <w:rFonts w:ascii="PingFang SC" w:hAnsi="PingFang SC" w:eastAsia="PingFang SC" w:cs="PingFang SC"/>
          <w:i/>
          <w:color w:val="5F6B76"/>
          <w:sz w:val="19"/>
        </w:rPr>
        <w:t>；具体订单和地区条款可能不同，须由律师及 Matterport 商务确认。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6.3 去锁定架构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内部不允许业务逻辑直接依赖 Matterport 类型。每种空间提供方实现统一 SceneProvider 接口，输出平台自己的标准化 SceneGraph、CameraPose、Anchor、Surface、Room 和 AssetPlacement 能力。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400"/>
        <w:gridCol w:w="4210"/>
      </w:tblGrid>
      <w:tr>
        <w:trPr>
          <w:tblHeader w:val="true"/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接口能力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平台统一语义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提供方实现示例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loadSpace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加载空间、版本和权限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Matterport SID、IFC 文件、USDZ 文件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subscribePose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订阅用户位置与镜头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Showcase 事件、自有 Three.js 相机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resolveAnchor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把点击位置变成可保存锚点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Matterport 世界坐标、IFC GlobalId＋局部坐标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placeAsset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插入或恢复家具资产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Bundle Scene Object、自有 glTF 节点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exportSnapshot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导出可分享的标准配置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统一 ConfigurationSnapshot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6.4 户型图生成 3D 的研发位置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从户型图生成完整 3D 场景已有研究基础，但它应作为未来的 GenerativeFloorplanAdapter，而不是 MVP 的真实性来源。优先使用确定性的墙体、门窗和尺寸解析；生成模型仅在几何固定后补充材质、风格、家具候选和陈设建议。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/>
          <w:color w:val="5F6B76"/>
          <w:sz w:val="22"/>
        </w:rPr>
        <w:t>任何生成结果都必须标记为示意，并通过几何规则或人工验收后才能进入开发商对外内容。商业产品不能把“视觉合理”误当成“建筑准确”。</w:t>
      </w: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7. 软件架构、AI 边界和数据模型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7.1 两平面架构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200"/>
        <w:gridCol w:w="29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平面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包含内容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安全边界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私有创作与推理平面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开发商文件、结构化事实、私有模型、RAG、内容审批、客户偏好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租户隔离；敏感内容不默认进入公开分享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发布闸门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批准的户型引用、家具状态、导览版本、可公开说明、权限策略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显式选择、脱敏、版本化、可撤销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分享与协作平面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查看链接、评论、Remix、版本比较、销售交接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短期访问令牌、最小数据、用户同意、审计</w:t>
            </w:r>
          </w:p>
        </w:tc>
      </w:tr>
    </w:tbl>
    <w:p>
      <w:pPr>
        <w:spacing w:before="40" w:after="40"/>
      </w:pP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 w:val="0"/>
          <w:color w:val="20262E"/>
          <w:sz w:val="22"/>
        </w:rPr>
        <w:t>如果客户需要本地模型推理，可以把 AI Worker 部署在客户侧设备或 DGX Spark 上；公开分享和跨设备协作仍由控制平面提供。DGX Spark 具备 128GB 统一内存，可作为大模型和多模型本地推理的一种部署选项，但不应成为产品的唯一硬件依赖。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7.2 参考组件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4300"/>
        <w:gridCol w:w="3310"/>
      </w:tblGrid>
      <w:tr>
        <w:trPr>
          <w:tblHeader w:val="true"/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层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参考实现（非强制）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Web 客户端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3D 查看、导览、问答、家具编辑、分享与评论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React/TypeScript＋Provider Adapter；必要时 Three.js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控制平面 API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租户、项目、权限、配置版本、评论、交接和分析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TypeScript 或 Python 服务；PostgreSQL＋对象存储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场景适配层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Matterport、IFC、USDZ/GLB 转换为统一能力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独立适配器包，避免业务层引用供应商类型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知识与事实层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文档版本、结构化字段、引用、审批和生效时间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关系数据库＋全文/向量检索；审核工作流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AI Orchestrator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意图识别、工具调用、导览草稿、解释和翻译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可切换的 OpenAI-compatible 模型接口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确定性服务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尺寸、碰撞、价格、库存、权限和版本检查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几何与业务规则服务，不经过自由生成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7.3 核心数据实体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Tenant：</w:t>
      </w:r>
      <w:r>
        <w:rPr>
          <w:rFonts w:ascii="PingFang SC" w:hAnsi="PingFang SC" w:eastAsia="PingFang SC" w:cs="PingFang SC"/>
          <w:sz w:val="22"/>
        </w:rPr>
        <w:t>客户组织、地区、合同与数据策略。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Project：</w:t>
      </w:r>
      <w:r>
        <w:rPr>
          <w:rFonts w:ascii="PingFang SC" w:hAnsi="PingFang SC" w:eastAsia="PingFang SC" w:cs="PingFang SC"/>
          <w:sz w:val="22"/>
        </w:rPr>
        <w:t>楼盘、销售阶段、品牌和启停状态。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Space / SceneSource：</w:t>
      </w:r>
      <w:r>
        <w:rPr>
          <w:rFonts w:ascii="PingFang SC" w:hAnsi="PingFang SC" w:eastAsia="PingFang SC" w:cs="PingFang SC"/>
          <w:sz w:val="22"/>
        </w:rPr>
        <w:t>户型空间及 Matterport/IFC/USDZ 来源和版本。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KnowledgeSource / Fact：</w:t>
      </w:r>
      <w:r>
        <w:rPr>
          <w:rFonts w:ascii="PingFang SC" w:hAnsi="PingFang SC" w:eastAsia="PingFang SC" w:cs="PingFang SC"/>
          <w:sz w:val="22"/>
        </w:rPr>
        <w:t>文档、字段、出处、生效时间、批准人和公开范围。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Tour / TourStop：</w:t>
      </w:r>
      <w:r>
        <w:rPr>
          <w:rFonts w:ascii="PingFang SC" w:hAnsi="PingFang SC" w:eastAsia="PingFang SC" w:cs="PingFang SC"/>
          <w:sz w:val="22"/>
        </w:rPr>
        <w:t>导览路线、空间锚点、解说内容和触发规则。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CatalogItem / AssetVersion：</w:t>
      </w:r>
      <w:r>
        <w:rPr>
          <w:rFonts w:ascii="PingFang SC" w:hAnsi="PingFang SC" w:eastAsia="PingFang SC" w:cs="PingFang SC"/>
          <w:sz w:val="22"/>
        </w:rPr>
        <w:t>家具 SKU、真实尺寸、模型、授权和商业属性。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Configuration / Snapshot / Placement：</w:t>
      </w:r>
      <w:r>
        <w:rPr>
          <w:rFonts w:ascii="PingFang SC" w:hAnsi="PingFang SC" w:eastAsia="PingFang SC" w:cs="PingFang SC"/>
          <w:sz w:val="22"/>
        </w:rPr>
        <w:t>用户方案、不可变版本和家具变换。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ShareLink / RemixRelation / Comment：</w:t>
      </w:r>
      <w:r>
        <w:rPr>
          <w:rFonts w:ascii="PingFang SC" w:hAnsi="PingFang SC" w:eastAsia="PingFang SC" w:cs="PingFang SC"/>
          <w:sz w:val="22"/>
        </w:rPr>
        <w:t>权限、过期、分支和协作记录。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b/>
          <w:color w:val="0B2545"/>
          <w:sz w:val="22"/>
        </w:rPr>
        <w:t>LeadHandoff / ConsentRecord：</w:t>
      </w:r>
      <w:r>
        <w:rPr>
          <w:rFonts w:ascii="PingFang SC" w:hAnsi="PingFang SC" w:eastAsia="PingFang SC" w:cs="PingFang SC"/>
          <w:sz w:val="22"/>
        </w:rPr>
        <w:t>用户同意、销售摘要、接收人和处理状态。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7.4 AI 的授权边界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任务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AI 可以做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必须由确定性系统或人工完成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导览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生成草稿、个性化语气、翻译、选择下一节点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发布审批、禁止承诺、版本控制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问答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理解问题、检索、组织引用后的解释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面积、价格、库存、日期和合同字段的最终值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家具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理解风格和预算、提出候选组合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真实尺寸、碰撞、授权、价格和可售状态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分享摘要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总结用户已选择内容和问题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隐私同意、发送对象、最终销售陈述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建模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建议风格、补充非结构性陈设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墙体、门窗、尺度和对外准确性验收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7.5 安全与合规基线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Matterport Model API Token 属于管理员级凭据，只能在可信服务端使用，不能进入浏览器、代码仓库或边缘推理设备。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在本项目当前 Spark 安全纪律下，任何 Matterport Token、SDK Secret 或客户凭据都不得存入远程 Developer 账户。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私有模型链接必须短时、可撤销并与本平台权限绑定；不能把不透明的 unlisted 链接当作授权。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分享链接默认最小权限、可设置过期；公开分享内容与私有知识库物理或逻辑隔离。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所有开发商事实具有来源、版本、生效时间、批准人与撤回机制；内容变更产生审计记录。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客户行为、家庭评论和销售交接属于个人数据；采集目的、保留期限和删除方式必须明确。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家具模型、户型、图片、语音和品牌内容必须记录权利来源及使用范围。</w:t>
      </w: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8. MVP 产品需求与验收标准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8.1 MVP 成功定义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  <w:tcBorders>
              <w:top w:val="single" w:sz="4" w:color="CDD5DF"/>
              <w:start w:val="single" w:sz="16" w:color="2E74B5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2E74B5"/>
                <w:sz w:val="21"/>
              </w:rPr>
              <w:t xml:space="preserve">成功不是“功能很多”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一个真实楼盘空间能完成：受控导览 → 有来源问答 → 放置家具 → 保存配置 → 分享给家庭成员 → Remix → 将选定版本发送给售楼顾问。</w:t>
            </w:r>
          </w:p>
        </w:tc>
      </w:tr>
    </w:tbl>
    <w:p>
      <w:pPr>
        <w:spacing w:before="40" w:after="8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8.2 产品 Epic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3150"/>
        <w:gridCol w:w="4760"/>
      </w:tblGrid>
      <w:tr>
        <w:trPr>
          <w:tblHeader w:val="true"/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Epic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用户结果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MVP 验收条件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E1 项目与内容上线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运营人员建立楼盘、户型和资料版本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一个客户租户可导入空间、上传来源、批准 5–10 条事实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E2 场景适配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用户稳定进入 3D 空间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加载一个授权 Matterport 或开放模型；能获得镜头/位置事件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E3 引导式看房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进入指定位置时获得对应解说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至少 5 个导览节点；可跳过、返回和关闭语音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E4 有来源问答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用户知道答案来自哪里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支持 20 个基准问题；答案显示来源；无依据问题拒答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E5 家具配置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用户可表达一种生活方案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至少 10 个标准化 SKU；可放置、移动、旋转、删除和恢复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E6 分享与 Remix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家庭成员可继续讨论和修改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分享链接可查看；Remix 生成独立分支；原版本不被覆盖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E7 销售交接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顾问收到可执行摘要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用户主动同意后发送户型、配置、问题和来源摘要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E8 管理与审计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客户能控制公开内容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撤回事实/分享链接；查看关键变更与访问记录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8.3 非功能验收目标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4700"/>
        <w:gridCol w:w="3010"/>
      </w:tblGrid>
      <w:tr>
        <w:trPr>
          <w:tblHeader w:val="true"/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领域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试点退出目标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验证方法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真实性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100 道基准题中不出现无来源楼盘陈述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固定问题集＋人工复核＋日志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配置完整性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受支持资产跨设备保存/恢复一致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序列化回放和截图/坐标比对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性能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典型网络下 3D 首屏与问答延迟达到客户可接受水平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记录 p50/p95；阈值在试点前与客户约定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可靠性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关键流程有文本、预载状态和失败提示等降级路径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断网、模型失败和供应商错误演练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安全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无管理凭据进入客户端或边缘设备；租户数据隔离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威胁建模、密钥扫描和访问测试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可运营性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标准项目内容上线工时可测量并逐步降低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逐项记录人工时间和返工原因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8.4 24 小时技术 Spike（开发正式启动前）</w:t>
      </w:r>
    </w:p>
    <w:p>
      <w:pPr>
        <w:spacing w:after="80" w:lineRule="auto" w:line="290"/>
        <w:numPr>
          <w:ilvl w:val="0"/>
          <w:numId w:val="13"/>
        </w:numPr>
      </w:pPr>
      <w:r>
        <w:rPr>
          <w:rFonts w:ascii="PingFang SC" w:hAnsi="PingFang SC" w:eastAsia="PingFang SC" w:cs="PingFang SC"/>
          <w:sz w:val="22"/>
        </w:rPr>
        <w:t>获得可合法使用的 Matterport Sandbox/公开空间或客户模型，并确认 SDK 类型与账户权限。</w:t>
      </w:r>
    </w:p>
    <w:p>
      <w:pPr>
        <w:spacing w:after="80" w:lineRule="auto" w:line="290"/>
        <w:numPr>
          <w:ilvl w:val="0"/>
          <w:numId w:val="13"/>
        </w:numPr>
      </w:pPr>
      <w:r>
        <w:rPr>
          <w:rFonts w:ascii="PingFang SC" w:hAnsi="PingFang SC" w:eastAsia="PingFang SC" w:cs="PingFang SC"/>
          <w:sz w:val="22"/>
        </w:rPr>
        <w:t>证明位置/镜头事件可以触发外部 UI 和解说。</w:t>
      </w:r>
    </w:p>
    <w:p>
      <w:pPr>
        <w:spacing w:after="80" w:lineRule="auto" w:line="290"/>
        <w:numPr>
          <w:ilvl w:val="0"/>
          <w:numId w:val="13"/>
        </w:numPr>
      </w:pPr>
      <w:r>
        <w:rPr>
          <w:rFonts w:ascii="PingFang SC" w:hAnsi="PingFang SC" w:eastAsia="PingFang SC" w:cs="PingFang SC"/>
          <w:sz w:val="22"/>
        </w:rPr>
        <w:t>使用 Bundle SDK 或自有场景适配器插入一个 glTF 家具对象。</w:t>
      </w:r>
    </w:p>
    <w:p>
      <w:pPr>
        <w:spacing w:after="80" w:lineRule="auto" w:line="290"/>
        <w:numPr>
          <w:ilvl w:val="0"/>
          <w:numId w:val="13"/>
        </w:numPr>
      </w:pPr>
      <w:r>
        <w:rPr>
          <w:rFonts w:ascii="PingFang SC" w:hAnsi="PingFang SC" w:eastAsia="PingFang SC" w:cs="PingFang SC"/>
          <w:sz w:val="22"/>
        </w:rPr>
        <w:t>把家具变换保存为 ConfigurationSnapshot，并在新浏览器会话中准确恢复。</w:t>
      </w:r>
    </w:p>
    <w:p>
      <w:pPr>
        <w:spacing w:after="80" w:lineRule="auto" w:line="290"/>
        <w:numPr>
          <w:ilvl w:val="0"/>
          <w:numId w:val="13"/>
        </w:numPr>
      </w:pPr>
      <w:r>
        <w:rPr>
          <w:rFonts w:ascii="PingFang SC" w:hAnsi="PingFang SC" w:eastAsia="PingFang SC" w:cs="PingFang SC"/>
          <w:sz w:val="22"/>
        </w:rPr>
        <w:t>从一个版本化文档回答问题并显示引用；资料外问题必须拒答。</w:t>
      </w:r>
    </w:p>
    <w:p>
      <w:pPr>
        <w:spacing w:after="80" w:lineRule="auto" w:line="290"/>
        <w:numPr>
          <w:ilvl w:val="0"/>
          <w:numId w:val="13"/>
        </w:numPr>
      </w:pPr>
      <w:r>
        <w:rPr>
          <w:rFonts w:ascii="PingFang SC" w:hAnsi="PingFang SC" w:eastAsia="PingFang SC" w:cs="PingFang SC"/>
          <w:sz w:val="22"/>
        </w:rPr>
        <w:t>通过分享链接建立一个 Remix 分支，并证明原方案未改变。</w:t>
      </w: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9. 路线图、组织与运营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9.1 阶段路线图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350"/>
        <w:gridCol w:w="3860"/>
        <w:gridCol w:w="2700"/>
      </w:tblGrid>
      <w:tr>
        <w:trPr>
          <w:tblHeader w:val="true"/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建议时间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主要产出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退出闸门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0. 发现与授权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4–6 周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15–20 次访谈、2 个设计伙伴、Matterport 商业书面路径、技术 Spike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至少 1 个愿付费的明确问题和合法数据路径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1. 单项目 MVP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8–12 周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一个楼盘、一种空间来源、完整协作闭环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10 个家庭测试；配置恢复和问答质量达标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2. 付费试点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3–6 个月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2–3 个项目、管理后台、指标和销售交接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至少 1 个续费/扩展意向；上线工时可控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3. 产品化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6–12 个月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多租户、SSO、审计、计费、目录标准、第二空间适配器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经常性收入和可复制渠道出现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4. 生态扩展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验证后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家具目录、模板市场、合作伙伴交付和受控交易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真实需求与归因成立，合同允许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9.2 最小团队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650"/>
        <w:gridCol w:w="281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首要责任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阶段 0–1 配置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产品/商业负责人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客户发现、定价、合作协议、优先级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1 人，全职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3D/前端工程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Matterport/Three.js、交互、资产摆放与性能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1 人，全职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后端/平台工程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租户、权限、配置状态、分享、集成和审计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1 人，全职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AI/数据工程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知识层、工具调用、评测、本地/云模型适配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1 人，可与后端合并起步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产品设计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导览、配置、协作与销售交接体验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0.5–1 人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3D 内容运营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模型规范、SKU、场景锚点、客户上线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兼职或合作伙伴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法律/隐私/商业合同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Matterport、模型权利、隐私和销售陈述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外部顾问，按阶段介入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9.3 内容运营流程</w:t>
      </w:r>
    </w:p>
    <w:p>
      <w:pPr>
        <w:spacing w:after="80" w:lineRule="auto" w:line="290"/>
        <w:numPr>
          <w:ilvl w:val="0"/>
          <w:numId w:val="14"/>
        </w:numPr>
      </w:pPr>
      <w:r>
        <w:rPr>
          <w:rFonts w:ascii="PingFang SC" w:hAnsi="PingFang SC" w:eastAsia="PingFang SC" w:cs="PingFang SC"/>
          <w:sz w:val="22"/>
        </w:rPr>
        <w:t>客户提交模型、规格和发布权证明；系统记录来源与版本。</w:t>
      </w:r>
    </w:p>
    <w:p>
      <w:pPr>
        <w:spacing w:after="80" w:lineRule="auto" w:line="290"/>
        <w:numPr>
          <w:ilvl w:val="0"/>
          <w:numId w:val="14"/>
        </w:numPr>
      </w:pPr>
      <w:r>
        <w:rPr>
          <w:rFonts w:ascii="PingFang SC" w:hAnsi="PingFang SC" w:eastAsia="PingFang SC" w:cs="PingFang SC"/>
          <w:sz w:val="22"/>
        </w:rPr>
        <w:t>内容运营把精确字段写入结构化事实，把说明性文档进入检索库。</w:t>
      </w:r>
    </w:p>
    <w:p>
      <w:pPr>
        <w:spacing w:after="80" w:lineRule="auto" w:line="290"/>
        <w:numPr>
          <w:ilvl w:val="0"/>
          <w:numId w:val="14"/>
        </w:numPr>
      </w:pPr>
      <w:r>
        <w:rPr>
          <w:rFonts w:ascii="PingFang SC" w:hAnsi="PingFang SC" w:eastAsia="PingFang SC" w:cs="PingFang SC"/>
          <w:sz w:val="22"/>
        </w:rPr>
        <w:t>AI 生成导览草稿和问答候选；客户内容管理员逐条批准。</w:t>
      </w:r>
    </w:p>
    <w:p>
      <w:pPr>
        <w:spacing w:after="80" w:lineRule="auto" w:line="290"/>
        <w:numPr>
          <w:ilvl w:val="0"/>
          <w:numId w:val="14"/>
        </w:numPr>
      </w:pPr>
      <w:r>
        <w:rPr>
          <w:rFonts w:ascii="PingFang SC" w:hAnsi="PingFang SC" w:eastAsia="PingFang SC" w:cs="PingFang SC"/>
          <w:sz w:val="22"/>
        </w:rPr>
        <w:t>家具资产经过单位、原点、尺寸、材质、LOD、碰撞体和授权检查。</w:t>
      </w:r>
    </w:p>
    <w:p>
      <w:pPr>
        <w:spacing w:after="80" w:lineRule="auto" w:line="290"/>
        <w:numPr>
          <w:ilvl w:val="0"/>
          <w:numId w:val="14"/>
        </w:numPr>
      </w:pPr>
      <w:r>
        <w:rPr>
          <w:rFonts w:ascii="PingFang SC" w:hAnsi="PingFang SC" w:eastAsia="PingFang SC" w:cs="PingFang SC"/>
          <w:sz w:val="22"/>
        </w:rPr>
        <w:t>上线前跑固定问题集、分享恢复测试、权限测试和撤回测试。</w:t>
      </w:r>
    </w:p>
    <w:p>
      <w:pPr>
        <w:spacing w:after="80" w:lineRule="auto" w:line="290"/>
        <w:numPr>
          <w:ilvl w:val="0"/>
          <w:numId w:val="14"/>
        </w:numPr>
      </w:pPr>
      <w:r>
        <w:rPr>
          <w:rFonts w:ascii="PingFang SC" w:hAnsi="PingFang SC" w:eastAsia="PingFang SC" w:cs="PingFang SC"/>
          <w:sz w:val="22"/>
        </w:rPr>
        <w:t>资料更新触发重新审核；旧版本配置仍保留当时的来源版本。</w:t>
      </w: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10. 指标、验证计划与风险闸门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10.1 北极星指标与指标树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6F9"/>
            <w:tcBorders>
              <w:top w:val="single" w:sz="4" w:color="CDD5DF"/>
              <w:start w:val="single" w:sz="16" w:color="2E74B5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2E74B5"/>
                <w:sz w:val="21"/>
              </w:rPr>
              <w:t xml:space="preserve">北极星指标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每个在售项目中，完成分享或 Remix 并主动交回售楼顾问的“有效配置会话”数量。它同时要求体验完成、家庭协作和商业行动，而不是只计算浏览量。</w:t>
            </w:r>
          </w:p>
        </w:tc>
      </w:tr>
    </w:tbl>
    <w:p>
      <w:pPr>
        <w:spacing w:before="4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150"/>
        <w:gridCol w:w="271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指标示例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激活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进入 2 个导览节点、提出 1 个问题、放置 1 件家具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验证用户是否理解核心能力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协作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分享率、链接打开率、评论率、Remix 率、版本比较次数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验证家庭决策是否真实发生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商业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交接率、预约率、顾问响应时间、付费试点转订阅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验证开发商价值与收入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质量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有来源回答率、拒答准确率、配置恢复成功率、p95 延迟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防止体验与可信度劣化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护栏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过期资料回答、无授权分享、隐私删除失败、崩溃率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控制法律和信任风险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10.2 商业验证实验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700"/>
        <w:gridCol w:w="31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假设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最小实验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通过标准（建议）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开发商愿意付费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向 10 家目标客户展示同一价值主张和价格区间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至少 2 家进入设计伙伴讨论，1 家接受付费 PoC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家庭协作有价值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让 10 个真实购房家庭使用分享与 Remix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多数家庭不依赖额外截图即可完成比较；出现主动回访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销售顾问会使用交接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把配置摘要送给 5 名顾问处理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顾问能用摘要继续对话并指出节省的重复询问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Matterport 路径可商业化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与 Matterport/授权经销商书面确认产品模式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收费、私有嵌入、家具合作和数据使用均有明确许可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实施可规模化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完整记录两个项目上线工时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第二个项目的人工时间显著下降，关键步骤可模板化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10.3 P0 风险登记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3500"/>
        <w:gridCol w:w="3510"/>
      </w:tblGrid>
      <w:tr>
        <w:trPr>
          <w:tblHeader w:val="true"/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DECEC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DECEC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杀伤方式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DECEC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7"/>
              </w:rPr>
              <w:t>关闭条件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Matterport 商业条款不允许目标模式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收费、广告、私有嵌入或家具合作被限制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取得书面协议；否则切换开放模型/IFC 路线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没有付费问题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客户认为只是更漂亮的 3D 展示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至少一个付费 PoC，价值落在协作或销售交接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无可信数据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问答与解说无法对外承担责任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客户提供批准字段、来源、版本和撤回流程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配置无法可靠恢复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分享/Remix 核心承诺失败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跨设备、跨会话的确定性回放测试通过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AI 产生无来源销售陈述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信任、合同和法律风险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工具边界、拒答、基准测试与人工审批均上线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私有与分享边界不清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敏感楼盘或客户信息泄露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发布闸门、最小分享模式、撤销和审计通过安全评审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上线高度依赖人工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服务收入增长但软件毛利无法成立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7"/>
              </w:rPr>
              <w:t>项目模板、资产规范和工时目标被验证</w:t>
            </w:r>
          </w:p>
        </w:tc>
      </w:tr>
    </w:tbl>
    <w:p>
      <w:pPr>
        <w:spacing w:before="40" w:after="40"/>
      </w:pP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10.4 P1 风险登记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家具资产质量、尺寸、材质和授权不一致，导致大量内容运营。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Matterport SDK、价格或功能发生变化，影响兼容和毛利。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第一人称漫游对非游戏用户不友好，影响激活；默认应采用热点与导览。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分享功能没有足够使用频率，无法形成回访；需要围绕真实家庭任务设计。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开发商希望推广内容，而购房者希望得到中立建议；赞助内容必须透明标记。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不同设备和浏览器的 3D 性能差异导致体验不一致。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如果未来开放公共内容，需要追加审核、举报和未成年人/广告治理能力。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10.5 最终 Go/No-Go 闸门</w:t>
      </w:r>
    </w:p>
    <w:p>
      <w:pPr>
        <w:spacing w:after="80" w:lineRule="auto" w:line="290"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有一条书面确认、可收费且可持续的空间数据商业路径；Matterport 不成立时有 IFC/开放模型替代。</w:t>
      </w:r>
    </w:p>
    <w:p>
      <w:pPr>
        <w:spacing w:after="80" w:lineRule="auto" w:line="290"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至少 2 个设计伙伴，且至少 1 个愿意支付 PoC，而不是只表示兴趣。</w:t>
      </w:r>
    </w:p>
    <w:p>
      <w:pPr>
        <w:spacing w:after="80" w:lineRule="auto" w:line="290"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一个真实楼盘空间、权威资料和最小家具目录可以合法用于试点。</w:t>
      </w:r>
    </w:p>
    <w:p>
      <w:pPr>
        <w:spacing w:after="80" w:lineRule="auto" w:line="290"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10 个目标家庭能够完成分享、评论或 Remix，并认为它改善了共同决策。</w:t>
      </w:r>
    </w:p>
    <w:p>
      <w:pPr>
        <w:spacing w:after="80" w:lineRule="auto" w:line="290"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固定评测中没有无来源楼盘陈述，配置跨设备恢复稳定。</w:t>
      </w:r>
    </w:p>
    <w:p>
      <w:pPr>
        <w:spacing w:after="80" w:lineRule="auto" w:line="290"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第二个项目的上线时间和人工成本显示可重复性，而不是永久定制开发。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  <w:tcBorders>
              <w:top w:val="single" w:sz="4" w:color="CDD5DF"/>
              <w:start w:val="single" w:sz="16" w:color="9B1C1C"/>
              <w:bottom w:val="single" w:sz="4" w:color="CDD5DF"/>
              <w:end w:val="single" w:sz="4" w:color="CDD5DF"/>
            </w:tcBorders>
          </w:tcPr>
          <w:p>
            <w:pPr>
              <w:keepNext w:val="0"/>
              <w:keepLines/>
              <w:spacing w:after="0" w:lineRule="auto" w:line="283"/>
            </w:pPr>
            <w:r>
              <w:rPr>
                <w:rFonts w:ascii="PingFang SC" w:hAnsi="PingFang SC" w:eastAsia="PingFang SC" w:cs="PingFang SC"/>
                <w:b/>
                <w:color w:val="9B1C1C"/>
                <w:sz w:val="21"/>
              </w:rPr>
              <w:t xml:space="preserve">停止条件  </w:t>
            </w:r>
            <w:r>
              <w:rPr>
                <w:rFonts w:ascii="PingFang SC" w:hAnsi="PingFang SC" w:eastAsia="PingFang SC" w:cs="PingFang SC"/>
                <w:color w:val="20262E"/>
                <w:sz w:val="21"/>
              </w:rPr>
              <w:t>若商业授权、付费需求或配置恢复任一核心门槛在阶段 0–1 无法通过，应停止扩大开发，而不是用更多 AI 功能掩盖基础问题。</w:t>
            </w:r>
          </w:p>
        </w:tc>
      </w:tr>
    </w:tbl>
    <w:p>
      <w:pPr>
        <w:spacing w:before="40" w:after="80"/>
      </w:pP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附录 A：产品需求种子清单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A.1 首批用户故事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作为内容管理员，我可以给每条楼盘事实指定来源、版本、生效时间和公开范围。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作为购房者，我移动到阳台时会收到对应解说，并能看到该说明的来源。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作为购房者，我可以在房间里放置真实尺寸家具并保存当前方案。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作为购房者，我可以把方案以只读或可 Remix 方式分享给家庭成员。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作为家庭成员，我 Remix 后不会覆盖原方案，并可查看两个版本的差异。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作为售楼顾问，我只在用户主动同意后收到配置和问题摘要。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作为客户管理员，我可以撤销分享链接、下线过期资料并查看变更记录。</w:t>
      </w:r>
    </w:p>
    <w:p>
      <w:pPr>
        <w:spacing w:after="80" w:lineRule="auto" w:line="290"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作为平台工程师，我可以更换空间提供方而不修改导览、问答和协作业务逻辑。</w:t>
      </w:r>
    </w:p>
    <w:p>
      <w:pPr>
        <w:pStyle w:val="Heading2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26"/>
        </w:rPr>
        <w:t>A.2 关键技术决策记录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860"/>
        <w:gridCol w:w="370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当前选择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DD5DF"/>
              <w:start w:val="single" w:sz="4" w:space="0" w:color="CDD5DF"/>
              <w:bottom w:val="single" w:sz="4" w:space="0" w:color="CDD5DF"/>
              <w:end w:val="single" w:sz="4" w:space="0" w:color="CDD5DF"/>
              <w:insideH w:val="single" w:sz="4" w:space="0" w:color="CDD5DF"/>
              <w:insideV w:val="single" w:sz="4" w:space="0" w:color="CDD5DF"/>
            </w:tcBorders>
            <w:shd w:fill="F4F6F9"/>
          </w:tcPr>
          <w:p>
            <w:pPr>
              <w:spacing w:after="0" w:lineRule="auto" w:line="259"/>
              <w:jc w:val="left"/>
            </w:pPr>
            <w:r>
              <w:rPr>
                <w:rFonts w:ascii="PingFang SC" w:hAnsi="PingFang SC" w:eastAsia="PingFang SC" w:cs="PingFang SC"/>
                <w:b/>
                <w:color w:val="0B2545"/>
                <w:sz w:val="18"/>
              </w:rPr>
              <w:t>重新评估触发条件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空间来源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Matterport 先行，Provider Adapter 隔离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商业条款不清、成本不可控或功能不足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社交范围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分享、评论、Remix、比较，不做公开 Feed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真实用户显示高频公开创作需求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AI 部署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云/本地可切换；敏感客户可选本地 Worker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客户数据策略、延迟或成本要求变化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事实系统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结构化事实＋版本化 RAG＋人工审批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不得退化为纯聊天式 RAG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家具商业化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先做授权目录，不做按浏览收费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出现可验证成交归因与合同许可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生成式建模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后续研发 Adapter，不进 MVP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Rule="auto" w:line="269"/>
              <w:jc w:val="left"/>
            </w:pPr>
            <w:r>
              <w:rPr>
                <w:rFonts w:ascii="PingFang SC" w:hAnsi="PingFang SC" w:eastAsia="PingFang SC" w:cs="PingFang SC"/>
                <w:color w:val="20262E"/>
                <w:sz w:val="18"/>
              </w:rPr>
              <w:t>确定性 BIM/开放模型覆盖不足且研究达到质量门槛</w:t>
            </w:r>
          </w:p>
        </w:tc>
      </w:tr>
    </w:tbl>
    <w:p>
      <w:pPr>
        <w:spacing w:before="40" w:after="40"/>
      </w:pP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附录 B：公开资料与事实依据</w:t>
      </w:r>
    </w:p>
    <w:p>
      <w:pPr>
        <w:spacing w:after="160" w:lineRule="auto" w:line="320"/>
        <w:jc w:val="both"/>
      </w:pPr>
      <w:r>
        <w:rPr>
          <w:rFonts w:ascii="PingFang SC" w:hAnsi="PingFang SC" w:eastAsia="PingFang SC" w:cs="PingFang SC"/>
          <w:b w:val="0"/>
          <w:i/>
          <w:color w:val="5F6B76"/>
          <w:sz w:val="22"/>
        </w:rPr>
        <w:t>以下资料用于确认技术能力、产品基线和商业约束；访问日期均为 2026-07-13。商业条款可能变化，正式签约前必须重新核验。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S1 </w:t>
      </w:r>
      <w:hyperlink r:id="rId12">
        <w:r>
          <w:rPr>
            <w:rFonts w:ascii="PingFang SC" w:hAnsi="PingFang SC" w:eastAsia="PingFang SC"/>
            <w:color w:val="2E74B5"/>
            <w:u w:val="single"/>
          </w:rPr>
          <w:t>Matterport SDK Introduction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 Embed、Bundle、Web Component 的能力边界，并明确 Bundle 可访问场景图和插入 3D 对象。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S2 </w:t>
      </w:r>
      <w:hyperlink r:id="rId13">
        <w:r>
          <w:rPr>
            <w:rFonts w:ascii="PingFang SC" w:hAnsi="PingFang SC" w:eastAsia="PingFang SC"/>
            <w:color w:val="2E74B5"/>
            <w:u w:val="single"/>
          </w:rPr>
          <w:t>Matterport Ordering and Downloading Add-Ons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 MatterPak、OBJ/MTL、点云、E57、BIM/CAD 等资产与账户/价格差异。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S3 </w:t>
      </w:r>
      <w:hyperlink r:id="rId17">
        <w:r>
          <w:rPr>
            <w:rFonts w:ascii="PingFang SC" w:hAnsi="PingFang SC" w:eastAsia="PingFang SC"/>
            <w:color w:val="2E74B5"/>
            <w:u w:val="single"/>
          </w:rPr>
          <w:t>Matterport APIs Overview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 Model API、服务器端调用及管理员级 API Token 风险。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S4 </w:t>
      </w:r>
      <w:hyperlink r:id="rId18">
        <w:r>
          <w:rPr>
            <w:rFonts w:ascii="PingFang SC" w:hAnsi="PingFang SC" w:eastAsia="PingFang SC"/>
            <w:color w:val="2E74B5"/>
            <w:u w:val="single"/>
          </w:rPr>
          <w:t>Matterport Subscription Plans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 Developer Tools、Private Model Embed 和企业能力依账户层级及附加合同而定。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S5 </w:t>
      </w:r>
      <w:hyperlink r:id="rId16">
        <w:r>
          <w:rPr>
            <w:rFonts w:ascii="PingFang SC" w:hAnsi="PingFang SC" w:eastAsia="PingFang SC"/>
            <w:color w:val="2E74B5"/>
            <w:u w:val="single"/>
          </w:rPr>
          <w:t>Matterport Platform Subscription Agreement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当前公开协议中的 SDK 许可、商业使用、费用、限制、密钥和终止条款。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S6 </w:t>
      </w:r>
      <w:hyperlink r:id="rId19">
        <w:r>
          <w:rPr>
            <w:rFonts w:ascii="PingFang SC" w:hAnsi="PingFang SC" w:eastAsia="PingFang SC"/>
            <w:color w:val="2E74B5"/>
            <w:u w:val="single"/>
          </w:rPr>
          <w:t>Matterport Enterprise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说明企业集成、私有模型嵌入、安全与协作能力。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S7 </w:t>
      </w:r>
      <w:hyperlink r:id="rId11">
        <w:r>
          <w:rPr>
            <w:rFonts w:ascii="PingFang SC" w:hAnsi="PingFang SC" w:eastAsia="PingFang SC"/>
            <w:color w:val="2E74B5"/>
            <w:u w:val="single"/>
          </w:rPr>
          <w:t>IKEA Kreativ Sharing and Remixing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确认家具空间设计的分享与 Remix 已是市场基线。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S8 </w:t>
      </w:r>
      <w:hyperlink r:id="rId15">
        <w:r>
          <w:rPr>
            <w:rFonts w:ascii="PingFang SC" w:hAnsi="PingFang SC" w:eastAsia="PingFang SC"/>
            <w:color w:val="2E74B5"/>
            <w:u w:val="single"/>
          </w:rPr>
          <w:t>Apple RoomPlan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 LiDAR 房间扫描、尺寸、USD/USDZ 和可编辑输出。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S9 </w:t>
      </w:r>
      <w:hyperlink r:id="rId14">
        <w:r>
          <w:rPr>
            <w:rFonts w:ascii="PingFang SC" w:hAnsi="PingFang SC" w:eastAsia="PingFang SC"/>
            <w:color w:val="2E74B5"/>
            <w:u w:val="single"/>
          </w:rPr>
          <w:t>buildingSMART IFC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确认 IFC 是 vendor-neutral 的开放 BIM 国际标准。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S10 </w:t>
      </w:r>
      <w:hyperlink r:id="rId20">
        <w:r>
          <w:rPr>
            <w:rFonts w:ascii="PingFang SC" w:hAnsi="PingFang SC" w:eastAsia="PingFang SC"/>
            <w:color w:val="2E74B5"/>
            <w:u w:val="single"/>
          </w:rPr>
          <w:t>NVIDIA DGX Spark Hardware Overview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 128GB 统一内存与本地大模型能力，作为私有 AI 部署选项的依据。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S11 </w:t>
      </w:r>
      <w:hyperlink r:id="rId21">
        <w:r>
          <w:rPr>
            <w:rFonts w:ascii="PingFang SC" w:hAnsi="PingFang SC" w:eastAsia="PingFang SC"/>
            <w:color w:val="2E74B5"/>
            <w:u w:val="single"/>
          </w:rPr>
          <w:t>HouseCrafter: Lifting Floorplans to 3D Scenes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说明从户型图生成 3D 场景的研究可行性与研发属性。</w:t>
      </w:r>
    </w:p>
    <w:p>
      <w:pPr>
        <w:spacing w:after="100" w:lineRule="auto" w:line="283"/>
        <w:ind w:left="259" w:hanging="259"/>
      </w:pPr>
      <w:r>
        <w:rPr>
          <w:rFonts w:ascii="PingFang SC" w:hAnsi="PingFang SC" w:eastAsia="PingFang SC" w:cs="PingFang SC"/>
          <w:b/>
          <w:color w:val="0B2545"/>
          <w:sz w:val="19"/>
        </w:rPr>
        <w:t xml:space="preserve">S12 </w:t>
      </w:r>
      <w:hyperlink r:id="rId22">
        <w:r>
          <w:rPr>
            <w:rFonts w:ascii="PingFang SC" w:hAnsi="PingFang SC" w:eastAsia="PingFang SC"/>
            <w:color w:val="2E74B5"/>
            <w:u w:val="single"/>
          </w:rPr>
          <w:t>ATISS: Autoregressive Transformers for Indoor Scene Synthesis</w:t>
        </w:r>
      </w:hyperlink>
      <w:r>
        <w:rPr>
          <w:rFonts w:ascii="PingFang SC" w:hAnsi="PingFang SC" w:eastAsia="PingFang SC" w:cs="PingFang SC"/>
          <w:color w:val="5F6B76"/>
          <w:sz w:val="19"/>
        </w:rPr>
        <w:t xml:space="preserve"> — 说明基于户型与房间类型生成家具布局的研究路线。</w:t>
      </w:r>
    </w:p>
    <w:p>
      <w:pPr>
        <w:pStyle w:val="Heading1"/>
        <w:keepNext/>
        <w:keepLines w:val="0"/>
      </w:pPr>
      <w:r>
        <w:rPr>
          <w:rFonts w:ascii="PingFang SC" w:hAnsi="PingFang SC" w:eastAsia="PingFang SC" w:cs="PingFang SC"/>
          <w:b/>
          <w:color w:val="2E74B5"/>
          <w:sz w:val="32"/>
        </w:rPr>
        <w:t>附录 C：下一次团队会议建议议程</w:t>
      </w:r>
    </w:p>
    <w:p>
      <w:pPr>
        <w:spacing w:after="80" w:lineRule="auto" w:line="290"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确认目标地区与首个 ICP：哪类开发商、哪种项目、谁有预算。</w:t>
      </w:r>
    </w:p>
    <w:p>
      <w:pPr>
        <w:spacing w:after="80" w:lineRule="auto" w:line="290"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指定一人联系 Matterport/经销商，书面确认收费应用、家具插入、私有模型和分享场景。</w:t>
      </w:r>
    </w:p>
    <w:p>
      <w:pPr>
        <w:spacing w:after="80" w:lineRule="auto" w:line="290"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列出可在两周内接触的 10 名行业受访者和 2 个潜在设计伙伴。</w:t>
      </w:r>
    </w:p>
    <w:p>
      <w:pPr>
        <w:spacing w:after="80" w:lineRule="auto" w:line="290"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选择一个合法可用的空间模型、规格文档和 10 个家具资产。</w:t>
      </w:r>
    </w:p>
    <w:p>
      <w:pPr>
        <w:spacing w:after="80" w:lineRule="auto" w:line="290"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审议 MVP Epic、24 小时 Spike 和阶段 0 退出门槛。</w:t>
      </w:r>
    </w:p>
    <w:p>
      <w:pPr>
        <w:spacing w:after="80" w:lineRule="auto" w:line="290"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决定是否投入 4–6 周发现阶段；在此之前不启动完整产品开发。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PingFang SC" w:hAnsi="PingFang SC" w:eastAsia="PingFang SC" w:cs="PingFang SC"/>
        <w:color w:val="5F6B76"/>
        <w:sz w:val="17"/>
      </w:rPr>
      <w:t xml:space="preserve">内部工作稿  |  第 </w:t>
    </w:r>
    <w:r>
      <w:rPr>
        <w:rFonts w:ascii="PingFang SC" w:hAnsi="PingFang SC" w:eastAsia="PingFang SC" w:cs="PingFang SC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ingFang SC" w:hAnsi="PingFang SC" w:eastAsia="PingFang SC" w:cs="PingFang SC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DD5DF"/>
      </w:pBdr>
    </w:pPr>
    <w:r>
      <w:rPr>
        <w:rFonts w:ascii="PingFang SC" w:hAnsi="PingFang SC" w:eastAsia="PingFang SC" w:cs="PingFang SC"/>
        <w:b/>
        <w:color w:val="5F6B76"/>
        <w:sz w:val="17"/>
      </w:rPr>
      <w:t>协作式数字样板间  |  商业计划与开发蓝图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PingFang SC" w:hAnsi="PingFang SC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PingFang SC" w:hAnsi="PingFang SC" w:eastAsia="PingFang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PingFang SC" w:hAnsi="PingFang SC" w:eastAsia="PingFang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PingFang SC" w:hAnsi="PingFang SC" w:eastAsia="PingFang S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PingFang SC" w:hAnsi="PingFang SC" w:eastAsia="PingFang SC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PingFang SC" w:hAnsi="PingFang SC" w:eastAsia="PingFang SC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PingFang SC" w:hAnsi="PingFang SC" w:eastAsia="PingFang SC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PingFang SC" w:hAnsi="PingFang SC" w:eastAsia="PingFang SC" w:cs="PingFang SC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kea.com/us/en/customer-service/knowledge/articles/a6fd8d36-b079-46bd-af63-e429217eff4d.html" TargetMode="External"/><Relationship Id="rId12" Type="http://schemas.openxmlformats.org/officeDocument/2006/relationships/hyperlink" Target="https://matterport.github.io/developer-docs/overview/" TargetMode="External"/><Relationship Id="rId13" Type="http://schemas.openxmlformats.org/officeDocument/2006/relationships/hyperlink" Target="https://matterport.github.io/developer-docs/api/model/ordering-addons/" TargetMode="External"/><Relationship Id="rId14" Type="http://schemas.openxmlformats.org/officeDocument/2006/relationships/hyperlink" Target="https://www.buildingsmart.org/standards/bsi-standards/industry-foundation-classes/?lang=en" TargetMode="External"/><Relationship Id="rId15" Type="http://schemas.openxmlformats.org/officeDocument/2006/relationships/hyperlink" Target="https://developer.apple.com/augmented-reality/roomplan/" TargetMode="External"/><Relationship Id="rId16" Type="http://schemas.openxmlformats.org/officeDocument/2006/relationships/hyperlink" Target="https://matterport.com/fr/legal/platform-subscription-agreement" TargetMode="External"/><Relationship Id="rId17" Type="http://schemas.openxmlformats.org/officeDocument/2006/relationships/hyperlink" Target="https://matterport.github.io/developer-docs/api/" TargetMode="External"/><Relationship Id="rId18" Type="http://schemas.openxmlformats.org/officeDocument/2006/relationships/hyperlink" Target="https://matterport.com/plans?lang=en" TargetMode="External"/><Relationship Id="rId19" Type="http://schemas.openxmlformats.org/officeDocument/2006/relationships/hyperlink" Target="https://matterport.com/enterprise" TargetMode="External"/><Relationship Id="rId20" Type="http://schemas.openxmlformats.org/officeDocument/2006/relationships/hyperlink" Target="https://docs.nvidia.com/dgx/dgx-spark/hardware.html" TargetMode="External"/><Relationship Id="rId21" Type="http://schemas.openxmlformats.org/officeDocument/2006/relationships/hyperlink" Target="https://openaccess.thecvf.com/content/ICCV2025/html/Chen_HouseCrafter_Lifting_Floorplans_to_3D_Scenes_with_2D_Diffusion_Models_ICCV_2025_paper.html" TargetMode="External"/><Relationship Id="rId22" Type="http://schemas.openxmlformats.org/officeDocument/2006/relationships/hyperlink" Target="https://research.nvidia.com/labs/toronto-ai/ATI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协作式数字样板间：商业计划与产品开发蓝图</dc:title>
  <dc:subject>B2B2C 房产数字样板间平台商业计划</dc:subject>
  <dc:creator>念头通达</dc:creator>
  <cp:keywords>数字样板间, Matterport, BIM, RAG, 家具配置, 协作分享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