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465" w:hRule="auto"/>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Melody</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Sean Eastin</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12/13/2019</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needs to be more comments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good</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dont know</w:t>
            </w:r>
          </w:p>
        </w:tc>
      </w:tr>
    </w:tbl>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the name of the reviewer, along with their responses.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a document (in MSWord or PDF format) that contains all results from all peer review sessions. Also record the names of the people for whom you reviewed code.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 include a brief outline of any steps you took to resolve any quality issues found in your project.</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submit the following:</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 in MSWord or PDF format containing the results of the peer review sessions.</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 Checklist</w:t>
      </w:r>
    </w:p>
    <w:tbl>
      <w:tblPr/>
      <w:tblGrid>
        <w:gridCol w:w="8075"/>
        <w:gridCol w:w="941"/>
      </w:tblGrid>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have participated in at least one peer review session</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results of all peer review sessions have been recorded (you may use the table above for guidance)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name of the review(s) has been recorded, along with their feedback</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have listed the names of all people for whom you have reviewed code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document is neatly typed, with appropriate headings and sub-headings, date, and your name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steps taken to address any quality issues found have been listed</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6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