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0B9C" w14:textId="3E3454C9" w:rsidR="003F1F27" w:rsidRPr="0015437A" w:rsidRDefault="003F1F27" w:rsidP="003F1F27">
      <w:pPr>
        <w:rPr>
          <w:b/>
          <w:bCs/>
        </w:rPr>
      </w:pPr>
      <w:r w:rsidRPr="0015437A">
        <w:rPr>
          <w:b/>
          <w:bCs/>
        </w:rPr>
        <w:t>Methods</w:t>
      </w:r>
    </w:p>
    <w:p w14:paraId="57E9D354" w14:textId="77777777" w:rsidR="00AF3FB9" w:rsidRPr="00AF3FB9" w:rsidRDefault="00AF3FB9" w:rsidP="003F1F27">
      <w:pPr>
        <w:rPr>
          <w:b/>
          <w:bCs/>
        </w:rPr>
      </w:pPr>
    </w:p>
    <w:p w14:paraId="7EAB617D" w14:textId="1B6DD691" w:rsidR="003F1F27" w:rsidRPr="00AF3FB9" w:rsidRDefault="00AF3FB9" w:rsidP="003F1F27">
      <w:pPr>
        <w:rPr>
          <w:i/>
          <w:iCs/>
        </w:rPr>
      </w:pPr>
      <w:r>
        <w:rPr>
          <w:i/>
          <w:iCs/>
        </w:rPr>
        <w:t>Data prep</w:t>
      </w:r>
    </w:p>
    <w:p w14:paraId="691CDA2C" w14:textId="0D12AE6E" w:rsidR="00AF3FB9" w:rsidRDefault="00AF3FB9" w:rsidP="003F1F27">
      <w:r>
        <w:t xml:space="preserve">Total percent Nitrogen was square root transformed to improve normalization of the feature prior to further analysis. Additional transformations were attempted on non-normal features (Density and </w:t>
      </w:r>
      <w:r w:rsidRPr="00536DF9">
        <w:t>Phosphorous ppm</w:t>
      </w:r>
      <w:r>
        <w:t>) but were reversed as normality did not improve.</w:t>
      </w:r>
      <w:r w:rsidR="003A3FE9">
        <w:t xml:space="preserve"> Distributions were visualized using the </w:t>
      </w:r>
      <w:proofErr w:type="spellStart"/>
      <w:r w:rsidR="003A3FE9" w:rsidRPr="003A3FE9">
        <w:t>hist.</w:t>
      </w:r>
      <w:proofErr w:type="gramStart"/>
      <w:r w:rsidR="003A3FE9" w:rsidRPr="003A3FE9">
        <w:t>data.frame</w:t>
      </w:r>
      <w:proofErr w:type="spellEnd"/>
      <w:proofErr w:type="gramEnd"/>
      <w:r w:rsidR="003A3FE9" w:rsidRPr="003A3FE9">
        <w:t xml:space="preserve"> </w:t>
      </w:r>
      <w:r w:rsidR="003A3FE9">
        <w:t>function from the HMISC package (</w:t>
      </w:r>
      <w:r w:rsidR="003A3FE9" w:rsidRPr="003A3FE9">
        <w:t>Harrell Jr</w:t>
      </w:r>
      <w:r w:rsidR="003A3FE9">
        <w:t xml:space="preserve"> 2019).</w:t>
      </w:r>
    </w:p>
    <w:p w14:paraId="07D6757A" w14:textId="77777777" w:rsidR="00AF3FB9" w:rsidRDefault="00AF3FB9" w:rsidP="003F1F27"/>
    <w:p w14:paraId="3838A012" w14:textId="404C7BC6" w:rsidR="00AF3FB9" w:rsidRPr="00AF3FB9" w:rsidRDefault="00AF3FB9" w:rsidP="003F1F27">
      <w:pPr>
        <w:rPr>
          <w:i/>
          <w:iCs/>
        </w:rPr>
      </w:pPr>
      <w:r w:rsidRPr="00AF3FB9">
        <w:rPr>
          <w:i/>
          <w:iCs/>
        </w:rPr>
        <w:t>Analysis</w:t>
      </w:r>
    </w:p>
    <w:p w14:paraId="37DAFDA1" w14:textId="6F6F1E3C" w:rsidR="00536DF9" w:rsidRDefault="00536DF9" w:rsidP="003F1F27">
      <w:r w:rsidRPr="00536DF9">
        <w:t>Non-metric multidimensional scaling</w:t>
      </w:r>
      <w:r>
        <w:t xml:space="preserve"> analysis was carried out using the </w:t>
      </w:r>
      <w:proofErr w:type="spellStart"/>
      <w:r>
        <w:t>metaMDS</w:t>
      </w:r>
      <w:proofErr w:type="spellEnd"/>
      <w:r>
        <w:t xml:space="preserve"> function from the Vegan library (</w:t>
      </w:r>
      <w:r w:rsidR="003A3FE9">
        <w:t>Oksanen</w:t>
      </w:r>
      <w:r w:rsidR="003A3FE9">
        <w:t xml:space="preserve"> 2022</w:t>
      </w:r>
      <w:r>
        <w:t xml:space="preserve">) with </w:t>
      </w:r>
      <w:r w:rsidR="00C61696">
        <w:t>B</w:t>
      </w:r>
      <w:r>
        <w:t>ray-</w:t>
      </w:r>
      <w:proofErr w:type="gramStart"/>
      <w:r w:rsidR="00C61696">
        <w:t>C</w:t>
      </w:r>
      <w:r>
        <w:t>urtis</w:t>
      </w:r>
      <w:proofErr w:type="gramEnd"/>
      <w:r>
        <w:t xml:space="preserve"> dissimilarity as the distance metric, for 1 through 10 dimensions. Stress was assessed for each NMDS analysis, and the </w:t>
      </w:r>
      <w:r w:rsidR="00AF3FB9">
        <w:t>2-dimension</w:t>
      </w:r>
      <w:r>
        <w:t xml:space="preserve"> NMDS was selected for further analysis and visualization.</w:t>
      </w:r>
    </w:p>
    <w:p w14:paraId="487BF0AE" w14:textId="77777777" w:rsidR="00536DF9" w:rsidRDefault="00536DF9" w:rsidP="003F1F27"/>
    <w:p w14:paraId="65BBEE71" w14:textId="46FAFA2E" w:rsidR="00AF3FB9" w:rsidRPr="00AF3FB9" w:rsidRDefault="00AF3FB9" w:rsidP="003F1F27">
      <w:pPr>
        <w:rPr>
          <w:i/>
          <w:iCs/>
        </w:rPr>
      </w:pPr>
      <w:r>
        <w:rPr>
          <w:i/>
          <w:iCs/>
        </w:rPr>
        <w:t>Plots</w:t>
      </w:r>
    </w:p>
    <w:p w14:paraId="04E17910" w14:textId="488D0442" w:rsidR="003F1F27" w:rsidRDefault="00536DF9" w:rsidP="003F1F27">
      <w:r>
        <w:t xml:space="preserve">Ordination plots were produced using the </w:t>
      </w:r>
      <w:proofErr w:type="spellStart"/>
      <w:r>
        <w:t>ordiplot</w:t>
      </w:r>
      <w:proofErr w:type="spellEnd"/>
      <w:r>
        <w:t xml:space="preserve"> function from the vegan library (</w:t>
      </w:r>
      <w:r w:rsidR="003A3FE9">
        <w:t>Oksanen 2022</w:t>
      </w:r>
      <w:r>
        <w:t>)</w:t>
      </w:r>
      <w:r w:rsidR="001E37A9">
        <w:t xml:space="preserve">. One plot was produced for each of the response variables (depth and contour), each colored by the response category. </w:t>
      </w:r>
      <w:r>
        <w:t xml:space="preserve">95% confidence ellipses </w:t>
      </w:r>
      <w:r w:rsidR="001E37A9">
        <w:t xml:space="preserve">were then added to the plots using </w:t>
      </w:r>
      <w:r>
        <w:t xml:space="preserve">the </w:t>
      </w:r>
      <w:proofErr w:type="spellStart"/>
      <w:r>
        <w:t>ordiellipse</w:t>
      </w:r>
      <w:proofErr w:type="spellEnd"/>
      <w:r>
        <w:t xml:space="preserve"> function from the vegan library (</w:t>
      </w:r>
      <w:r w:rsidR="003A3FE9">
        <w:t>Oksanen 2022</w:t>
      </w:r>
      <w:r>
        <w:t xml:space="preserve">). </w:t>
      </w:r>
    </w:p>
    <w:p w14:paraId="3FE91B95" w14:textId="77777777" w:rsidR="003F1F27" w:rsidRDefault="003F1F27" w:rsidP="003F1F27"/>
    <w:p w14:paraId="18D687B6" w14:textId="77777777" w:rsidR="003F1F27" w:rsidRDefault="003F1F27" w:rsidP="003F1F27"/>
    <w:p w14:paraId="05BC6A3C" w14:textId="6FF0FA24" w:rsidR="003F1F27" w:rsidRPr="0015437A" w:rsidRDefault="003F1F27" w:rsidP="003F1F27">
      <w:pPr>
        <w:rPr>
          <w:b/>
          <w:bCs/>
        </w:rPr>
      </w:pPr>
      <w:r w:rsidRPr="0015437A">
        <w:rPr>
          <w:b/>
          <w:bCs/>
        </w:rPr>
        <w:t>Results</w:t>
      </w:r>
    </w:p>
    <w:p w14:paraId="2172D215" w14:textId="77777777" w:rsidR="001E37A9" w:rsidRDefault="001E37A9" w:rsidP="003F1F27"/>
    <w:p w14:paraId="1EF4D0F5" w14:textId="633075AF" w:rsidR="001E37A9" w:rsidRDefault="00AF3FB9" w:rsidP="003F1F27">
      <w:r>
        <w:rPr>
          <w:i/>
          <w:iCs/>
        </w:rPr>
        <w:t>Transformations</w:t>
      </w:r>
    </w:p>
    <w:p w14:paraId="3BD786C7" w14:textId="123769E9" w:rsidR="00AF3FB9" w:rsidRDefault="00AF3FB9" w:rsidP="003F1F27">
      <w:r>
        <w:t>Percent Nitrogen was square root transformed to improve normality (Figure 1). Two other features were not normally distributed, but no transformation appeared to normalize the data.</w:t>
      </w:r>
    </w:p>
    <w:p w14:paraId="5D9A983C" w14:textId="77777777" w:rsidR="00AF3FB9" w:rsidRDefault="00AF3FB9" w:rsidP="00AF3FB9">
      <w:pPr>
        <w:keepNext/>
      </w:pPr>
      <w:r w:rsidRPr="00AF3FB9">
        <w:drawing>
          <wp:inline distT="0" distB="0" distL="0" distR="0" wp14:anchorId="598F88B9" wp14:editId="727CFF2A">
            <wp:extent cx="3903870" cy="1360537"/>
            <wp:effectExtent l="0" t="0" r="0" b="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2DC93B0A-8D0F-742E-7EAC-53FECE0D3F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2DC93B0A-8D0F-742E-7EAC-53FECE0D3F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43528"/>
                    <a:stretch/>
                  </pic:blipFill>
                  <pic:spPr>
                    <a:xfrm>
                      <a:off x="0" y="0"/>
                      <a:ext cx="3903870" cy="1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534F" w14:textId="05347DCC" w:rsidR="00AF3FB9" w:rsidRDefault="00AF3FB9" w:rsidP="00AF3F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437A">
        <w:rPr>
          <w:noProof/>
        </w:rPr>
        <w:t>1</w:t>
      </w:r>
      <w:r>
        <w:fldChar w:fldCharType="end"/>
      </w:r>
      <w:r>
        <w:t>: % Nitrogen before and after square root transformation</w:t>
      </w:r>
    </w:p>
    <w:p w14:paraId="197C5213" w14:textId="77777777" w:rsidR="00AF3FB9" w:rsidRDefault="00AF3FB9" w:rsidP="00AF3FB9"/>
    <w:p w14:paraId="46E309FE" w14:textId="657B8CF2" w:rsidR="00AF3FB9" w:rsidRPr="0015437A" w:rsidRDefault="00AF3FB9" w:rsidP="00AF3FB9">
      <w:pPr>
        <w:rPr>
          <w:i/>
          <w:iCs/>
        </w:rPr>
      </w:pPr>
      <w:r>
        <w:rPr>
          <w:i/>
          <w:iCs/>
        </w:rPr>
        <w:t>NMDS</w:t>
      </w:r>
    </w:p>
    <w:p w14:paraId="1061D228" w14:textId="3EBA56F4" w:rsidR="001E37A9" w:rsidRDefault="0015437A" w:rsidP="003F1F27">
      <w:r>
        <w:t>1-dimension NMDS using Bray-</w:t>
      </w:r>
      <w:proofErr w:type="gramStart"/>
      <w:r>
        <w:t>Curtis</w:t>
      </w:r>
      <w:proofErr w:type="gramEnd"/>
      <w:r>
        <w:t xml:space="preserve"> dissimilarity had a stress of 0.0758. Adding a second dimension decreased this stress level to 0.0481 (Figure 2). 2 dimensions was chosen for further analysis because it had ~36% lower stress than 1 dimension, and because a stress level under 0.005 is typically seen as very good.</w:t>
      </w:r>
    </w:p>
    <w:p w14:paraId="470E8577" w14:textId="77777777" w:rsidR="0015437A" w:rsidRDefault="0015437A" w:rsidP="003F1F27"/>
    <w:p w14:paraId="70D7A78F" w14:textId="77777777" w:rsidR="0015437A" w:rsidRDefault="0015437A" w:rsidP="0015437A">
      <w:pPr>
        <w:keepNext/>
      </w:pPr>
      <w:r w:rsidRPr="0015437A">
        <w:lastRenderedPageBreak/>
        <w:drawing>
          <wp:inline distT="0" distB="0" distL="0" distR="0" wp14:anchorId="7838A692" wp14:editId="483133B9">
            <wp:extent cx="4574203" cy="2822713"/>
            <wp:effectExtent l="0" t="0" r="0" b="0"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F53867E6-8F45-D059-6BBA-18785449FE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F53867E6-8F45-D059-6BBA-18785449FE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809" cy="28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6DE0" w14:textId="7C810ADA" w:rsidR="0015437A" w:rsidRDefault="0015437A" w:rsidP="001543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Stress by number of dimensions in NMDS (using Bray-</w:t>
      </w:r>
      <w:proofErr w:type="gramStart"/>
      <w:r>
        <w:t>Curtis</w:t>
      </w:r>
      <w:proofErr w:type="gramEnd"/>
      <w:r>
        <w:t xml:space="preserve"> dissimilarity as the distance metric).</w:t>
      </w:r>
    </w:p>
    <w:p w14:paraId="02C33742" w14:textId="21B2B05B" w:rsidR="001E37A9" w:rsidRPr="0015437A" w:rsidRDefault="0015437A" w:rsidP="003F1F27">
      <w:r>
        <w:rPr>
          <w:i/>
          <w:iCs/>
        </w:rPr>
        <w:t>Ordination Plots</w:t>
      </w:r>
    </w:p>
    <w:p w14:paraId="3698936F" w14:textId="19FDAD85" w:rsidR="002311BF" w:rsidRDefault="00711F65" w:rsidP="003A3FE9">
      <w:r>
        <w:t xml:space="preserve">The ordination plot colored by contour shows no </w:t>
      </w:r>
      <w:r>
        <w:t>discernable differentiation between</w:t>
      </w:r>
      <w:r>
        <w:t xml:space="preserve"> the 95% confidence ellipses for any of the soil sample contour groups (Figure 3). The ordination plot for soil sample depth </w:t>
      </w:r>
      <w:r>
        <w:t xml:space="preserve">shows </w:t>
      </w:r>
      <w:r>
        <w:t>clear</w:t>
      </w:r>
      <w:r>
        <w:t xml:space="preserve"> differentiation between 95% confidence ellipses for soil depths that are not adjacent</w:t>
      </w:r>
      <w:r>
        <w:t xml:space="preserve"> in order. However adjacent depth levels cannot be differentiated with 95% confidence (Figure 4). </w:t>
      </w:r>
      <w:r w:rsidR="003A3FE9">
        <w:t>The stress level of 0.0481 means we can be relatively confident in this result.</w:t>
      </w:r>
    </w:p>
    <w:p w14:paraId="11E88E63" w14:textId="77777777" w:rsidR="003A3FE9" w:rsidRDefault="003A3FE9" w:rsidP="003A3FE9"/>
    <w:p w14:paraId="02C59D66" w14:textId="77777777" w:rsidR="0015437A" w:rsidRDefault="0015437A" w:rsidP="0015437A">
      <w:pPr>
        <w:keepNext/>
      </w:pPr>
      <w:r w:rsidRPr="0015437A">
        <w:drawing>
          <wp:inline distT="0" distB="0" distL="0" distR="0" wp14:anchorId="733C7860" wp14:editId="1C3D7D9B">
            <wp:extent cx="4572000" cy="282135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993FCCB-D7F7-CEF0-5F68-40E420F92F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993FCCB-D7F7-CEF0-5F68-40E420F92F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216" cy="28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9C3A" w14:textId="14EEF353" w:rsidR="0015437A" w:rsidRDefault="0015437A" w:rsidP="001543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Ordination plot of NMDS results, colored by contour gradient of the soil sample. 95% confidence ellipses are shown around each contour group. No contour group can be distinguished from the others with 95% confidence. </w:t>
      </w:r>
    </w:p>
    <w:p w14:paraId="338FE207" w14:textId="77777777" w:rsidR="0015437A" w:rsidRDefault="0015437A" w:rsidP="003F1F27"/>
    <w:p w14:paraId="4AC50B8E" w14:textId="77777777" w:rsidR="0015437A" w:rsidRDefault="0015437A" w:rsidP="003F1F27"/>
    <w:p w14:paraId="50FDA231" w14:textId="77777777" w:rsidR="0015437A" w:rsidRDefault="0015437A" w:rsidP="0015437A">
      <w:pPr>
        <w:keepNext/>
      </w:pPr>
      <w:r w:rsidRPr="0015437A">
        <w:lastRenderedPageBreak/>
        <w:drawing>
          <wp:inline distT="0" distB="0" distL="0" distR="0" wp14:anchorId="5F1B541B" wp14:editId="7D04465B">
            <wp:extent cx="4572000" cy="2821354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7A2BEB9-71AC-6119-311B-C8D3470EC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67A2BEB9-71AC-6119-311B-C8D3470EC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663" cy="28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3CA" w14:textId="3D9FBB30" w:rsidR="00D31CFD" w:rsidRDefault="0015437A" w:rsidP="003A3FE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Ordination plot of NMDS results, colored by the soil sample collection depth. </w:t>
      </w:r>
      <w:r>
        <w:t xml:space="preserve">95% confidence ellipses are shown around each </w:t>
      </w:r>
      <w:r>
        <w:t>depth level</w:t>
      </w:r>
      <w:r>
        <w:t xml:space="preserve">. </w:t>
      </w:r>
      <w:r w:rsidR="002311BF">
        <w:t xml:space="preserve">Adjacent depth levels cannot be distinguished with 95% confidence, but non-adjacent depth levels can clearly be distinguished. </w:t>
      </w:r>
    </w:p>
    <w:p w14:paraId="3EE4CE31" w14:textId="7DE3E81E" w:rsidR="003A3FE9" w:rsidRDefault="003A3FE9" w:rsidP="003A3FE9"/>
    <w:p w14:paraId="38E6FFFE" w14:textId="3C5D4770" w:rsidR="003A3FE9" w:rsidRPr="003A3FE9" w:rsidRDefault="003A3FE9" w:rsidP="003A3FE9">
      <w:pPr>
        <w:rPr>
          <w:b/>
          <w:bCs/>
        </w:rPr>
      </w:pPr>
      <w:r w:rsidRPr="003A3FE9">
        <w:rPr>
          <w:b/>
          <w:bCs/>
        </w:rPr>
        <w:t>Citations</w:t>
      </w:r>
    </w:p>
    <w:p w14:paraId="6CBEE4F4" w14:textId="77777777" w:rsidR="003A3FE9" w:rsidRDefault="003A3FE9" w:rsidP="003A3FE9"/>
    <w:p w14:paraId="4C2FBD7B" w14:textId="562CE1C9" w:rsidR="003A3FE9" w:rsidRPr="003A3FE9" w:rsidRDefault="003A3FE9" w:rsidP="003A3FE9">
      <w:pPr>
        <w:pStyle w:val="ListParagraph"/>
        <w:numPr>
          <w:ilvl w:val="0"/>
          <w:numId w:val="6"/>
        </w:numPr>
      </w:pPr>
      <w:r w:rsidRPr="003A3FE9">
        <w:t xml:space="preserve">Harrell Jr., F., &amp; Dupont, Ch. (2019). </w:t>
      </w:r>
      <w:proofErr w:type="spellStart"/>
      <w:r w:rsidRPr="003A3FE9">
        <w:t>Hmisc</w:t>
      </w:r>
      <w:proofErr w:type="spellEnd"/>
      <w:r w:rsidRPr="003A3FE9">
        <w:t>: Harrell Miscellaneous. R Package Version 4.2-0. https://CRAN.R-project.org/package=Hmisc</w:t>
      </w:r>
    </w:p>
    <w:p w14:paraId="230EDD43" w14:textId="77777777" w:rsidR="003A3FE9" w:rsidRDefault="003A3FE9" w:rsidP="003A3FE9">
      <w:pPr>
        <w:pStyle w:val="ListParagraph"/>
      </w:pPr>
    </w:p>
    <w:p w14:paraId="79FC22A2" w14:textId="61105F95" w:rsidR="003A3FE9" w:rsidRDefault="003A3FE9" w:rsidP="003A3FE9">
      <w:pPr>
        <w:pStyle w:val="ListParagraph"/>
        <w:numPr>
          <w:ilvl w:val="0"/>
          <w:numId w:val="6"/>
        </w:numPr>
      </w:pPr>
      <w:r>
        <w:t xml:space="preserve">Oksanen J, Simpson G, Blanchet F, </w:t>
      </w:r>
      <w:proofErr w:type="spellStart"/>
      <w:r>
        <w:t>Kindt</w:t>
      </w:r>
      <w:proofErr w:type="spellEnd"/>
      <w:r>
        <w:t xml:space="preserve"> R, Legendre</w:t>
      </w:r>
      <w:r>
        <w:t xml:space="preserve"> </w:t>
      </w:r>
      <w:r>
        <w:t xml:space="preserve">P, Minchin P, O'Hara R, </w:t>
      </w:r>
      <w:proofErr w:type="spellStart"/>
      <w:r>
        <w:t>Solymos</w:t>
      </w:r>
      <w:proofErr w:type="spellEnd"/>
      <w:r>
        <w:t xml:space="preserve"> P, Stevens M, </w:t>
      </w:r>
      <w:proofErr w:type="spellStart"/>
      <w:r>
        <w:t>Szoecs</w:t>
      </w:r>
      <w:proofErr w:type="spellEnd"/>
      <w:r>
        <w:t xml:space="preserve"> </w:t>
      </w:r>
      <w:r>
        <w:t xml:space="preserve">E, Wagner H, Barbour M, </w:t>
      </w:r>
      <w:proofErr w:type="spellStart"/>
      <w:r>
        <w:t>Bedward</w:t>
      </w:r>
      <w:proofErr w:type="spellEnd"/>
      <w:r>
        <w:t xml:space="preserve"> M, </w:t>
      </w:r>
      <w:proofErr w:type="spellStart"/>
      <w:r>
        <w:t>Bolker</w:t>
      </w:r>
      <w:proofErr w:type="spellEnd"/>
      <w:r>
        <w:t xml:space="preserve"> B, </w:t>
      </w:r>
      <w:proofErr w:type="spellStart"/>
      <w:r>
        <w:t>Borcard</w:t>
      </w:r>
      <w:proofErr w:type="spellEnd"/>
      <w:r>
        <w:t xml:space="preserve"> D, Carvalho G, Chirico M, De Caceres M, Durand S, Evangelista H, </w:t>
      </w:r>
      <w:proofErr w:type="spellStart"/>
      <w:r>
        <w:t>FitzJohn</w:t>
      </w:r>
      <w:proofErr w:type="spellEnd"/>
      <w:r>
        <w:t xml:space="preserve"> R, Friendly M, </w:t>
      </w:r>
      <w:proofErr w:type="spellStart"/>
      <w:r>
        <w:t>Furneaux</w:t>
      </w:r>
      <w:proofErr w:type="spellEnd"/>
      <w:r>
        <w:t xml:space="preserve"> B, Hannigan G, Hill M, Lahti L, McGlinn D, Ouellette M, Ribeiro Cunha E, Smith T, Stier A, Ter </w:t>
      </w:r>
      <w:proofErr w:type="spellStart"/>
      <w:r>
        <w:t>Braak</w:t>
      </w:r>
      <w:proofErr w:type="spellEnd"/>
      <w:r>
        <w:t xml:space="preserve"> C, Weedon J (2022). _vegan: Community Ecology Package_. R package version 2.6-4, &lt;https://CRAN.R-project.org/package=vegan&gt;.</w:t>
      </w:r>
    </w:p>
    <w:p w14:paraId="55DED8CD" w14:textId="77777777" w:rsidR="003A3FE9" w:rsidRPr="003A3FE9" w:rsidRDefault="003A3FE9" w:rsidP="00A6397B"/>
    <w:sectPr w:rsidR="003A3FE9" w:rsidRPr="003A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214"/>
    <w:multiLevelType w:val="hybridMultilevel"/>
    <w:tmpl w:val="44DAB4A6"/>
    <w:lvl w:ilvl="0" w:tplc="1BDC0D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064D"/>
    <w:multiLevelType w:val="hybridMultilevel"/>
    <w:tmpl w:val="C240C174"/>
    <w:lvl w:ilvl="0" w:tplc="F08A66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05E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B2BC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748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2A0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43B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CD3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C63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4B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0F5638A"/>
    <w:multiLevelType w:val="hybridMultilevel"/>
    <w:tmpl w:val="A142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1A67"/>
    <w:multiLevelType w:val="hybridMultilevel"/>
    <w:tmpl w:val="0E7635AE"/>
    <w:lvl w:ilvl="0" w:tplc="D144C9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FE5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AE6F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41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3843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E1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265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4697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10FE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E630CA6"/>
    <w:multiLevelType w:val="hybridMultilevel"/>
    <w:tmpl w:val="6E4AA438"/>
    <w:lvl w:ilvl="0" w:tplc="FFF055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04945"/>
    <w:multiLevelType w:val="hybridMultilevel"/>
    <w:tmpl w:val="D58E690A"/>
    <w:lvl w:ilvl="0" w:tplc="4E1E3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927876">
    <w:abstractNumId w:val="0"/>
  </w:num>
  <w:num w:numId="2" w16cid:durableId="516966933">
    <w:abstractNumId w:val="1"/>
  </w:num>
  <w:num w:numId="3" w16cid:durableId="1407604218">
    <w:abstractNumId w:val="3"/>
  </w:num>
  <w:num w:numId="4" w16cid:durableId="1158153187">
    <w:abstractNumId w:val="2"/>
  </w:num>
  <w:num w:numId="5" w16cid:durableId="1994332582">
    <w:abstractNumId w:val="5"/>
  </w:num>
  <w:num w:numId="6" w16cid:durableId="803229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74"/>
    <w:rsid w:val="0015437A"/>
    <w:rsid w:val="00195A74"/>
    <w:rsid w:val="001E37A9"/>
    <w:rsid w:val="002311BF"/>
    <w:rsid w:val="003A3FE9"/>
    <w:rsid w:val="003F1F27"/>
    <w:rsid w:val="00536DF9"/>
    <w:rsid w:val="006A45F6"/>
    <w:rsid w:val="00711F65"/>
    <w:rsid w:val="00A6397B"/>
    <w:rsid w:val="00AF3FB9"/>
    <w:rsid w:val="00C45FC4"/>
    <w:rsid w:val="00C61696"/>
    <w:rsid w:val="00D31CFD"/>
    <w:rsid w:val="00D455CC"/>
    <w:rsid w:val="00E7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689C"/>
  <w15:chartTrackingRefBased/>
  <w15:docId w15:val="{BEC8BF1C-8C5C-E645-983B-56D3204F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5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F3FB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3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04164B-2E76-FC41-8E4B-A68EBE8A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Fahey</dc:creator>
  <cp:keywords/>
  <dc:description/>
  <cp:lastModifiedBy>Sean Fahey</cp:lastModifiedBy>
  <cp:revision>5</cp:revision>
  <dcterms:created xsi:type="dcterms:W3CDTF">2023-04-30T00:12:00Z</dcterms:created>
  <dcterms:modified xsi:type="dcterms:W3CDTF">2023-04-30T06:08:00Z</dcterms:modified>
</cp:coreProperties>
</file>