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f321b9d18ef639f51f9ef87bfaef99f036cd6e"/>
      <w:r>
        <w:t xml:space="preserve">AWS Windows Active Directory, DNS &amp; AdGuard Home (Docker) Architecture Guide</w:t>
      </w:r>
      <w:bookmarkEnd w:id="9"/>
    </w:p>
    <w:p>
      <w:pPr>
        <w:pStyle w:val="Heading2"/>
      </w:pPr>
      <w:bookmarkStart w:id="10" w:name="_aa964d151e489eca473576c758d7fb312758351"/>
      <w:r>
        <w:t xml:space="preserve">1. Executive Summary &amp; Design Principle</w:t>
      </w:r>
      <w:bookmarkEnd w:id="10"/>
    </w:p>
    <w:p>
      <w:pPr>
        <w:pStyle w:val="FirstParagraph"/>
      </w:pPr>
      <w:r>
        <w:t xml:space="preserve">When architecting a modern, enterprise-grade hybrid environment on</w:t>
      </w:r>
      <w:r>
        <w:t xml:space="preserve"> </w:t>
      </w:r>
      <w:r>
        <w:rPr>
          <w:b/>
          <w:bCs/>
        </w:rPr>
        <w:t xml:space="preserve">Amazon Web Services (AWS)</w:t>
      </w:r>
      <w:r>
        <w:t xml:space="preserve"> </w:t>
      </w:r>
      <w:r>
        <w:t xml:space="preserve">that integrates</w:t>
      </w:r>
      <w:r>
        <w:t xml:space="preserve"> </w:t>
      </w:r>
      <w:r>
        <w:rPr>
          <w:b/>
          <w:bCs/>
        </w:rPr>
        <w:t xml:space="preserve">Windows Active Directory Domain Services (AD DS)</w:t>
      </w:r>
      <w:r>
        <w:t xml:space="preserve">,</w:t>
      </w:r>
      <w:r>
        <w:t xml:space="preserve"> </w:t>
      </w:r>
      <w:r>
        <w:rPr>
          <w:b/>
          <w:bCs/>
        </w:rPr>
        <w:t xml:space="preserve">Windows DNS</w:t>
      </w:r>
      <w:r>
        <w:t xml:space="preserve">, and</w:t>
      </w:r>
      <w:r>
        <w:t xml:space="preserve"> </w:t>
      </w:r>
      <w:r>
        <w:rPr>
          <w:b/>
          <w:bCs/>
        </w:rPr>
        <w:t xml:space="preserve">AdGuard Home (Docker)</w:t>
      </w:r>
      <w:r>
        <w:t xml:space="preserve"> </w:t>
      </w:r>
      <w:r>
        <w:t xml:space="preserve">for network-wide ad and tracker filtering: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 Broadcasts &amp; DHCP:</w:t>
      </w:r>
      <w:r>
        <w:t xml:space="preserve"> </w:t>
      </w:r>
      <w:r>
        <w:t xml:space="preserve">AWS VPC natively manages IP allocation and network settings via</w:t>
      </w:r>
      <w:r>
        <w:t xml:space="preserve"> </w:t>
      </w:r>
      <w:r>
        <w:rPr>
          <w:b/>
          <w:bCs/>
        </w:rPr>
        <w:t xml:space="preserve">VPC DHCP Option Sets</w:t>
      </w:r>
      <w:r>
        <w:t xml:space="preserve">. In-guest Windows DHCP server roles are not supported natively on AWS VPC.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Internal Resolution &amp; Active Directory:</w:t>
      </w:r>
      <w:r>
        <w:t xml:space="preserve"> </w:t>
      </w:r>
      <w:r>
        <w:t xml:space="preserve">Windows Server hosts the primary authoritative DNS zones (</w:t>
      </w:r>
      <w:r>
        <w:rPr>
          <w:rStyle w:val="VerbatimChar"/>
        </w:rPr>
        <w:t xml:space="preserve">cambodia.local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_msdcs</w:t>
      </w:r>
      <w:r>
        <w:t xml:space="preserve">). Clients query Windows Server directly to preserve domain logon, Dynamic DNS (RFC 2136), and Kerberos authentication.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Resolution &amp; Security Filtering (Architecture A - Recommended):</w:t>
      </w:r>
      <w:r>
        <w:t xml:space="preserve"> </w:t>
      </w:r>
      <w:r>
        <w:t xml:space="preserve">Windows DNS does not resolve public traffic directly; instead, it uses</w:t>
      </w:r>
      <w:r>
        <w:t xml:space="preserve"> </w:t>
      </w:r>
      <w:r>
        <w:rPr>
          <w:b/>
          <w:bCs/>
        </w:rPr>
        <w:t xml:space="preserve">DNS Forwarders</w:t>
      </w:r>
      <w:r>
        <w:t xml:space="preserve"> </w:t>
      </w:r>
      <w:r>
        <w:t xml:space="preserve">pointing to the</w:t>
      </w:r>
      <w:r>
        <w:t xml:space="preserve"> </w:t>
      </w:r>
      <w:r>
        <w:rPr>
          <w:b/>
          <w:bCs/>
        </w:rPr>
        <w:t xml:space="preserve">AdGuard Home container running in Docker</w:t>
      </w:r>
      <w:r>
        <w:t xml:space="preserve">. AdGuard Home strips malware, ads, and telemetry, then queries upstream public resolvers (e.g., Cloudflare</w:t>
      </w:r>
      <w:r>
        <w:t xml:space="preserve"> </w:t>
      </w:r>
      <w:r>
        <w:rPr>
          <w:rStyle w:val="VerbatimChar"/>
        </w:rPr>
        <w:t xml:space="preserve">1.1.1.1</w:t>
      </w:r>
      <w:r>
        <w:t xml:space="preserve"> </w:t>
      </w:r>
      <w:r>
        <w:t xml:space="preserve">or AWS Route 53 Resolver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64177653d6bcd484c537464d2e9976c15e09988"/>
      <w:r>
        <w:t xml:space="preserve">2. Architecture Diagram</w:t>
      </w:r>
      <w:bookmarkEnd w:id="11"/>
    </w:p>
    <w:p>
      <w:pPr>
        <w:pStyle w:val="SourceCode"/>
      </w:pPr>
      <w:r>
        <w:rPr>
          <w:rStyle w:val="KeywordTok"/>
        </w:rPr>
        <w:t xml:space="preserve">flowchart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TB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%% Styling Definitions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fill:</w:t>
      </w:r>
      <w:r>
        <w:rPr>
          <w:rStyle w:val="ImportTok"/>
        </w:rPr>
        <w:t xml:space="preserve">#FF9900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stroke:</w:t>
      </w:r>
      <w:r>
        <w:rPr>
          <w:rStyle w:val="ImportTok"/>
        </w:rPr>
        <w:t xml:space="preserve">#232F3E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stroke-width: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color:</w:t>
      </w:r>
      <w:r>
        <w:rPr>
          <w:rStyle w:val="ImportTok"/>
        </w:rPr>
        <w:t xml:space="preserve">#FFFFFF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font-weight:</w:t>
      </w:r>
      <w:r>
        <w:rPr>
          <w:rStyle w:val="NormalTok"/>
        </w:rPr>
        <w:t xml:space="preserve">bold;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vpc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fill:</w:t>
      </w:r>
      <w:r>
        <w:rPr>
          <w:rStyle w:val="ImportTok"/>
        </w:rPr>
        <w:t xml:space="preserve">#EBF3FB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stroke:</w:t>
      </w:r>
      <w:r>
        <w:rPr>
          <w:rStyle w:val="ImportTok"/>
        </w:rPr>
        <w:t xml:space="preserve">#147EBA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stroke-width: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stroke-dasharray: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color:</w:t>
      </w:r>
      <w:r>
        <w:rPr>
          <w:rStyle w:val="ErrorTok"/>
        </w:rPr>
        <w:t xml:space="preserve">#0B3C5D;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fill:</w:t>
      </w:r>
      <w:r>
        <w:rPr>
          <w:rStyle w:val="ImportTok"/>
        </w:rPr>
        <w:t xml:space="preserve">#FFFFFF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stroke:</w:t>
      </w:r>
      <w:r>
        <w:rPr>
          <w:rStyle w:val="ImportTok"/>
        </w:rPr>
        <w:t xml:space="preserve">#3B82F6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stroke-width: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color:</w:t>
      </w:r>
      <w:r>
        <w:rPr>
          <w:rStyle w:val="ErrorTok"/>
        </w:rPr>
        <w:t xml:space="preserve">#1E3A8A;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fill:</w:t>
      </w:r>
      <w:r>
        <w:rPr>
          <w:rStyle w:val="ImportTok"/>
        </w:rPr>
        <w:t xml:space="preserve">#1E293B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stroke:</w:t>
      </w:r>
      <w:r>
        <w:rPr>
          <w:rStyle w:val="ImportTok"/>
        </w:rPr>
        <w:t xml:space="preserve">#0EA5E9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stroke-width: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color:</w:t>
      </w:r>
      <w:r>
        <w:rPr>
          <w:rStyle w:val="ErrorTok"/>
        </w:rPr>
        <w:t xml:space="preserve">#F8FAFC;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fill:</w:t>
      </w:r>
      <w:r>
        <w:rPr>
          <w:rStyle w:val="ImportTok"/>
        </w:rPr>
        <w:t xml:space="preserve">#0284C7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stroke:</w:t>
      </w:r>
      <w:r>
        <w:rPr>
          <w:rStyle w:val="ImportTok"/>
        </w:rPr>
        <w:t xml:space="preserve">#0369A1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stroke-width: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color:</w:t>
      </w:r>
      <w:r>
        <w:rPr>
          <w:rStyle w:val="ErrorTok"/>
        </w:rPr>
        <w:t xml:space="preserve">#FFFFFF;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fill:</w:t>
      </w:r>
      <w:r>
        <w:rPr>
          <w:rStyle w:val="ImportTok"/>
        </w:rPr>
        <w:t xml:space="preserve">#334155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stroke:</w:t>
      </w:r>
      <w:r>
        <w:rPr>
          <w:rStyle w:val="ImportTok"/>
        </w:rPr>
        <w:t xml:space="preserve">#10B981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stroke-width: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color:</w:t>
      </w:r>
      <w:r>
        <w:rPr>
          <w:rStyle w:val="ErrorTok"/>
        </w:rPr>
        <w:t xml:space="preserve">#F8FAFC;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awsService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fill:</w:t>
      </w:r>
      <w:r>
        <w:rPr>
          <w:rStyle w:val="ImportTok"/>
        </w:rPr>
        <w:t xml:space="preserve">#F8FAFC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stroke:</w:t>
      </w:r>
      <w:r>
        <w:rPr>
          <w:rStyle w:val="ImportTok"/>
        </w:rPr>
        <w:t xml:space="preserve">#F59E0B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stroke-width: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color:</w:t>
      </w:r>
      <w:r>
        <w:rPr>
          <w:rStyle w:val="ErrorTok"/>
        </w:rPr>
        <w:t xml:space="preserve">#B45309;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subgraph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AWSCloud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"☁️ AWS Cloud (Region: ap-southeast-1)"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subgraph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VPC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"🌐 Amazon VPC (10.0.0.0/16)"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subgraph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DHCPOpt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"⚙️ VPC DHCP Option Set"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DHCPOptInfo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domain-name:</w:t>
      </w:r>
      <w:r>
        <w:rPr>
          <w:rStyle w:val="SpecialCharTok"/>
        </w:rPr>
        <w:t xml:space="preserve">&lt;/b&gt;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e6.local</w:t>
      </w:r>
      <w:r>
        <w:rPr>
          <w:rStyle w:val="SpecialCharTok"/>
        </w:rPr>
        <w:t xml:space="preserve">&lt;br/&gt;&lt;b&gt;</w:t>
      </w:r>
      <w:r>
        <w:rPr>
          <w:rStyle w:val="StringTok"/>
        </w:rPr>
        <w:t xml:space="preserve">domain-name-servers:</w:t>
      </w:r>
      <w:r>
        <w:rPr>
          <w:rStyle w:val="SpecialCharTok"/>
        </w:rPr>
        <w:t xml:space="preserve">&lt;/b&gt;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10.0.1.10"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subgraph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SubnetPriv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"🔒 Private Subnet (10.0.1.0/24)"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Client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💻 Windows Member Instance</w:t>
      </w:r>
      <w:r>
        <w:rPr>
          <w:rStyle w:val="SpecialCharTok"/>
        </w:rPr>
        <w:t xml:space="preserve">&lt;/b&gt;&lt;br/&gt;</w:t>
      </w:r>
      <w:r>
        <w:rPr>
          <w:rStyle w:val="StringTok"/>
        </w:rPr>
        <w:t xml:space="preserve">Role: Workstation / App Server</w:t>
      </w:r>
      <w:r>
        <w:rPr>
          <w:rStyle w:val="SpecialCharTok"/>
        </w:rPr>
        <w:t xml:space="preserve">&lt;br/&gt;</w:t>
      </w:r>
      <w:r>
        <w:rPr>
          <w:rStyle w:val="StringTok"/>
        </w:rPr>
        <w:t xml:space="preserve">Private IP: 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10.0.1.50</w:t>
      </w:r>
      <w:r>
        <w:rPr>
          <w:rStyle w:val="SpecialCharTok"/>
        </w:rPr>
        <w:t xml:space="preserve">&lt;/b&gt;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(AWS DHCP)</w:t>
      </w:r>
      <w:r>
        <w:rPr>
          <w:rStyle w:val="SpecialCharTok"/>
        </w:rPr>
        <w:t xml:space="preserve">&lt;br/&gt;</w:t>
      </w:r>
      <w:r>
        <w:rPr>
          <w:rStyle w:val="StringTok"/>
        </w:rPr>
        <w:t xml:space="preserve">Primary DNS: 10.0.1.10"</w:t>
      </w:r>
      <w:r>
        <w:rPr>
          <w:rStyle w:val="NormalTok"/>
        </w:rPr>
        <w:t xml:space="preserve">]</w:t>
      </w:r>
      <w:r>
        <w:rPr>
          <w:rStyle w:val="FunctionTok"/>
        </w:rPr>
        <w:t xml:space="preserve">:::client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DC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🖥️ Windows Domain Controller</w:t>
      </w:r>
      <w:r>
        <w:rPr>
          <w:rStyle w:val="SpecialCharTok"/>
        </w:rPr>
        <w:t xml:space="preserve">&lt;/b&gt;&lt;br/&gt;</w:t>
      </w:r>
      <w:r>
        <w:rPr>
          <w:rStyle w:val="StringTok"/>
        </w:rPr>
        <w:t xml:space="preserve">Roles: AD DS + DNS Server</w:t>
      </w:r>
      <w:r>
        <w:rPr>
          <w:rStyle w:val="SpecialCharTok"/>
        </w:rPr>
        <w:t xml:space="preserve">&lt;br/&gt;</w:t>
      </w:r>
      <w:r>
        <w:rPr>
          <w:rStyle w:val="StringTok"/>
        </w:rPr>
        <w:t xml:space="preserve">Private IP: 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10.0.1.10</w:t>
      </w:r>
      <w:r>
        <w:rPr>
          <w:rStyle w:val="SpecialCharTok"/>
        </w:rPr>
        <w:t xml:space="preserve">&lt;/b&gt;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(Static ENI)</w:t>
      </w:r>
      <w:r>
        <w:rPr>
          <w:rStyle w:val="SpecialCharTok"/>
        </w:rPr>
        <w:t xml:space="preserve">&lt;br/&gt;</w:t>
      </w:r>
      <w:r>
        <w:rPr>
          <w:rStyle w:val="StringTok"/>
        </w:rPr>
        <w:t xml:space="preserve">Authoritative: e6.local"</w:t>
      </w:r>
      <w:r>
        <w:rPr>
          <w:rStyle w:val="NormalTok"/>
        </w:rPr>
        <w:t xml:space="preserve">]</w:t>
      </w:r>
      <w:r>
        <w:rPr>
          <w:rStyle w:val="FunctionTok"/>
        </w:rPr>
        <w:t xml:space="preserve">:::server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DockerHost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🐳 Docker Host Instance</w:t>
      </w:r>
      <w:r>
        <w:rPr>
          <w:rStyle w:val="SpecialCharTok"/>
        </w:rPr>
        <w:t xml:space="preserve">&lt;/b&gt;&lt;br/&gt;</w:t>
      </w:r>
      <w:r>
        <w:rPr>
          <w:rStyle w:val="StringTok"/>
        </w:rPr>
        <w:t xml:space="preserve">Role: AdGuard Home Container</w:t>
      </w:r>
      <w:r>
        <w:rPr>
          <w:rStyle w:val="SpecialCharTok"/>
        </w:rPr>
        <w:t xml:space="preserve">&lt;br/&gt;</w:t>
      </w:r>
      <w:r>
        <w:rPr>
          <w:rStyle w:val="StringTok"/>
        </w:rPr>
        <w:t xml:space="preserve">Private IP: 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10.0.1.20</w:t>
      </w:r>
      <w:r>
        <w:rPr>
          <w:rStyle w:val="SpecialCharTok"/>
        </w:rPr>
        <w:t xml:space="preserve">&lt;/b&gt;&lt;br/&gt;</w:t>
      </w:r>
      <w:r>
        <w:rPr>
          <w:rStyle w:val="StringTok"/>
        </w:rPr>
        <w:t xml:space="preserve">Port 53 (DNS) &amp; 3000/80 (Web UI)"</w:t>
      </w:r>
      <w:r>
        <w:rPr>
          <w:rStyle w:val="NormalTok"/>
        </w:rPr>
        <w:t xml:space="preserve">]</w:t>
      </w:r>
      <w:r>
        <w:rPr>
          <w:rStyle w:val="FunctionTok"/>
        </w:rPr>
        <w:t xml:space="preserve">:::docker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Route53Res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&lt;b&gt;</w:t>
      </w:r>
      <w:r>
        <w:rPr>
          <w:rStyle w:val="StringTok"/>
        </w:rPr>
        <w:t xml:space="preserve">📡 Amazon Route 53 Resolver</w:t>
      </w:r>
      <w:r>
        <w:rPr>
          <w:rStyle w:val="SpecialCharTok"/>
        </w:rPr>
        <w:t xml:space="preserve">&lt;/b&gt;&lt;br/&gt;</w:t>
      </w:r>
      <w:r>
        <w:rPr>
          <w:rStyle w:val="StringTok"/>
        </w:rPr>
        <w:t xml:space="preserve">VPC DNS (10.0.0.2)</w:t>
      </w:r>
      <w:r>
        <w:rPr>
          <w:rStyle w:val="SpecialCharTok"/>
        </w:rPr>
        <w:t xml:space="preserve">&lt;br/&gt;</w:t>
      </w:r>
      <w:r>
        <w:rPr>
          <w:rStyle w:val="StringTok"/>
        </w:rPr>
        <w:t xml:space="preserve">Native AWS DHCP Service"</w:t>
      </w:r>
      <w:r>
        <w:rPr>
          <w:rStyle w:val="NormalTok"/>
        </w:rPr>
        <w:t xml:space="preserve">]</w:t>
      </w:r>
      <w:r>
        <w:rPr>
          <w:rStyle w:val="FunctionTok"/>
        </w:rPr>
        <w:t xml:space="preserve">:::awsService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Internet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"🌍 Public Internet &amp; Upstream DNS</w:t>
      </w:r>
      <w:r>
        <w:rPr>
          <w:rStyle w:val="SpecialCharTok"/>
        </w:rPr>
        <w:t xml:space="preserve">&lt;br/&gt;</w:t>
      </w:r>
      <w:r>
        <w:rPr>
          <w:rStyle w:val="StringTok"/>
        </w:rPr>
        <w:t xml:space="preserve">(Cloudflare 1.1.1.1 / Google 8.8.8.8)"</w:t>
      </w:r>
      <w:r>
        <w:rPr>
          <w:rStyle w:val="NormalTok"/>
        </w:rPr>
        <w:t xml:space="preserve">]</w:t>
      </w:r>
      <w:r>
        <w:rPr>
          <w:rStyle w:val="FunctionTok"/>
        </w:rPr>
        <w:t xml:space="preserve">:::aws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%% Flow connections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DHCPOpt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-.-&gt;</w:t>
      </w:r>
      <w:r>
        <w:rPr>
          <w:rStyle w:val="VerbatimStringTok"/>
        </w:rPr>
        <w:t xml:space="preserve">|Injected at boot via DHCP|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Client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</w:t>
      </w:r>
      <w:r>
        <w:rPr>
          <w:rStyle w:val="StringTok"/>
        </w:rPr>
        <w:t xml:space="preserve">"1. All DNS Queries (Port 53)"</w:t>
      </w:r>
      <w:r>
        <w:rPr>
          <w:rStyle w:val="VerbatimString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</w:t>
      </w:r>
      <w:r>
        <w:rPr>
          <w:rStyle w:val="StringTok"/>
        </w:rPr>
        <w:t xml:space="preserve">"2a. Internal zone (e6.local): Authoritative reply"</w:t>
      </w:r>
      <w:r>
        <w:rPr>
          <w:rStyle w:val="VerbatimString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</w:t>
      </w:r>
      <w:r>
        <w:rPr>
          <w:rStyle w:val="StringTok"/>
        </w:rPr>
        <w:t xml:space="preserve">"2b. External zone forwarder (google.com)"</w:t>
      </w:r>
      <w:r>
        <w:rPr>
          <w:rStyle w:val="VerbatimString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DockerHost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DockerHost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</w:t>
      </w:r>
      <w:r>
        <w:rPr>
          <w:rStyle w:val="StringTok"/>
        </w:rPr>
        <w:t xml:space="preserve">"3. Filters ads, trackers &amp; malware"</w:t>
      </w:r>
      <w:r>
        <w:rPr>
          <w:rStyle w:val="VerbatimString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DockerHost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DockerHost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</w:t>
      </w:r>
      <w:r>
        <w:rPr>
          <w:rStyle w:val="StringTok"/>
        </w:rPr>
        <w:t xml:space="preserve">"4. Clean upstream queries"</w:t>
      </w:r>
      <w:r>
        <w:rPr>
          <w:rStyle w:val="VerbatimString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Internet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Route53Res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-.-&gt;</w:t>
      </w:r>
      <w:r>
        <w:rPr>
          <w:rStyle w:val="VerbatimStringTok"/>
        </w:rPr>
        <w:t xml:space="preserve">|Assigns IP 10.0.1.50 without broadcast|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VPC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vpc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SubnetPriv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DHCPOpt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awsService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b7835dbc3029b524aee2b608aaef57d9f063e5e"/>
      <w:r>
        <w:t xml:space="preserve">3. Query Flow Breakdown (Architecture A)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/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 (10.0.1.50)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DC (10.0.1.10)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UDP/TCP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always queries Windows DC directly (configured by VPC DHCP Option Set).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DC (10.0.1.10)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 (10.0.1.50)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UDP/TCP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query matches</w:t>
            </w:r>
            <w:r>
              <w:t xml:space="preserve"> </w:t>
            </w:r>
            <w:r>
              <w:rPr>
                <w:rStyle w:val="VerbatimChar"/>
              </w:rPr>
              <w:t xml:space="preserve">e6.local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_msdcs</w:t>
            </w:r>
            <w:r>
              <w:t xml:space="preserve">, DC resolves it internally immediately.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DC (10.0.1.10)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AdGuard (10.0.1.20)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UDP/TCP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query is external (e.g.</w:t>
            </w:r>
            <w:r>
              <w:t xml:space="preserve"> </w:t>
            </w:r>
            <w:r>
              <w:rPr>
                <w:rStyle w:val="VerbatimChar"/>
              </w:rPr>
              <w:t xml:space="preserve">youtube.com</w:t>
            </w:r>
            <w:r>
              <w:t xml:space="preserve">), DC forwards it to AdGuard Home.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AdGuard (10.0.1.20)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Internal Filter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AdGuard checks query against blocklists. If blocked, returns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AdGuard (10.0.1.20)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Upstream (1.1.1.1 / 10.0.0.2)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53 / DoH / DoT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Allowed requests are forwarded upstream to public resolvers or Route 53.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AdGuard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DC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UDP/TCP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resolved IP address is returned back to the client machine.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85c2ac2ca4cc4cf0c84fbaa51db6f17ad64d1d6"/>
      <w:r>
        <w:t xml:space="preserve">4. Key Advantages of Architecture A</w:t>
      </w:r>
      <w:bookmarkEnd w:id="1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Domain Join Failures:</w:t>
      </w:r>
      <w:r>
        <w:t xml:space="preserve"> </w:t>
      </w:r>
      <w:r>
        <w:t xml:space="preserve">Active Directory relies extensively on hidden SRV records (</w:t>
      </w:r>
      <w:r>
        <w:rPr>
          <w:rStyle w:val="VerbatimChar"/>
        </w:rPr>
        <w:t xml:space="preserve">_ldap._tcp</w:t>
      </w:r>
      <w:r>
        <w:t xml:space="preserve">,</w:t>
      </w:r>
      <w:r>
        <w:t xml:space="preserve"> </w:t>
      </w:r>
      <w:r>
        <w:rPr>
          <w:rStyle w:val="VerbatimChar"/>
        </w:rPr>
        <w:t xml:space="preserve">_kerberos._udp</w:t>
      </w:r>
      <w:r>
        <w:t xml:space="preserve">). Windows DNS handles these directly without third-party interference.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Native Dynamic DNS (DDNS):</w:t>
      </w:r>
      <w:r>
        <w:t xml:space="preserve"> </w:t>
      </w:r>
      <w:r>
        <w:t xml:space="preserve">When new Windows instances boot, their computer names and IPs automatically register into Windows DNS Manager via RFC 2136.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 Reliability / Fault Tolerance:</w:t>
      </w:r>
      <w:r>
        <w:t xml:space="preserve"> </w:t>
      </w:r>
      <w:r>
        <w:t xml:space="preserve">If the AdGuard Docker container is stopped or restarted, local domain logins, file shares, and Kerberos continue operating without interruption.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Centralized Ad-Blocking:</w:t>
      </w:r>
      <w:r>
        <w:t xml:space="preserve"> </w:t>
      </w:r>
      <w:r>
        <w:t xml:space="preserve">Every device on the network automatically receives filtered external DNS without needing local browser extensions or agent software.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ef1443d7cb64da13d205b63b2d6b11a80146f91"/>
      <w:r>
        <w:t xml:space="preserve">5. Security &amp; Port Requirements (Security Groups)</w:t>
      </w:r>
      <w:bookmarkEnd w:id="14"/>
    </w:p>
    <w:p>
      <w:pPr>
        <w:pStyle w:val="Heading3"/>
      </w:pPr>
      <w:bookmarkStart w:id="15" w:name="_547737acb9989b800a1fdd9153466e3f97cd45b"/>
      <w:r>
        <w:t xml:space="preserve">5.1. Domain Controller (</w:t>
      </w:r>
      <w:r>
        <w:rPr>
          <w:rStyle w:val="VerbatimChar"/>
        </w:rPr>
        <w:t xml:space="preserve">domain-controller-sg</w:t>
      </w:r>
      <w:r>
        <w:t xml:space="preserve">)</w:t>
      </w:r>
      <w:bookmarkEnd w:id="15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Inbound from VPC (</w:t>
      </w:r>
      <w:r>
        <w:rPr>
          <w:rStyle w:val="VerbatimChar"/>
          <w:b/>
          <w:bCs/>
        </w:rPr>
        <w:t xml:space="preserve">10.0.0.0/16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t xml:space="preserve">DNS: Port</w:t>
      </w:r>
      <w:r>
        <w:t xml:space="preserve"> </w:t>
      </w:r>
      <w:r>
        <w:rPr>
          <w:rStyle w:val="VerbatimChar"/>
        </w:rPr>
        <w:t xml:space="preserve">53</w:t>
      </w:r>
      <w:r>
        <w:t xml:space="preserve"> </w:t>
      </w:r>
      <w:r>
        <w:t xml:space="preserve">(UDP/TCP)</w:t>
      </w:r>
    </w:p>
    <w:p>
      <w:pPr>
        <w:pStyle w:val="Compact"/>
        <w:numPr>
          <w:ilvl w:val="1"/>
          <w:numId w:val="1004"/>
        </w:numPr>
      </w:pPr>
      <w:r>
        <w:t xml:space="preserve">Kerberos: Port</w:t>
      </w:r>
      <w:r>
        <w:t xml:space="preserve"> </w:t>
      </w:r>
      <w:r>
        <w:rPr>
          <w:rStyle w:val="VerbatimChar"/>
        </w:rPr>
        <w:t xml:space="preserve">88</w:t>
      </w:r>
      <w:r>
        <w:t xml:space="preserve"> </w:t>
      </w:r>
      <w:r>
        <w:t xml:space="preserve">(UDP/TCP)</w:t>
      </w:r>
    </w:p>
    <w:p>
      <w:pPr>
        <w:pStyle w:val="Compact"/>
        <w:numPr>
          <w:ilvl w:val="1"/>
          <w:numId w:val="1004"/>
        </w:numPr>
      </w:pPr>
      <w:r>
        <w:t xml:space="preserve">LDAP / LDAPS: Port</w:t>
      </w:r>
      <w:r>
        <w:t xml:space="preserve"> </w:t>
      </w:r>
      <w:r>
        <w:rPr>
          <w:rStyle w:val="VerbatimChar"/>
        </w:rPr>
        <w:t xml:space="preserve">389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636</w:t>
      </w:r>
      <w:r>
        <w:t xml:space="preserve"> </w:t>
      </w:r>
      <w:r>
        <w:t xml:space="preserve">(TCP/UDP)</w:t>
      </w:r>
    </w:p>
    <w:p>
      <w:pPr>
        <w:pStyle w:val="Compact"/>
        <w:numPr>
          <w:ilvl w:val="1"/>
          <w:numId w:val="1004"/>
        </w:numPr>
      </w:pPr>
      <w:r>
        <w:t xml:space="preserve">SMB: Port</w:t>
      </w:r>
      <w:r>
        <w:t xml:space="preserve"> </w:t>
      </w:r>
      <w:r>
        <w:rPr>
          <w:rStyle w:val="VerbatimChar"/>
        </w:rPr>
        <w:t xml:space="preserve">445</w:t>
      </w:r>
      <w:r>
        <w:t xml:space="preserve"> </w:t>
      </w:r>
      <w:r>
        <w:t xml:space="preserve">(TCP)</w:t>
      </w:r>
    </w:p>
    <w:p>
      <w:pPr>
        <w:pStyle w:val="Compact"/>
        <w:numPr>
          <w:ilvl w:val="1"/>
          <w:numId w:val="1004"/>
        </w:numPr>
      </w:pPr>
      <w:r>
        <w:t xml:space="preserve">RPC Endpoint Mapper: Port</w:t>
      </w:r>
      <w:r>
        <w:t xml:space="preserve"> </w:t>
      </w:r>
      <w:r>
        <w:rPr>
          <w:rStyle w:val="VerbatimChar"/>
        </w:rPr>
        <w:t xml:space="preserve">135</w:t>
      </w:r>
      <w:r>
        <w:t xml:space="preserve"> </w:t>
      </w:r>
      <w:r>
        <w:t xml:space="preserve">(TCP)</w:t>
      </w:r>
    </w:p>
    <w:p>
      <w:pPr>
        <w:pStyle w:val="Compact"/>
        <w:numPr>
          <w:ilvl w:val="1"/>
          <w:numId w:val="1004"/>
        </w:numPr>
      </w:pPr>
      <w:r>
        <w:t xml:space="preserve">Dynamic RPC: Ports</w:t>
      </w:r>
      <w:r>
        <w:t xml:space="preserve"> </w:t>
      </w:r>
      <w:r>
        <w:rPr>
          <w:rStyle w:val="VerbatimChar"/>
        </w:rPr>
        <w:t xml:space="preserve">49152 - 65535</w:t>
      </w:r>
      <w:r>
        <w:t xml:space="preserve"> </w:t>
      </w:r>
      <w:r>
        <w:t xml:space="preserve">(TCP)</w:t>
      </w:r>
    </w:p>
    <w:p>
      <w:pPr>
        <w:pStyle w:val="Heading3"/>
      </w:pPr>
      <w:bookmarkStart w:id="16" w:name="_3701cfaac17c626edc1e94f96c9de94028eb42b"/>
      <w:r>
        <w:t xml:space="preserve">5.2. Docker Host with AdGuard (</w:t>
      </w:r>
      <w:r>
        <w:rPr>
          <w:rStyle w:val="VerbatimChar"/>
        </w:rPr>
        <w:t xml:space="preserve">adguard-docker-sg</w:t>
      </w:r>
      <w:r>
        <w:t xml:space="preserve">)</w:t>
      </w:r>
      <w:bookmarkEnd w:id="16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Inbound from Domain Controller (</w:t>
      </w:r>
      <w:r>
        <w:rPr>
          <w:rStyle w:val="VerbatimChar"/>
          <w:b/>
          <w:bCs/>
        </w:rPr>
        <w:t xml:space="preserve">10.0.1.10/32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6"/>
        </w:numPr>
      </w:pPr>
      <w:r>
        <w:t xml:space="preserve">DNS: Port</w:t>
      </w:r>
      <w:r>
        <w:t xml:space="preserve"> </w:t>
      </w:r>
      <w:r>
        <w:rPr>
          <w:rStyle w:val="VerbatimChar"/>
        </w:rPr>
        <w:t xml:space="preserve">53</w:t>
      </w:r>
      <w:r>
        <w:t xml:space="preserve"> </w:t>
      </w:r>
      <w:r>
        <w:t xml:space="preserve">(UDP/TCP)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Inbound from Admin IP / Bastion:</w:t>
      </w:r>
    </w:p>
    <w:p>
      <w:pPr>
        <w:pStyle w:val="Compact"/>
        <w:numPr>
          <w:ilvl w:val="1"/>
          <w:numId w:val="1007"/>
        </w:numPr>
      </w:pPr>
      <w:r>
        <w:t xml:space="preserve">Web Management UI: Port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(TCP)</w:t>
      </w:r>
    </w:p>
    <w:p>
      <w:pPr>
        <w:pStyle w:val="Compact"/>
        <w:numPr>
          <w:ilvl w:val="1"/>
          <w:numId w:val="1007"/>
        </w:numPr>
      </w:pPr>
      <w:r>
        <w:t xml:space="preserve">SSH / Admin Access: Port</w:t>
      </w:r>
      <w:r>
        <w:t xml:space="preserve"> </w:t>
      </w:r>
      <w:r>
        <w:rPr>
          <w:rStyle w:val="VerbatimChar"/>
        </w:rPr>
        <w:t xml:space="preserve">22</w:t>
      </w:r>
      <w:r>
        <w:t xml:space="preserve"> </w:t>
      </w:r>
      <w:r>
        <w:t xml:space="preserve">(TCP)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Outbound to Internet (</w:t>
      </w:r>
      <w:r>
        <w:rPr>
          <w:rStyle w:val="VerbatimChar"/>
          <w:b/>
          <w:bCs/>
        </w:rPr>
        <w:t xml:space="preserve">0.0.0.0/0</w:t>
      </w:r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8"/>
        </w:numPr>
      </w:pPr>
      <w:r>
        <w:t xml:space="preserve">DNS / DoT / DoH: Ports</w:t>
      </w:r>
      <w:r>
        <w:t xml:space="preserve"> </w:t>
      </w:r>
      <w:r>
        <w:rPr>
          <w:rStyle w:val="VerbatimChar"/>
        </w:rPr>
        <w:t xml:space="preserve">53</w:t>
      </w:r>
      <w:r>
        <w:t xml:space="preserve">,</w:t>
      </w:r>
      <w:r>
        <w:t xml:space="preserve"> </w:t>
      </w:r>
      <w:r>
        <w:rPr>
          <w:rStyle w:val="VerbatimChar"/>
        </w:rPr>
        <w:t xml:space="preserve">853</w:t>
      </w:r>
      <w:r>
        <w:t xml:space="preserve">,</w:t>
      </w:r>
      <w:r>
        <w:t xml:space="preserve"> </w:t>
      </w:r>
      <w:r>
        <w:rPr>
          <w:rStyle w:val="VerbatimChar"/>
        </w:rPr>
        <w:t xml:space="preserve">443</w:t>
      </w:r>
      <w:r>
        <w:t xml:space="preserve"> </w:t>
      </w:r>
      <w:r>
        <w:t xml:space="preserve">(UDP/TCP)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2026-10-13T13:09:28Z</dcterms:created>
  <dcterms:modified xsi:type="dcterms:W3CDTF">2026-10-13T13:09:28Z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