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Borders>
              <w:top w:val="single" w:sz="16" w:space="0" w:color="111827"/>
              <w:bottom w:val="single" w:sz="6" w:space="0" w:color="E5E7EB"/>
              <w:left w:val="none"/>
              <w:right w:val="none"/>
            </w:tcBorders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before="0" w:after="80"/>
            </w:pPr>
            <w:r>
              <w:rPr>
                <w:rFonts w:ascii="Roboto" w:hAnsi="Roboto"/>
                <w:b/>
                <w:i w:val="0"/>
                <w:color w:val="6B7280"/>
                <w:sz w:val="20"/>
                <w:rFonts w:ascii="Roboto" w:hAnsi="Roboto" w:cs="Roboto"/>
              </w:rPr>
              <w:t>TECHNICAL SPECIFICATION &amp; IMPLEMENTATION GUIDE</w:t>
            </w:r>
          </w:p>
          <w:p>
            <w:pPr>
              <w:spacing w:before="40" w:after="80"/>
            </w:pPr>
            <w:r>
              <w:rPr>
                <w:rFonts w:ascii="Roboto" w:hAnsi="Roboto"/>
                <w:b/>
                <w:i w:val="0"/>
                <w:color w:val="111827"/>
                <w:sz w:val="40"/>
                <w:rFonts w:ascii="Roboto" w:hAnsi="Roboto" w:cs="Roboto"/>
              </w:rPr>
              <w:t>AWS Windows Active Directory, DNS &amp; AdGuard Home (Docker) Architecture Guide</w:t>
            </w:r>
          </w:p>
          <w:p>
            <w:pPr>
              <w:spacing w:before="0" w:after="200"/>
            </w:pPr>
            <w:r>
              <w:rPr>
                <w:rFonts w:ascii="Roboto" w:hAnsi="Roboto"/>
                <w:b w:val="0"/>
                <w:i w:val="0"/>
                <w:color w:val="4B5563"/>
                <w:sz w:val="22"/>
                <w:rFonts w:ascii="Roboto" w:hAnsi="Roboto" w:cs="Roboto"/>
              </w:rPr>
              <w:t>System Administration &amp; Network Architecture Specification</w:t>
            </w:r>
          </w:p>
          <w:p>
            <w:pPr>
              <w:spacing w:before="80" w:after="0"/>
            </w:pPr>
            <w:r>
              <w:rPr>
                <w:rFonts w:ascii="Roboto" w:hAnsi="Roboto"/>
                <w:b/>
                <w:i w:val="0"/>
                <w:color w:val="6B7280"/>
                <w:sz w:val="20"/>
                <w:rFonts w:ascii="Roboto" w:hAnsi="Roboto" w:cs="Roboto"/>
              </w:rPr>
              <w:t xml:space="preserve">AUTHORITY: </w:t>
            </w:r>
            <w:r>
              <w:rPr>
                <w:rFonts w:ascii="Roboto" w:hAnsi="Roboto"/>
                <w:b w:val="0"/>
                <w:i w:val="0"/>
                <w:color w:val="4B5563"/>
                <w:sz w:val="20"/>
                <w:rFonts w:ascii="Roboto" w:hAnsi="Roboto" w:cs="Roboto"/>
              </w:rPr>
              <w:t xml:space="preserve">RUPP Dept. of Computer Science   |   </w:t>
            </w:r>
            <w:r>
              <w:rPr>
                <w:rFonts w:ascii="Roboto" w:hAnsi="Roboto"/>
                <w:b/>
                <w:i w:val="0"/>
                <w:color w:val="6B7280"/>
                <w:sz w:val="20"/>
                <w:rFonts w:ascii="Roboto" w:hAnsi="Roboto" w:cs="Roboto"/>
              </w:rPr>
              <w:t xml:space="preserve">STATUS: </w:t>
            </w:r>
            <w:r>
              <w:rPr>
                <w:rFonts w:ascii="Roboto" w:hAnsi="Roboto"/>
                <w:b w:val="0"/>
                <w:i w:val="0"/>
                <w:color w:val="4B5563"/>
                <w:sz w:val="20"/>
                <w:rFonts w:ascii="Roboto" w:hAnsi="Roboto" w:cs="Roboto"/>
              </w:rPr>
              <w:t xml:space="preserve">Verified Production Specification   |   </w:t>
            </w:r>
            <w:r>
              <w:rPr>
                <w:rFonts w:ascii="Roboto" w:hAnsi="Roboto"/>
                <w:b/>
                <w:i w:val="0"/>
                <w:color w:val="6B7280"/>
                <w:sz w:val="20"/>
                <w:rFonts w:ascii="Roboto" w:hAnsi="Roboto" w:cs="Roboto"/>
              </w:rPr>
              <w:t xml:space="preserve">FONT: </w:t>
            </w:r>
            <w:r>
              <w:rPr>
                <w:rFonts w:ascii="Roboto" w:hAnsi="Roboto"/>
                <w:b w:val="0"/>
                <w:i w:val="0"/>
                <w:color w:val="4B5563"/>
                <w:sz w:val="20"/>
                <w:rFonts w:ascii="Roboto" w:hAnsi="Roboto" w:cs="Roboto"/>
              </w:rPr>
              <w:t>Roboto Standard (Monochrome)</w:t>
            </w:r>
          </w:p>
        </w:tc>
      </w:tr>
    </w:tbl>
    <w:p>
      <w:pPr>
        <w:spacing w:before="160" w:after="240"/>
      </w:pPr>
    </w:p>
    <w:p>
      <w:pPr>
        <w:keepNext/>
        <w:spacing w:before="360" w:after="120"/>
        <w:pBdr>
          <w:bottom w:val="single" w:sz="6" w:space="4" w:color="E5E7EB"/>
        </w:pBdr>
      </w:pPr>
      <w:r>
        <w:rPr>
          <w:rFonts w:ascii="Roboto" w:hAnsi="Roboto"/>
          <w:b/>
          <w:i w:val="0"/>
          <w:color w:val="1F2937"/>
          <w:sz w:val="28"/>
          <w:rFonts w:ascii="Roboto" w:hAnsi="Roboto" w:cs="Roboto"/>
        </w:rPr>
        <w:t>1. Executive Summary &amp; Design Principle</w:t>
      </w:r>
    </w:p>
    <w:p>
      <w:pPr>
        <w:spacing w:before="70" w:after="7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When architecting a modern, enterprise-grade hybrid environment on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Amazon Web Services (AWS)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that integrates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Windows Active Directory Domain Services (AD DS)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,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Windows DNS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, and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AdGuard Home (Docker)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for network-wide ad and tracker filtering: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Layer 2 Broadcasts &amp; DHCP: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AWS VPC natively manages IP allocation and network settings via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VPC DHCP Option Sets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 In-guest Windows DHCP server roles are not supported natively on AWS VPC.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Internal Resolution &amp; Active Directory: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Windows Server hosts the primary authoritative DNS zones (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cambodia.local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,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_msdcs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). Clients query Windows Server directly to preserve domain logon, Dynamic DNS (RFC 2136), and Kerberos authentication.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External Resolution &amp; Security Filtering (Architecture A - Recommended):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Windows DNS does not resolve public traffic directly; instead, it uses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DNS Forwarders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pointing to the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AdGuard Home container running in Docker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. AdGuard Home strips malware, ads, and telemetry, then queries upstream public resolvers (e.g., Cloudflare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1.1.1.1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or AWS Route 53 Resolver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10.0.0.2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).</w:t>
      </w: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360" w:after="120"/>
        <w:pBdr>
          <w:bottom w:val="single" w:sz="6" w:space="4" w:color="E5E7EB"/>
        </w:pBdr>
      </w:pPr>
      <w:r>
        <w:rPr>
          <w:rFonts w:ascii="Roboto" w:hAnsi="Roboto"/>
          <w:b/>
          <w:i w:val="0"/>
          <w:color w:val="1F2937"/>
          <w:sz w:val="28"/>
          <w:rFonts w:ascii="Roboto" w:hAnsi="Roboto" w:cs="Roboto"/>
        </w:rPr>
        <w:t>2. Architecture Diagram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none"/>
              <w:bottom w:val="none"/>
              <w:left w:val="single" w:sz="20" w:space="0" w:color="4B5563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59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  <w:rFonts w:ascii="Consolas" w:hAnsi="Consolas" w:cs="Consolas"/>
              </w:rPr>
              <w:t>flowchart LR</w:t>
              <w:br/>
              <w:t xml:space="preserve">    %% Styling Definitions</w:t>
              <w:br/>
              <w:t xml:space="preserve">    classDef aws fill:#FF9900,stroke:#232F3E,stroke-width:2px,color:#FFFFFF,font-weight:bold;</w:t>
              <w:br/>
              <w:t xml:space="preserve">    classDef vpc fill:#F0F7FD,stroke:#0284C7,stroke-width:2px,stroke-dasharray: 4 4,color:#0B3C5D;</w:t>
              <w:br/>
              <w:t xml:space="preserve">    classDef subnet fill:#FFFFFF,stroke:#3B82F6,stroke-width:1.5px,color:#1E3A8A;</w:t>
              <w:br/>
              <w:t xml:space="preserve">    classDef server fill:#1E293B,stroke:#0EA5E9,stroke-width:2px,color:#F8FAFC;</w:t>
              <w:br/>
              <w:t xml:space="preserve">    classDef docker fill:#0284C7,stroke:#0369A1,stroke-width:2px,color:#FFFFFF;</w:t>
              <w:br/>
              <w:t xml:space="preserve">    classDef client fill:#334155,stroke:#10B981,stroke-width:2px,color:#F8FAFC;</w:t>
              <w:br/>
              <w:t xml:space="preserve">    classDef awsService fill:#FFFBEB,stroke:#F59E0B,stroke-width:1.5px,color:#78350F;</w:t>
              <w:br/>
              <w:br/>
              <w:t xml:space="preserve">    subgraph AWSCloud ["☁️ AWS Cloud (Region: ap-southeast-1)"]</w:t>
              <w:br/>
              <w:br/>
              <w:t xml:space="preserve">        subgraph VPC ["🌐 Amazon VPC (10.0.0.0/16)"]</w:t>
              <w:br/>
              <w:br/>
              <w:t xml:space="preserve">            subgraph Provisioning ["⚙️ AWS VPC Infrastructure"]</w:t>
              <w:br/>
              <w:t xml:space="preserve">                direction TB</w:t>
              <w:br/>
              <w:t xml:space="preserve">                DHCPOpt["&lt;b&gt;VPC DHCP Option Set&lt;/b&gt;&lt;br/&gt;domain-name: e6.local&lt;br/&gt;DNS: 10.0.1.10"]:::awsService</w:t>
              <w:br/>
              <w:t xml:space="preserve">                Route53Res["&lt;b&gt;Route 53 Resolver&lt;/b&gt;&lt;br/&gt;VPC DNS: 10.0.0.2&lt;br/&gt;Native IP Allocator"]:::awsService</w:t>
              <w:br/>
              <w:t xml:space="preserve">            end</w:t>
              <w:br/>
              <w:br/>
              <w:t xml:space="preserve">            subgraph SubnetPriv ["🔒 Private Subnet (10.0.1.0/24)"]</w:t>
              <w:br/>
              <w:t xml:space="preserve">                direction LR</w:t>
              <w:br/>
              <w:t xml:space="preserve">                Client["&lt;b&gt;💻 Windows Member Instance&lt;/b&gt;&lt;br/&gt;Role: Workstation / App Server&lt;br/&gt;Private IP: &lt;b&gt;10.0.1.50&lt;/b&gt; (AWS DHCP)&lt;br/&gt;Primary DNS: 10.0.1.10"]:::client</w:t>
              <w:br/>
              <w:t xml:space="preserve">                DC["&lt;b&gt;🖥️ Windows Domain Controller&lt;/b&gt;&lt;br/&gt;Roles: AD DS + DNS Server&lt;br/&gt;Private IP: &lt;b&gt;10.0.1.10&lt;/b&gt; (Static ENI)&lt;br/&gt;Authoritative: e6.local"]:::server</w:t>
              <w:br/>
              <w:t xml:space="preserve">                DockerHost["&lt;b&gt;🐳 Docker Host Instance&lt;/b&gt;&lt;br/&gt;Role: AdGuard Home Filter&lt;br/&gt;Private IP: &lt;b&gt;10.0.1.20&lt;/b&gt;&lt;br/&gt;Port 53 (DNS) &amp; 3000 (Web UI)"]:::docker</w:t>
              <w:br/>
              <w:t xml:space="preserve">            end</w:t>
              <w:br/>
              <w:br/>
              <w:t xml:space="preserve">        end</w:t>
              <w:br/>
              <w:br/>
              <w:t xml:space="preserve">        Internet["🌍 Public Internet &amp; Upstream&lt;br/&gt;(Cloudflare 1.1.1.1 / Google 8.8.8.8)"]:::aws</w:t>
              <w:br/>
              <w:t xml:space="preserve">    end</w:t>
              <w:br/>
              <w:br/>
              <w:t xml:space="preserve">    %% Flow connections</w:t>
              <w:br/>
              <w:t xml:space="preserve">    DHCPOpt -.-&gt;|Injected at boot via DHCP| Client</w:t>
              <w:br/>
              <w:t xml:space="preserve">    Route53Res -.-&gt;|Assigns IP 10.0.1.50| Client</w:t>
              <w:br/>
              <w:t xml:space="preserve">    Client --&gt;|"1. All DNS Queries (Port 53)"| DC</w:t>
              <w:br/>
              <w:t xml:space="preserve">    DC -.-&gt;|"2a. Internal zone (e6.local): Auth reply"| Client</w:t>
              <w:br/>
              <w:t xml:space="preserve">    DC --&gt;|"2b. External zone forwarder"| DockerHost</w:t>
              <w:br/>
              <w:t xml:space="preserve">    DockerHost --&gt;|"3. Filters ads, trackers &amp; malware"| DockerHost</w:t>
              <w:br/>
              <w:t xml:space="preserve">    DockerHost --&gt;|"4. Clean upstream queries"| Internet</w:t>
              <w:br/>
              <w:br/>
              <w:t xml:space="preserve">    class VPC vpc;</w:t>
              <w:br/>
              <w:t xml:space="preserve">    class SubnetPriv subnet;</w:t>
              <w:br/>
              <w:t xml:space="preserve">    class Provisioning awsService;</w:t>
            </w:r>
          </w:p>
        </w:tc>
      </w:tr>
    </w:tbl>
    <w:p>
      <w:pPr>
        <w:spacing w:before="40" w:after="160"/>
      </w:pP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360" w:after="120"/>
        <w:pBdr>
          <w:bottom w:val="single" w:sz="6" w:space="4" w:color="E5E7EB"/>
        </w:pBdr>
      </w:pPr>
      <w:r>
        <w:rPr>
          <w:rFonts w:ascii="Roboto" w:hAnsi="Roboto"/>
          <w:b/>
          <w:i w:val="0"/>
          <w:color w:val="1F2937"/>
          <w:sz w:val="28"/>
          <w:rFonts w:ascii="Roboto" w:hAnsi="Roboto" w:cs="Roboto"/>
        </w:rPr>
        <w:t>3. Query Flow Breakdown (Architecture 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tblHeader/>
          <w:cantSplit/>
        </w:trPr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1F2937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FFFFFF"/>
                <w:sz w:val="20"/>
                <w:rFonts w:ascii="Roboto" w:hAnsi="Roboto" w:cs="Roboto"/>
              </w:rPr>
              <w:t>Step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1F2937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FFFFFF"/>
                <w:sz w:val="20"/>
                <w:rFonts w:ascii="Roboto" w:hAnsi="Roboto" w:cs="Roboto"/>
              </w:rPr>
              <w:t>Initiator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1F2937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FFFFFF"/>
                <w:sz w:val="20"/>
                <w:rFonts w:ascii="Roboto" w:hAnsi="Roboto" w:cs="Roboto"/>
              </w:rPr>
              <w:t>Target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1F2937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FFFFFF"/>
                <w:sz w:val="20"/>
                <w:rFonts w:ascii="Roboto" w:hAnsi="Roboto" w:cs="Roboto"/>
              </w:rPr>
              <w:t>Protocol / Port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1F2937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FFFFFF"/>
                <w:sz w:val="20"/>
                <w:rFonts w:ascii="Roboto" w:hAnsi="Roboto" w:cs="Roboto"/>
              </w:rPr>
              <w:t>Description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1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Client (10.0.1.50)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DC (10.0.1.10)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UDP/TCP 53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Client always queries Windows DC directly (configured by VPC DHCP Option Set).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2A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DC (10.0.1.10)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Client (10.0.1.50)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UDP/TCP 53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 xml:space="preserve">If query matches </w:t>
            </w:r>
            <w:r>
              <w:rPr>
                <w:rFonts w:ascii="Consolas" w:hAnsi="Consolas"/>
                <w:b w:val="0"/>
                <w:i w:val="0"/>
                <w:color w:val="111827"/>
                <w:sz w:val="18"/>
                <w:rFonts w:ascii="Consolas" w:hAnsi="Consolas" w:cs="Consolas"/>
                <w:shd w:fill="E5E7EB"/>
              </w:rPr>
              <w:t>e6.local</w:t>
            </w: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color w:val="111827"/>
                <w:sz w:val="18"/>
                <w:rFonts w:ascii="Consolas" w:hAnsi="Consolas" w:cs="Consolas"/>
                <w:shd w:fill="E5E7EB"/>
              </w:rPr>
              <w:t>_msdcs</w:t>
            </w: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, DC resolves it internally immediately.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2B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DC (10.0.1.10)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AdGuard (10.0.1.20)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UDP/TCP 53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 xml:space="preserve">If query is external (e.g. </w:t>
            </w:r>
            <w:r>
              <w:rPr>
                <w:rFonts w:ascii="Consolas" w:hAnsi="Consolas"/>
                <w:b w:val="0"/>
                <w:i w:val="0"/>
                <w:color w:val="111827"/>
                <w:sz w:val="18"/>
                <w:rFonts w:ascii="Consolas" w:hAnsi="Consolas" w:cs="Consolas"/>
                <w:shd w:fill="E5E7EB"/>
              </w:rPr>
              <w:t>youtube.com</w:t>
            </w: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), DC forwards it to AdGuard Home.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3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AdGuard (10.0.1.20)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Internal Filter Engine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Internal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 xml:space="preserve">AdGuard checks query against blocklists. If blocked, returns </w:t>
            </w:r>
            <w:r>
              <w:rPr>
                <w:rFonts w:ascii="Consolas" w:hAnsi="Consolas"/>
                <w:b w:val="0"/>
                <w:i w:val="0"/>
                <w:color w:val="111827"/>
                <w:sz w:val="18"/>
                <w:rFonts w:ascii="Consolas" w:hAnsi="Consolas" w:cs="Consolas"/>
                <w:shd w:fill="E5E7EB"/>
              </w:rPr>
              <w:t>0.0.0.0</w:t>
            </w: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.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4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AdGuard (10.0.1.20)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Upstream (1.1.1.1 / 10.0.0.2)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UDP 53 / DoH / DoT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Allowed requests are forwarded upstream to public resolvers or Route 53.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5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AdGuard</w:t>
            </w: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 xml:space="preserve"> $\rightarrow$ </w:t>
            </w: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DC</w:t>
            </w: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 xml:space="preserve"> $\rightarrow$ </w:t>
            </w: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Client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—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UDP/TCP 53</w:t>
            </w:r>
          </w:p>
        </w:tc>
        <w:tc>
          <w:tcPr>
            <w:tcW w:type="dxa" w:w="195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Clean resolved IP address is returned back to the client machine.</w:t>
            </w:r>
          </w:p>
        </w:tc>
      </w:tr>
    </w:tbl>
    <w:p>
      <w:pPr>
        <w:spacing w:before="80" w:after="160"/>
      </w:pP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360" w:after="120"/>
        <w:pBdr>
          <w:bottom w:val="single" w:sz="6" w:space="4" w:color="E5E7EB"/>
        </w:pBdr>
      </w:pPr>
      <w:r>
        <w:rPr>
          <w:rFonts w:ascii="Roboto" w:hAnsi="Roboto"/>
          <w:b/>
          <w:i w:val="0"/>
          <w:color w:val="1F2937"/>
          <w:sz w:val="28"/>
          <w:rFonts w:ascii="Roboto" w:hAnsi="Roboto" w:cs="Roboto"/>
        </w:rPr>
        <w:t>4. Key Advantages of Architecture A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Zero Domain Join Failures: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Active Directory relies extensively on hidden SRV records (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_ldap._tcp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,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_kerberos._udp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). Windows DNS handles these directly without third-party interference.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Native Dynamic DNS (DDNS):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When new Windows instances boot, their computer names and IPs automatically register into Windows DNS Manager via RFC 2136.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High Reliability / Fault Tolerance: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If the AdGuard Docker container is stopped or restarted, local domain logins, file shares, and Kerberos continue operating without interruption.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Centralized Ad-Blocking: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Every device on the network automatically receives filtered external DNS without needing local browser extensions or agent software.</w:t>
      </w: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360" w:after="120"/>
        <w:pBdr>
          <w:bottom w:val="single" w:sz="6" w:space="4" w:color="E5E7EB"/>
        </w:pBdr>
      </w:pPr>
      <w:r>
        <w:rPr>
          <w:rFonts w:ascii="Roboto" w:hAnsi="Roboto"/>
          <w:b/>
          <w:i w:val="0"/>
          <w:color w:val="1F2937"/>
          <w:sz w:val="28"/>
          <w:rFonts w:ascii="Roboto" w:hAnsi="Roboto" w:cs="Roboto"/>
        </w:rPr>
        <w:t>5. Security &amp; Port Requirements (Security Groups)</w:t>
      </w: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5.1. Domain Controller (`domain-controller-sg`)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Inbound from VPC (`10.0.0.0/16`):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DNS: Port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53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(UDP/TCP)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Kerberos: Port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88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(UDP/TCP)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LDAP / LDAPS: Port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389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/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636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(TCP/UDP)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SMB: Port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445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(TCP)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RPC Endpoint Mapper: Port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135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(TCP)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Dynamic RPC: Ports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49152 - 65535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(TCP)</w:t>
      </w: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5.2. Docker Host with AdGuard (`adguard-docker-sg`)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Inbound from Domain Controller (`10.0.1.10/32`):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DNS: Port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53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(UDP/TCP)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Inbound from Admin IP / Bastion: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Web Management UI: Port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80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/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3000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(TCP)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SSH / Admin Access: Port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22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(TCP)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Outbound to Internet (`0.0.0.0/0`):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DNS / DoT / DoH: Ports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53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,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853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,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443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(UDP/TCP)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  <w:pBdr>
        <w:top w:val="single" w:sz="4" w:space="4" w:color="E5E7EB"/>
      </w:pBdr>
    </w:pPr>
    <w:r>
      <w:rPr>
        <w:rFonts w:ascii="Roboto" w:hAnsi="Roboto"/>
        <w:b w:val="0"/>
        <w:i w:val="0"/>
        <w:color w:val="6B7280"/>
        <w:sz w:val="20"/>
        <w:rFonts w:ascii="Roboto" w:hAnsi="Roboto" w:cs="Roboto"/>
      </w:rPr>
      <w:t>RUPP Year 4 — Windows Server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E5E7EB"/>
      </w:pBdr>
    </w:pPr>
    <w:r>
      <w:rPr>
        <w:rFonts w:ascii="Roboto" w:hAnsi="Roboto"/>
        <w:b w:val="0"/>
        <w:i w:val="0"/>
        <w:color w:val="6B7280"/>
        <w:sz w:val="20"/>
        <w:rFonts w:ascii="Roboto" w:hAnsi="Roboto" w:cs="Roboto"/>
      </w:rPr>
      <w:t>Aws Dns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Roboto" w:hAnsi="Roboto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