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480" w:after="0"/>
        <w:rPr/>
      </w:pPr>
      <w:r>
        <w:rPr>
          <w:rStyle w:val="Strong"/>
          <w:b/>
          <w:bCs/>
        </w:rPr>
        <w:t>Tiberius Sinclair – Catastrophic Knowledge Exposure</w:t>
      </w:r>
    </w:p>
    <w:p>
      <w:pPr>
        <w:pStyle w:val="Heading2"/>
        <w:rPr/>
      </w:pPr>
      <w:r>
        <w:rPr>
          <w:rStyle w:val="Strong"/>
          <w:b/>
          <w:bCs/>
        </w:rPr>
        <w:t>Background</w:t>
      </w:r>
    </w:p>
    <w:p>
      <w:pPr>
        <w:pStyle w:val="BodyText"/>
        <w:spacing w:before="0" w:after="200"/>
        <w:rPr/>
      </w:pPr>
      <w:r>
        <w:rPr/>
        <w:t xml:space="preserve">During an investigation for the Followers of the Right Hand (FRH), Tiberius Sinclair uncovered a partial folio of </w:t>
      </w:r>
      <w:r>
        <w:rPr>
          <w:rStyle w:val="Emphasis"/>
        </w:rPr>
        <w:t>De Vermis Mysteriis</w:t>
      </w:r>
      <w:r>
        <w:rPr/>
        <w:t>. This was part of the FRH's occult research into irregularities in maritime cargo and occult financial transactions.</w:t>
      </w:r>
    </w:p>
    <w:p>
      <w:pPr>
        <w:pStyle w:val="BodyText"/>
        <w:spacing w:before="0" w:after="200"/>
        <w:rPr/>
      </w:pPr>
      <w:r>
        <w:rPr/>
        <w:t>Despite the FRH protocol, which mandates psychic containment, buffering, and supervised readings of such dangerous materials, Tiberius chose to read the text privately and unprepared.</w:t>
      </w:r>
    </w:p>
    <w:p>
      <w:pPr>
        <w:pStyle w:val="BodyText"/>
        <w:spacing w:before="0" w:after="200"/>
        <w:rPr/>
      </w:pPr>
      <w:r>
        <w:rPr/>
        <w:t>What followed was not a summoning, a gate-opening, or a manifested entity — but a waking intrusion: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29"/>
        <w:ind w:hanging="283" w:start="709"/>
        <w:rPr/>
      </w:pPr>
      <w:r>
        <w:rPr>
          <w:rStyle w:val="Strong"/>
          <w:b w:val="false"/>
          <w:bCs w:val="false"/>
        </w:rPr>
        <w:t>Yellow curtains.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29"/>
        <w:ind w:hanging="283" w:start="709"/>
        <w:rPr/>
      </w:pPr>
      <w:r>
        <w:rPr>
          <w:rStyle w:val="Strong"/>
          <w:b w:val="false"/>
          <w:bCs w:val="false"/>
        </w:rPr>
        <w:t>Electric light hum.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29"/>
        <w:ind w:hanging="283" w:start="709"/>
        <w:rPr/>
      </w:pPr>
      <w:r>
        <w:rPr>
          <w:rStyle w:val="Strong"/>
          <w:b w:val="false"/>
          <w:bCs w:val="false"/>
        </w:rPr>
        <w:t>S</w:t>
      </w:r>
      <w:r>
        <w:rPr>
          <w:rStyle w:val="Strong"/>
          <w:b w:val="false"/>
          <w:bCs w:val="false"/>
        </w:rPr>
        <w:t>mell of ink.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29"/>
        <w:ind w:hanging="283" w:start="709"/>
        <w:rPr/>
      </w:pPr>
      <w:r>
        <w:rPr>
          <w:rStyle w:val="Strong"/>
          <w:b w:val="false"/>
          <w:bCs w:val="false"/>
        </w:rPr>
        <w:t>A bookmark resting in the page.</w:t>
      </w:r>
    </w:p>
    <w:p>
      <w:pPr>
        <w:pStyle w:val="BodyText"/>
        <w:numPr>
          <w:ilvl w:val="0"/>
          <w:numId w:val="0"/>
        </w:numPr>
        <w:tabs>
          <w:tab w:val="clear" w:pos="720"/>
          <w:tab w:val="left" w:pos="0" w:leader="none"/>
        </w:tabs>
        <w:spacing w:before="0" w:after="29"/>
        <w:ind w:hanging="0" w:start="426"/>
        <w:rPr>
          <w:rStyle w:val="Strong"/>
          <w:b w:val="false"/>
          <w:bCs w:val="false"/>
        </w:rPr>
      </w:pPr>
      <w:r>
        <w:rPr/>
      </w:r>
    </w:p>
    <w:p>
      <w:pPr>
        <w:pStyle w:val="BodyText"/>
        <w:tabs>
          <w:tab w:val="clear" w:pos="720"/>
          <w:tab w:val="left" w:pos="0" w:leader="none"/>
        </w:tabs>
        <w:spacing w:before="0" w:after="29"/>
        <w:ind w:hanging="0" w:start="0"/>
        <w:rPr/>
      </w:pPr>
      <w:r>
        <w:rPr/>
        <w:t>In less than a minute, his perception fused with a metaphysical presence, leaving him psychologically shattered.</w:t>
      </w:r>
    </w:p>
    <w:p>
      <w:pPr>
        <w:pStyle w:val="HorizontalLine"/>
        <w:spacing w:before="0" w:after="200"/>
        <w:rPr/>
      </w:pPr>
      <w:r>
        <w:rPr/>
      </w:r>
    </w:p>
    <w:p>
      <w:pPr>
        <w:pStyle w:val="Heading3"/>
        <w:spacing w:before="0" w:after="200"/>
        <w:rPr/>
      </w:pPr>
      <w:r>
        <w:rPr>
          <w:rStyle w:val="Strong"/>
          <w:b/>
          <w:bCs/>
        </w:rPr>
        <w:t>Mechanical Outcome</w:t>
      </w:r>
    </w:p>
    <w:p>
      <w:pPr>
        <w:pStyle w:val="BodyText"/>
        <w:spacing w:before="0" w:after="200"/>
        <w:rPr/>
      </w:pPr>
      <w:r>
        <w:rPr/>
        <w:t xml:space="preserve">Tiberius experienced a catastrophic cascade of Fright and Derangement, leading to a loss of his faculties and abilities far beyond normal limits. The mechanical outcome was: 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before="0" w:after="29"/>
        <w:ind w:hanging="283" w:start="709"/>
        <w:rPr/>
      </w:pPr>
      <w:r>
        <w:rPr/>
        <w:t>-490 points in disadvantages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before="0" w:after="29"/>
        <w:ind w:hanging="283" w:start="709"/>
        <w:rPr/>
      </w:pPr>
      <w:r>
        <w:rPr/>
        <w:t>Extensive phobic fragmentation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before="0" w:after="29"/>
        <w:ind w:hanging="283" w:start="709"/>
        <w:rPr/>
      </w:pPr>
      <w:r>
        <w:rPr/>
        <w:t>Substance addiction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before="0" w:after="29"/>
        <w:ind w:hanging="283" w:start="709"/>
        <w:rPr/>
      </w:pPr>
      <w:r>
        <w:rPr/>
        <w:t>Combat Paralysis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before="0" w:after="29"/>
        <w:ind w:hanging="283" w:start="709"/>
        <w:rPr/>
      </w:pPr>
      <w:r>
        <w:rPr/>
        <w:t>Total Pacifism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before="0" w:after="29"/>
        <w:ind w:hanging="283" w:start="709"/>
        <w:rPr/>
      </w:pPr>
      <w:r>
        <w:rPr/>
        <w:t>Social Withdrawal (Reclusive)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before="0" w:after="29"/>
        <w:ind w:hanging="283" w:start="709"/>
        <w:rPr/>
      </w:pPr>
      <w:r>
        <w:rPr/>
        <w:t>Delusional Severance from Psionic Abilities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before="0" w:after="29"/>
        <w:ind w:hanging="283" w:start="709"/>
        <w:rPr/>
      </w:pPr>
      <w:r>
        <w:rPr/>
        <w:t>Compulsive Destruction of Written Material</w:t>
      </w:r>
    </w:p>
    <w:p>
      <w:pPr>
        <w:pStyle w:val="BodyText"/>
        <w:spacing w:before="0" w:after="200"/>
        <w:rPr/>
      </w:pPr>
      <w:r>
        <w:rPr/>
        <w:br/>
        <w:t>His effective character value was reduced from 375 points to 25 points. While his attributes and advantages remain on paper, they are functionally unusable.</w:t>
      </w:r>
    </w:p>
    <w:p>
      <w:pPr>
        <w:pStyle w:val="HorizontalLine"/>
        <w:spacing w:before="0" w:after="200"/>
        <w:rPr/>
      </w:pPr>
      <w:r>
        <w:rPr/>
      </w:r>
    </w:p>
    <w:p>
      <w:pPr>
        <w:pStyle w:val="Heading3"/>
        <w:spacing w:before="0" w:after="200"/>
        <w:rPr/>
      </w:pPr>
      <w:r>
        <w:rPr>
          <w:rStyle w:val="Strong"/>
          <w:b/>
          <w:bCs/>
        </w:rPr>
        <w:t>Current Status</w:t>
      </w:r>
    </w:p>
    <w:p>
      <w:pPr>
        <w:pStyle w:val="BodyText"/>
        <w:spacing w:before="0" w:after="200"/>
        <w:rPr/>
      </w:pPr>
      <w:r>
        <w:rPr/>
        <w:t>Tiberius Sinclair is permanently retired from play.</w:t>
        <w:br/>
        <w:t>He is now institutionalized and alive, but will not return to active gameplay.</w:t>
      </w:r>
    </w:p>
    <w:p>
      <w:pPr>
        <w:pStyle w:val="BodyText"/>
        <w:spacing w:before="0" w:after="200"/>
        <w:rPr/>
      </w:pPr>
      <w:r>
        <w:rPr/>
        <w:t xml:space="preserve">However, his story serves as a demonstration of the consequences of exposure to forbidden knowledge. He is not a mere cautionary tale about recklessness, but a testament to the fundamental danger of </w:t>
      </w:r>
      <w:r>
        <w:rPr>
          <w:rStyle w:val="Emphasis"/>
        </w:rPr>
        <w:t>knowing too much</w:t>
      </w:r>
      <w:r>
        <w:rPr/>
        <w:t>.</w:t>
      </w:r>
    </w:p>
    <w:p>
      <w:pPr>
        <w:pStyle w:val="BodyText"/>
        <w:spacing w:before="0" w:after="200"/>
        <w:rPr/>
      </w:pPr>
      <w:r>
        <w:rPr/>
        <w:t>Tiberius may make appearances as an NPC, but he will never return to active play.</w:t>
      </w:r>
    </w:p>
    <w:p>
      <w:pPr>
        <w:pStyle w:val="BodyText"/>
        <w:spacing w:before="0" w:after="200"/>
        <w:rPr/>
      </w:pPr>
      <w:r>
        <w:rPr/>
        <w:t>See the following character sheet for a full mechanical breakdown of his retirement state.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5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Application>LibreOffice/25.8.4.2$Windows_X86_64 LibreOffice_project/290daaa01b999472f0c7a3890eb6a550fd74c6df</Application>
  <AppVersion>15.0000</AppVersion>
  <Pages>2</Pages>
  <Words>292</Words>
  <Characters>1641</Characters>
  <CharactersWithSpaces>1898</CharactersWithSpaces>
  <Paragraphs>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2026-02-28T18:04:47Z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