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09CB3" w14:textId="7C6E8534" w:rsidR="004C1A82" w:rsidRPr="004F076F" w:rsidRDefault="004C1A82" w:rsidP="009511F3">
      <w:pPr>
        <w:pStyle w:val="Heading1a"/>
      </w:pPr>
      <w:r w:rsidRPr="004F076F">
        <w:t>Supplement to:</w:t>
      </w:r>
      <w:r w:rsidR="0083027C" w:rsidRPr="004F076F">
        <w:t xml:space="preserve"> </w:t>
      </w:r>
      <w:r w:rsidR="004C4C44" w:rsidRPr="004F076F">
        <w:t>Contributions of s</w:t>
      </w:r>
      <w:r w:rsidR="0083027C" w:rsidRPr="004F076F">
        <w:t>pecies and harvest</w:t>
      </w:r>
      <w:r w:rsidR="009511F3" w:rsidRPr="004F076F">
        <w:t xml:space="preserve"> asynchrony to </w:t>
      </w:r>
      <w:r w:rsidR="00805B5E" w:rsidRPr="004F076F">
        <w:t xml:space="preserve">the stability of regional </w:t>
      </w:r>
      <w:r w:rsidR="004C4C44" w:rsidRPr="004F076F">
        <w:t xml:space="preserve">fishing </w:t>
      </w:r>
      <w:r w:rsidR="00805B5E" w:rsidRPr="004F076F">
        <w:t xml:space="preserve">harvest portfolios </w:t>
      </w:r>
      <w:r w:rsidR="009511F3" w:rsidRPr="004F076F">
        <w:t>in Chesapeake Bay, USA</w:t>
      </w:r>
    </w:p>
    <w:p w14:paraId="4913CFD0" w14:textId="77777777" w:rsidR="00C97B08" w:rsidRPr="004F076F" w:rsidRDefault="00C97B08" w:rsidP="00385C88">
      <w:pPr>
        <w:pStyle w:val="Heading2a"/>
        <w:rPr>
          <w:rFonts w:cs="Times New Roman"/>
        </w:rPr>
      </w:pPr>
    </w:p>
    <w:p w14:paraId="5B745552" w14:textId="35483355" w:rsidR="005F3AB6" w:rsidRPr="00063AE0" w:rsidRDefault="00B412C9" w:rsidP="00385C88">
      <w:pPr>
        <w:pStyle w:val="Heading2a"/>
        <w:rPr>
          <w:rFonts w:cs="Times New Roman"/>
          <w:b/>
          <w:bCs/>
        </w:rPr>
      </w:pPr>
      <w:r w:rsidRPr="00063AE0">
        <w:rPr>
          <w:rFonts w:cs="Times New Roman"/>
          <w:b/>
          <w:bCs/>
        </w:rPr>
        <w:t>Method</w:t>
      </w:r>
      <w:r w:rsidR="00380771" w:rsidRPr="00063AE0">
        <w:rPr>
          <w:rFonts w:cs="Times New Roman"/>
          <w:b/>
          <w:bCs/>
        </w:rPr>
        <w:t>s</w:t>
      </w:r>
      <w:r w:rsidRPr="00063AE0">
        <w:rPr>
          <w:rFonts w:cs="Times New Roman"/>
          <w:b/>
          <w:bCs/>
        </w:rPr>
        <w:t xml:space="preserve"> </w:t>
      </w:r>
      <w:r w:rsidR="00223097" w:rsidRPr="00063AE0">
        <w:rPr>
          <w:rFonts w:cs="Times New Roman"/>
          <w:b/>
          <w:bCs/>
        </w:rPr>
        <w:t>S</w:t>
      </w:r>
      <w:r w:rsidR="00DC5CE5" w:rsidRPr="00063AE0">
        <w:rPr>
          <w:rFonts w:cs="Times New Roman"/>
          <w:b/>
          <w:bCs/>
        </w:rPr>
        <w:t>1.</w:t>
      </w:r>
      <w:r w:rsidR="00223097" w:rsidRPr="00063AE0">
        <w:rPr>
          <w:rFonts w:cs="Times New Roman"/>
          <w:b/>
          <w:bCs/>
        </w:rPr>
        <w:t xml:space="preserve"> </w:t>
      </w:r>
    </w:p>
    <w:p w14:paraId="298FE46C" w14:textId="1FBE1D3C" w:rsidR="00DC5CE5" w:rsidRPr="004F076F" w:rsidRDefault="00223097" w:rsidP="00385C88">
      <w:pPr>
        <w:pStyle w:val="Heading3a"/>
        <w:rPr>
          <w:rFonts w:cs="Times New Roman"/>
        </w:rPr>
      </w:pPr>
      <w:r w:rsidRPr="004F076F">
        <w:rPr>
          <w:rFonts w:cs="Times New Roman"/>
        </w:rPr>
        <w:t xml:space="preserve">Additional information regarding </w:t>
      </w:r>
      <w:r w:rsidR="00DC5CE5" w:rsidRPr="004F076F">
        <w:rPr>
          <w:rFonts w:cs="Times New Roman"/>
        </w:rPr>
        <w:t xml:space="preserve">SPDE mesh creation and biomass index model </w:t>
      </w:r>
      <w:proofErr w:type="gramStart"/>
      <w:r w:rsidR="00DC5CE5" w:rsidRPr="004F076F">
        <w:rPr>
          <w:rFonts w:cs="Times New Roman"/>
        </w:rPr>
        <w:t>diagnostics</w:t>
      </w:r>
      <w:proofErr w:type="gramEnd"/>
    </w:p>
    <w:p w14:paraId="75E93CA3" w14:textId="77777777" w:rsidR="00F66B54" w:rsidRPr="004F076F" w:rsidRDefault="00DC5CE5" w:rsidP="00DC5CE5">
      <w:pPr>
        <w:spacing w:line="480" w:lineRule="auto"/>
        <w:ind w:firstLine="720"/>
        <w:rPr>
          <w:rFonts w:ascii="Times New Roman" w:hAnsi="Times New Roman" w:cs="Times New Roman"/>
        </w:rPr>
      </w:pPr>
      <w:proofErr w:type="spellStart"/>
      <w:r w:rsidRPr="004F076F">
        <w:rPr>
          <w:rFonts w:ascii="Times New Roman" w:hAnsi="Times New Roman" w:cs="Times New Roman"/>
          <w:i/>
          <w:iCs/>
        </w:rPr>
        <w:t>sdmTMB</w:t>
      </w:r>
      <w:proofErr w:type="spellEnd"/>
      <w:r w:rsidRPr="004F076F">
        <w:rPr>
          <w:rFonts w:ascii="Times New Roman" w:hAnsi="Times New Roman" w:cs="Times New Roman"/>
        </w:rPr>
        <w:t xml:space="preserve"> integrates SPDE matrices from R-INLA </w:t>
      </w:r>
      <w:r w:rsidRPr="004F076F">
        <w:rPr>
          <w:rFonts w:ascii="Times New Roman" w:hAnsi="Times New Roman" w:cs="Times New Roman"/>
        </w:rPr>
        <w:fldChar w:fldCharType="begin"/>
      </w:r>
      <w:r w:rsidRPr="004F076F">
        <w:rPr>
          <w:rFonts w:ascii="Times New Roman" w:hAnsi="Times New Roman" w:cs="Times New Roman"/>
        </w:rPr>
        <w:instrText xml:space="preserve"> ADDIN ZOTERO_ITEM CSL_CITATION {"citationID":"apHiIGqq","properties":{"formattedCitation":"(Lindgren &amp; Rue, 2015)","plainCitation":"(Lindgren &amp; Rue, 2015)","noteIndex":0},"citationItems":[{"id":347,"uris":["http://zotero.org/users/local/LJpMI5ZK/items/5TG4I5MY"],"itemData":{"id":347,"type":"article-journal","container-title":"Journal of statistical software","issue":"19","note":"publisher: University of California at Los Angeles","title":"Bayesian spatial modelling with R-INLA","volume":"63","author":[{"family":"Lindgren","given":"Finn"},{"family":"Rue","given":"Håvard"}],"issued":{"date-parts":[["2015"]]}}}],"schema":"https://github.com/citation-style-language/schema/raw/master/csl-citation.json"} </w:instrText>
      </w:r>
      <w:r w:rsidRPr="004F076F">
        <w:rPr>
          <w:rFonts w:ascii="Times New Roman" w:hAnsi="Times New Roman" w:cs="Times New Roman"/>
        </w:rPr>
        <w:fldChar w:fldCharType="separate"/>
      </w:r>
      <w:r w:rsidRPr="004F076F">
        <w:rPr>
          <w:rFonts w:ascii="Times New Roman" w:hAnsi="Times New Roman" w:cs="Times New Roman"/>
        </w:rPr>
        <w:t>(Lindgren &amp; Rue, 2015)</w:t>
      </w:r>
      <w:r w:rsidRPr="004F076F">
        <w:rPr>
          <w:rFonts w:ascii="Times New Roman" w:hAnsi="Times New Roman" w:cs="Times New Roman"/>
        </w:rPr>
        <w:fldChar w:fldCharType="end"/>
      </w:r>
      <w:r w:rsidRPr="004F076F">
        <w:rPr>
          <w:rFonts w:ascii="Times New Roman" w:hAnsi="Times New Roman" w:cs="Times New Roman"/>
        </w:rPr>
        <w:t xml:space="preserve"> with marginal log likelihood calculations and random effect integration via the Laplace approximation with TMB </w:t>
      </w:r>
      <w:r w:rsidRPr="004F076F">
        <w:rPr>
          <w:rFonts w:ascii="Times New Roman" w:hAnsi="Times New Roman" w:cs="Times New Roman"/>
        </w:rPr>
        <w:fldChar w:fldCharType="begin"/>
      </w:r>
      <w:r w:rsidRPr="004F076F">
        <w:rPr>
          <w:rFonts w:ascii="Times New Roman" w:hAnsi="Times New Roman" w:cs="Times New Roman"/>
        </w:rPr>
        <w:instrText xml:space="preserve"> ADDIN ZOTERO_ITEM CSL_CITATION {"citationID":"Uas5ou73","properties":{"formattedCitation":"(Kristensen et al., 2015)","plainCitation":"(Kristensen et al., 2015)","noteIndex":0},"citationItems":[{"id":311,"uris":["http://zotero.org/users/local/LJpMI5ZK/items/GKUL2S3A"],"itemData":{"id":311,"type":"article-journal","container-title":"arXiv preprint arXiv:1509.00660","title":"TMB: automatic differentiation and Laplace approximation","author":[{"family":"Kristensen","given":"Kasper"},{"family":"Nielsen","given":"Anders"},{"family":"Berg","given":"Casper W"},{"family":"Skaug","given":"Hans"},{"family":"Bell","given":"Brad"}],"issued":{"date-parts":[["2015"]]}}}],"schema":"https://github.com/citation-style-language/schema/raw/master/csl-citation.json"} </w:instrText>
      </w:r>
      <w:r w:rsidRPr="004F076F">
        <w:rPr>
          <w:rFonts w:ascii="Times New Roman" w:hAnsi="Times New Roman" w:cs="Times New Roman"/>
        </w:rPr>
        <w:fldChar w:fldCharType="separate"/>
      </w:r>
      <w:r w:rsidRPr="004F076F">
        <w:rPr>
          <w:rFonts w:ascii="Times New Roman" w:hAnsi="Times New Roman" w:cs="Times New Roman"/>
        </w:rPr>
        <w:t>(Kristensen et al., 2015)</w:t>
      </w:r>
      <w:r w:rsidRPr="004F076F">
        <w:rPr>
          <w:rFonts w:ascii="Times New Roman" w:hAnsi="Times New Roman" w:cs="Times New Roman"/>
        </w:rPr>
        <w:fldChar w:fldCharType="end"/>
      </w:r>
      <w:r w:rsidRPr="004F076F">
        <w:rPr>
          <w:rFonts w:ascii="Times New Roman" w:hAnsi="Times New Roman" w:cs="Times New Roman"/>
        </w:rPr>
        <w:t xml:space="preserve">. Our ‘mesh’ for the SPDE calculations was constructed in R-INLA with an inner mesh near the data and an outer mesh further away from the data to reduce boundary effects </w:t>
      </w:r>
      <w:r w:rsidRPr="004F076F">
        <w:rPr>
          <w:rFonts w:ascii="Times New Roman" w:hAnsi="Times New Roman" w:cs="Times New Roman"/>
        </w:rPr>
        <w:fldChar w:fldCharType="begin"/>
      </w:r>
      <w:r w:rsidRPr="004F076F">
        <w:rPr>
          <w:rFonts w:ascii="Times New Roman" w:hAnsi="Times New Roman" w:cs="Times New Roman"/>
        </w:rPr>
        <w:instrText xml:space="preserve"> ADDIN ZOTERO_ITEM CSL_CITATION {"citationID":"Y0iutj7v","properties":{"formattedCitation":"(Lindgren &amp; Rue, 2015)","plainCitation":"(Lindgren &amp; Rue, 2015)","noteIndex":0},"citationItems":[{"id":347,"uris":["http://zotero.org/users/local/LJpMI5ZK/items/5TG4I5MY"],"itemData":{"id":347,"type":"article-journal","container-title":"Journal of statistical software","issue":"19","note":"publisher: University of California at Los Angeles","title":"Bayesian spatial modelling with R-INLA","volume":"63","author":[{"family":"Lindgren","given":"Finn"},{"family":"Rue","given":"Håvard"}],"issued":{"date-parts":[["2015"]]}}}],"schema":"https://github.com/citation-style-language/schema/raw/master/csl-citation.json"} </w:instrText>
      </w:r>
      <w:r w:rsidRPr="004F076F">
        <w:rPr>
          <w:rFonts w:ascii="Times New Roman" w:hAnsi="Times New Roman" w:cs="Times New Roman"/>
        </w:rPr>
        <w:fldChar w:fldCharType="separate"/>
      </w:r>
      <w:r w:rsidRPr="004F076F">
        <w:rPr>
          <w:rFonts w:ascii="Times New Roman" w:hAnsi="Times New Roman" w:cs="Times New Roman"/>
          <w:noProof/>
        </w:rPr>
        <w:t>(Lindgren &amp; Rue, 2015)</w:t>
      </w:r>
      <w:r w:rsidRPr="004F076F">
        <w:rPr>
          <w:rFonts w:ascii="Times New Roman" w:hAnsi="Times New Roman" w:cs="Times New Roman"/>
        </w:rPr>
        <w:fldChar w:fldCharType="end"/>
      </w:r>
      <w:r w:rsidRPr="004F076F">
        <w:rPr>
          <w:rFonts w:ascii="Times New Roman" w:hAnsi="Times New Roman" w:cs="Times New Roman"/>
        </w:rPr>
        <w:t xml:space="preserve">. Our inner and outer meshes had an ‘offset’ of 3 km and 8 km from the data, maximum triangle edge lengths of 3 km and 15 km, and a minimum triangle edge length of 3 km. </w:t>
      </w:r>
    </w:p>
    <w:p w14:paraId="01DC6F4A" w14:textId="4CC9D47A" w:rsidR="004C1A82" w:rsidRDefault="00DC5CE5" w:rsidP="00DC5CE5">
      <w:pPr>
        <w:spacing w:line="480" w:lineRule="auto"/>
        <w:ind w:firstLine="720"/>
        <w:rPr>
          <w:rFonts w:ascii="Times New Roman" w:hAnsi="Times New Roman" w:cs="Times New Roman"/>
        </w:rPr>
      </w:pPr>
      <w:r w:rsidRPr="004F076F">
        <w:rPr>
          <w:rFonts w:ascii="Times New Roman" w:hAnsi="Times New Roman" w:cs="Times New Roman"/>
        </w:rPr>
        <w:t xml:space="preserve">We assessed model convergence by checking that the maximum absolute gradient of the marginal log likelihood with respect to all fixed effects was &lt; 0.001 and the Hessian matrix was positive definite. </w:t>
      </w:r>
      <w:r w:rsidR="004C1A82" w:rsidRPr="004F076F">
        <w:rPr>
          <w:rFonts w:ascii="Times New Roman" w:hAnsi="Times New Roman" w:cs="Times New Roman"/>
        </w:rPr>
        <w:t xml:space="preserve"> </w:t>
      </w:r>
      <w:r w:rsidRPr="004F076F">
        <w:rPr>
          <w:rFonts w:ascii="Times New Roman" w:hAnsi="Times New Roman" w:cs="Times New Roman"/>
        </w:rPr>
        <w:t>We used Markov Chain Monte Carlo (MCMC) randomized quantile residuals to evaluate residual patterning using QQ-plots. These residuals are samples of the random effects drawn from the joint posterior distribution of the fitted model while fixed effects are held at their maximum likelihood estimates</w:t>
      </w:r>
      <w:r w:rsidR="009872CF" w:rsidRPr="004F076F">
        <w:rPr>
          <w:rFonts w:ascii="Times New Roman" w:hAnsi="Times New Roman" w:cs="Times New Roman"/>
        </w:rPr>
        <w:t xml:space="preserve"> (Anderson et al. 2022)</w:t>
      </w:r>
      <w:r w:rsidRPr="004F076F">
        <w:rPr>
          <w:rFonts w:ascii="Times New Roman" w:hAnsi="Times New Roman" w:cs="Times New Roman"/>
        </w:rPr>
        <w:t>.</w:t>
      </w:r>
    </w:p>
    <w:p w14:paraId="7AC15D36" w14:textId="615B9317" w:rsidR="001F1C53" w:rsidRPr="001F1C53" w:rsidRDefault="001F1C53" w:rsidP="001F1C53">
      <w:pPr>
        <w:pStyle w:val="Caption"/>
        <w:keepNext/>
        <w:spacing w:line="480" w:lineRule="auto"/>
      </w:pPr>
      <w:r w:rsidRPr="0015486B">
        <w:rPr>
          <w:b/>
          <w:bCs/>
        </w:rPr>
        <w:t xml:space="preserve">Table </w:t>
      </w:r>
      <w:r w:rsidR="00FB4090" w:rsidRPr="0015486B">
        <w:rPr>
          <w:b/>
          <w:bCs/>
        </w:rPr>
        <w:t>S2</w:t>
      </w:r>
      <w:r w:rsidRPr="0015486B">
        <w:rPr>
          <w:b/>
          <w:bCs/>
        </w:rPr>
        <w:t>.</w:t>
      </w:r>
      <w:r w:rsidRPr="001F1C53">
        <w:t xml:space="preserve"> Statistics from linear models evaluating interannual temporal trends in </w:t>
      </w:r>
      <w:r w:rsidR="0015486B">
        <w:t xml:space="preserve">estimated </w:t>
      </w:r>
      <w:r w:rsidRPr="001F1C53">
        <w:t xml:space="preserve">Atlantic croaker, spot, and striped bass annual biomass (summed across months) in the Virginia portion of Chesapeake Bay over 2002-2018. 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1800"/>
        <w:gridCol w:w="1980"/>
        <w:gridCol w:w="1260"/>
        <w:gridCol w:w="1170"/>
        <w:gridCol w:w="90"/>
        <w:gridCol w:w="900"/>
        <w:gridCol w:w="90"/>
        <w:gridCol w:w="1890"/>
      </w:tblGrid>
      <w:tr w:rsidR="001F1C53" w:rsidRPr="001F1C53" w14:paraId="3CACF381" w14:textId="77777777" w:rsidTr="008B74B1">
        <w:trPr>
          <w:trHeight w:val="225"/>
        </w:trPr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21EA69" w14:textId="77777777" w:rsidR="001F1C53" w:rsidRPr="001F1C53" w:rsidRDefault="001F1C53" w:rsidP="008B74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1C53">
              <w:rPr>
                <w:rFonts w:ascii="Times New Roman" w:hAnsi="Times New Roman" w:cs="Times New Roman"/>
                <w:b/>
                <w:bCs/>
              </w:rPr>
              <w:t>Species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2A997C" w14:textId="77777777" w:rsidR="001F1C53" w:rsidRPr="001F1C53" w:rsidRDefault="001F1C53" w:rsidP="008B74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1C53">
              <w:rPr>
                <w:rFonts w:ascii="Times New Roman" w:hAnsi="Times New Roman" w:cs="Times New Roman"/>
                <w:b/>
                <w:bCs/>
              </w:rPr>
              <w:t xml:space="preserve">Trend (kg </w:t>
            </w:r>
            <w:proofErr w:type="gramStart"/>
            <w:r w:rsidRPr="001F1C53">
              <w:rPr>
                <w:rFonts w:ascii="Times New Roman" w:hAnsi="Times New Roman" w:cs="Times New Roman"/>
                <w:b/>
                <w:bCs/>
              </w:rPr>
              <w:t>year</w:t>
            </w:r>
            <w:r w:rsidRPr="001F1C53">
              <w:rPr>
                <w:rFonts w:ascii="Times New Roman" w:hAnsi="Times New Roman" w:cs="Times New Roman"/>
                <w:b/>
                <w:bCs/>
                <w:vertAlign w:val="superscript"/>
              </w:rPr>
              <w:t>-1</w:t>
            </w:r>
            <w:proofErr w:type="gramEnd"/>
            <w:r w:rsidRPr="001F1C53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4EEDA2" w14:textId="77777777" w:rsidR="001F1C53" w:rsidRPr="001F1C53" w:rsidRDefault="001F1C53" w:rsidP="008B74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1C53">
              <w:rPr>
                <w:rFonts w:ascii="Times New Roman" w:hAnsi="Times New Roman" w:cs="Times New Roman"/>
                <w:b/>
                <w:bCs/>
              </w:rPr>
              <w:t>Std. error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FF338D" w14:textId="77777777" w:rsidR="001F1C53" w:rsidRPr="001F1C53" w:rsidRDefault="001F1C53" w:rsidP="008B74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1C53">
              <w:rPr>
                <w:rFonts w:ascii="Times New Roman" w:hAnsi="Times New Roman" w:cs="Times New Roman"/>
                <w:b/>
                <w:bCs/>
              </w:rPr>
              <w:t>T statistic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695793" w14:textId="77777777" w:rsidR="001F1C53" w:rsidRPr="001F1C53" w:rsidRDefault="001F1C53" w:rsidP="008B74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1C53">
              <w:rPr>
                <w:rFonts w:ascii="Times New Roman" w:hAnsi="Times New Roman" w:cs="Times New Roman"/>
                <w:b/>
                <w:bCs/>
              </w:rPr>
              <w:t>P value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519AD1" w14:textId="77777777" w:rsidR="001F1C53" w:rsidRPr="001F1C53" w:rsidRDefault="001F1C53" w:rsidP="008B74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1C53">
              <w:rPr>
                <w:rFonts w:ascii="Times New Roman" w:hAnsi="Times New Roman" w:cs="Times New Roman"/>
                <w:b/>
                <w:bCs/>
              </w:rPr>
              <w:t>Error structure</w:t>
            </w:r>
          </w:p>
        </w:tc>
      </w:tr>
      <w:tr w:rsidR="001F1C53" w:rsidRPr="001F1C53" w14:paraId="27CA21DB" w14:textId="77777777" w:rsidTr="008B74B1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682D0" w14:textId="77777777" w:rsidR="001F1C53" w:rsidRPr="001F1C53" w:rsidRDefault="001F1C53" w:rsidP="008B74B1">
            <w:pPr>
              <w:rPr>
                <w:rFonts w:ascii="Times New Roman" w:hAnsi="Times New Roman" w:cs="Times New Roman"/>
              </w:rPr>
            </w:pPr>
            <w:r w:rsidRPr="001F1C53">
              <w:rPr>
                <w:rFonts w:ascii="Times New Roman" w:hAnsi="Times New Roman" w:cs="Times New Roman"/>
              </w:rPr>
              <w:t>Atlantic croaker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5556E" w14:textId="2B28E562" w:rsidR="001F1C53" w:rsidRPr="001F1C53" w:rsidRDefault="001F1C53" w:rsidP="008B74B1">
            <w:pPr>
              <w:jc w:val="center"/>
              <w:rPr>
                <w:rFonts w:ascii="Times New Roman" w:hAnsi="Times New Roman" w:cs="Times New Roman"/>
              </w:rPr>
            </w:pPr>
            <w:r w:rsidRPr="001F1C53">
              <w:rPr>
                <w:rFonts w:ascii="Times New Roman" w:hAnsi="Times New Roman" w:cs="Times New Roman"/>
              </w:rPr>
              <w:t>-1</w:t>
            </w:r>
            <w:r w:rsidR="002D37E6">
              <w:rPr>
                <w:rFonts w:ascii="Times New Roman" w:hAnsi="Times New Roman" w:cs="Times New Roman"/>
              </w:rPr>
              <w:t>,130,825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B3E12" w14:textId="1C431237" w:rsidR="001F1C53" w:rsidRPr="001F1C53" w:rsidRDefault="001F1C53" w:rsidP="008B74B1">
            <w:pPr>
              <w:jc w:val="center"/>
              <w:rPr>
                <w:rFonts w:ascii="Times New Roman" w:hAnsi="Times New Roman" w:cs="Times New Roman"/>
              </w:rPr>
            </w:pPr>
            <w:r w:rsidRPr="001F1C53">
              <w:rPr>
                <w:rFonts w:ascii="Times New Roman" w:hAnsi="Times New Roman" w:cs="Times New Roman"/>
              </w:rPr>
              <w:t>1</w:t>
            </w:r>
            <w:r w:rsidR="002D37E6">
              <w:rPr>
                <w:rFonts w:ascii="Times New Roman" w:hAnsi="Times New Roman" w:cs="Times New Roman"/>
              </w:rPr>
              <w:t>62,802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8FB9A" w14:textId="2B23808D" w:rsidR="001F1C53" w:rsidRPr="001F1C53" w:rsidRDefault="001F1C53" w:rsidP="008B74B1">
            <w:pPr>
              <w:jc w:val="center"/>
              <w:rPr>
                <w:rFonts w:ascii="Times New Roman" w:hAnsi="Times New Roman" w:cs="Times New Roman"/>
              </w:rPr>
            </w:pPr>
            <w:r w:rsidRPr="001F1C53">
              <w:rPr>
                <w:rFonts w:ascii="Times New Roman" w:hAnsi="Times New Roman" w:cs="Times New Roman"/>
              </w:rPr>
              <w:t>-6.</w:t>
            </w:r>
            <w:r w:rsidR="002D37E6">
              <w:rPr>
                <w:rFonts w:ascii="Times New Roman" w:hAnsi="Times New Roman" w:cs="Times New Roman"/>
              </w:rPr>
              <w:t>946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90C3A" w14:textId="77777777" w:rsidR="001F1C53" w:rsidRPr="001F1C53" w:rsidRDefault="001F1C53" w:rsidP="008B74B1">
            <w:pPr>
              <w:jc w:val="center"/>
              <w:rPr>
                <w:rFonts w:ascii="Times New Roman" w:hAnsi="Times New Roman" w:cs="Times New Roman"/>
              </w:rPr>
            </w:pPr>
            <w:r w:rsidRPr="001F1C53">
              <w:rPr>
                <w:rFonts w:ascii="Times New Roman" w:hAnsi="Times New Roman" w:cs="Times New Roman"/>
              </w:rPr>
              <w:t>&lt;0.001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D946" w14:textId="77777777" w:rsidR="001F1C53" w:rsidRPr="001F1C53" w:rsidRDefault="001F1C53" w:rsidP="008B74B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F1C53">
              <w:rPr>
                <w:rFonts w:ascii="Times New Roman" w:hAnsi="Times New Roman" w:cs="Times New Roman"/>
              </w:rPr>
              <w:t>iid</w:t>
            </w:r>
            <w:proofErr w:type="spellEnd"/>
          </w:p>
        </w:tc>
      </w:tr>
      <w:tr w:rsidR="001F1C53" w:rsidRPr="001F1C53" w14:paraId="6F2F15B3" w14:textId="77777777" w:rsidTr="008B74B1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196B8" w14:textId="77777777" w:rsidR="001F1C53" w:rsidRPr="001F1C53" w:rsidRDefault="001F1C53" w:rsidP="008B74B1">
            <w:pPr>
              <w:rPr>
                <w:rFonts w:ascii="Times New Roman" w:hAnsi="Times New Roman" w:cs="Times New Roman"/>
              </w:rPr>
            </w:pPr>
            <w:r w:rsidRPr="001F1C53">
              <w:rPr>
                <w:rFonts w:ascii="Times New Roman" w:hAnsi="Times New Roman" w:cs="Times New Roman"/>
              </w:rPr>
              <w:lastRenderedPageBreak/>
              <w:t>spot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FC13F" w14:textId="045590E7" w:rsidR="001F1C53" w:rsidRPr="001F1C53" w:rsidRDefault="001F1C53" w:rsidP="008B74B1">
            <w:pPr>
              <w:jc w:val="center"/>
              <w:rPr>
                <w:rFonts w:ascii="Times New Roman" w:hAnsi="Times New Roman" w:cs="Times New Roman"/>
              </w:rPr>
            </w:pPr>
            <w:r w:rsidRPr="001F1C53">
              <w:rPr>
                <w:rFonts w:ascii="Times New Roman" w:hAnsi="Times New Roman" w:cs="Times New Roman"/>
              </w:rPr>
              <w:t>-1</w:t>
            </w:r>
            <w:r w:rsidR="009A37DF">
              <w:rPr>
                <w:rFonts w:ascii="Times New Roman" w:hAnsi="Times New Roman" w:cs="Times New Roman"/>
              </w:rPr>
              <w:t>69,460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574C3" w14:textId="521EA68F" w:rsidR="001F1C53" w:rsidRPr="001F1C53" w:rsidRDefault="009A37DF" w:rsidP="008B74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46,445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D45BC" w14:textId="7F85362F" w:rsidR="001F1C53" w:rsidRPr="001F1C53" w:rsidRDefault="009A37DF" w:rsidP="008B74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-3.649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48E3" w14:textId="2EBA66C5" w:rsidR="001F1C53" w:rsidRPr="001F1C53" w:rsidRDefault="009A37DF" w:rsidP="008B74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0.003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E1596" w14:textId="77777777" w:rsidR="001F1C53" w:rsidRPr="001F1C53" w:rsidRDefault="001F1C53" w:rsidP="008B74B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F1C53">
              <w:rPr>
                <w:rFonts w:ascii="Times New Roman" w:hAnsi="Times New Roman" w:cs="Times New Roman"/>
              </w:rPr>
              <w:t>iid</w:t>
            </w:r>
            <w:proofErr w:type="spellEnd"/>
          </w:p>
        </w:tc>
      </w:tr>
      <w:tr w:rsidR="001F1C53" w:rsidRPr="001F1C53" w14:paraId="328F3197" w14:textId="77777777" w:rsidTr="008B74B1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057C1" w14:textId="77777777" w:rsidR="001F1C53" w:rsidRPr="001F1C53" w:rsidRDefault="001F1C53" w:rsidP="008B74B1">
            <w:pPr>
              <w:rPr>
                <w:rFonts w:ascii="Times New Roman" w:hAnsi="Times New Roman" w:cs="Times New Roman"/>
              </w:rPr>
            </w:pPr>
            <w:r w:rsidRPr="001F1C53">
              <w:rPr>
                <w:rFonts w:ascii="Times New Roman" w:hAnsi="Times New Roman" w:cs="Times New Roman"/>
              </w:rPr>
              <w:t>striped bass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37E54" w14:textId="35703ABF" w:rsidR="001F1C53" w:rsidRPr="001F1C53" w:rsidRDefault="001F1C53" w:rsidP="008B74B1">
            <w:pPr>
              <w:jc w:val="center"/>
              <w:rPr>
                <w:rFonts w:ascii="Times New Roman" w:hAnsi="Times New Roman" w:cs="Times New Roman"/>
              </w:rPr>
            </w:pPr>
            <w:r w:rsidRPr="001F1C53">
              <w:rPr>
                <w:rFonts w:ascii="Times New Roman" w:hAnsi="Times New Roman" w:cs="Times New Roman"/>
              </w:rPr>
              <w:t>-3</w:t>
            </w:r>
            <w:r w:rsidR="009A37DF">
              <w:rPr>
                <w:rFonts w:ascii="Times New Roman" w:hAnsi="Times New Roman" w:cs="Times New Roman"/>
              </w:rPr>
              <w:t>6,926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0FB1" w14:textId="53E9CFF2" w:rsidR="001F1C53" w:rsidRPr="001F1C53" w:rsidRDefault="009A37DF" w:rsidP="008B74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15,175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D577" w14:textId="7D09D783" w:rsidR="001F1C53" w:rsidRPr="001F1C53" w:rsidRDefault="009A37DF" w:rsidP="008B74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-2.433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F9BE" w14:textId="41D89E83" w:rsidR="001F1C53" w:rsidRPr="001F1C53" w:rsidRDefault="009A37DF" w:rsidP="008B74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BAC0" w14:textId="77777777" w:rsidR="001F1C53" w:rsidRPr="001F1C53" w:rsidRDefault="001F1C53" w:rsidP="008B74B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F1C53">
              <w:rPr>
                <w:rFonts w:ascii="Times New Roman" w:hAnsi="Times New Roman" w:cs="Times New Roman"/>
              </w:rPr>
              <w:t>iid</w:t>
            </w:r>
            <w:proofErr w:type="spellEnd"/>
          </w:p>
        </w:tc>
      </w:tr>
    </w:tbl>
    <w:p w14:paraId="6F35B72E" w14:textId="77777777" w:rsidR="001F1C53" w:rsidRPr="004F076F" w:rsidRDefault="001F1C53" w:rsidP="001F1C53">
      <w:pPr>
        <w:spacing w:line="480" w:lineRule="auto"/>
        <w:rPr>
          <w:rFonts w:ascii="Times New Roman" w:hAnsi="Times New Roman" w:cs="Times New Roman"/>
        </w:rPr>
      </w:pPr>
    </w:p>
    <w:p w14:paraId="3F645224" w14:textId="3C5887F8" w:rsidR="00223097" w:rsidRPr="004F076F" w:rsidRDefault="00223097" w:rsidP="00223097">
      <w:pPr>
        <w:pStyle w:val="Caption"/>
        <w:keepNext/>
        <w:spacing w:line="480" w:lineRule="auto"/>
      </w:pPr>
      <w:r w:rsidRPr="004F076F">
        <w:rPr>
          <w:b/>
          <w:bCs/>
        </w:rPr>
        <w:t>Table S</w:t>
      </w:r>
      <w:r w:rsidR="0015486B">
        <w:rPr>
          <w:b/>
          <w:bCs/>
        </w:rPr>
        <w:t>3</w:t>
      </w:r>
      <w:r w:rsidRPr="004F076F">
        <w:rPr>
          <w:b/>
          <w:bCs/>
        </w:rPr>
        <w:t>.</w:t>
      </w:r>
      <w:r w:rsidRPr="004F076F">
        <w:t xml:space="preserve"> Statistics from linear models evaluating interannual temporal trends in within-year species and harvest statistical averaging (</w:t>
      </w:r>
      <w:proofErr w:type="spellStart"/>
      <w:r w:rsidRPr="004F076F">
        <w:t>SAE</w:t>
      </w:r>
      <w:r w:rsidRPr="004F076F">
        <w:rPr>
          <w:vertAlign w:val="subscript"/>
        </w:rPr>
        <w:t>Species</w:t>
      </w:r>
      <w:proofErr w:type="spellEnd"/>
      <w:r w:rsidRPr="004F076F">
        <w:t xml:space="preserve"> and </w:t>
      </w:r>
      <w:proofErr w:type="spellStart"/>
      <w:r w:rsidRPr="004F076F">
        <w:t>SAE</w:t>
      </w:r>
      <w:r w:rsidRPr="004F076F">
        <w:rPr>
          <w:vertAlign w:val="subscript"/>
        </w:rPr>
        <w:t>Harvests</w:t>
      </w:r>
      <w:proofErr w:type="spellEnd"/>
      <w:r w:rsidRPr="004F076F">
        <w:t>) and within-year species and harvest compensation effects (</w:t>
      </w:r>
      <w:proofErr w:type="spellStart"/>
      <w:r w:rsidRPr="004F076F">
        <w:t>CPE</w:t>
      </w:r>
      <w:r w:rsidRPr="004F076F">
        <w:rPr>
          <w:vertAlign w:val="subscript"/>
        </w:rPr>
        <w:t>Species</w:t>
      </w:r>
      <w:proofErr w:type="spellEnd"/>
      <w:r w:rsidRPr="004F076F">
        <w:t xml:space="preserve"> and </w:t>
      </w:r>
      <w:proofErr w:type="spellStart"/>
      <w:r w:rsidRPr="004F076F">
        <w:t>CPE</w:t>
      </w:r>
      <w:r w:rsidRPr="004F076F">
        <w:rPr>
          <w:vertAlign w:val="subscript"/>
        </w:rPr>
        <w:t>Harvests</w:t>
      </w:r>
      <w:proofErr w:type="spellEnd"/>
      <w:r w:rsidRPr="004F076F">
        <w:t>) in the Virginia portion of Chesapeake Bay over 2002-2018.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230"/>
        <w:gridCol w:w="2790"/>
        <w:gridCol w:w="1400"/>
        <w:gridCol w:w="1480"/>
        <w:gridCol w:w="1380"/>
        <w:gridCol w:w="1940"/>
      </w:tblGrid>
      <w:tr w:rsidR="00223097" w:rsidRPr="004F076F" w14:paraId="615618E6" w14:textId="77777777" w:rsidTr="008B74B1">
        <w:trPr>
          <w:trHeight w:val="320"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B00014" w14:textId="77777777" w:rsidR="00223097" w:rsidRPr="004F076F" w:rsidRDefault="00223097" w:rsidP="008B74B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076F">
              <w:rPr>
                <w:rFonts w:ascii="Times New Roman" w:hAnsi="Times New Roman" w:cs="Times New Roman"/>
                <w:b/>
                <w:bCs/>
                <w:color w:val="000000"/>
              </w:rPr>
              <w:t>Term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FFC04E" w14:textId="77777777" w:rsidR="00223097" w:rsidRPr="004F076F" w:rsidRDefault="00223097" w:rsidP="008B74B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076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Trend (SAE/CPE </w:t>
            </w:r>
            <w:proofErr w:type="gramStart"/>
            <w:r w:rsidRPr="004F076F">
              <w:rPr>
                <w:rFonts w:ascii="Times New Roman" w:hAnsi="Times New Roman" w:cs="Times New Roman"/>
                <w:b/>
                <w:bCs/>
                <w:color w:val="000000"/>
              </w:rPr>
              <w:t>year</w:t>
            </w:r>
            <w:r w:rsidRPr="004F076F">
              <w:rPr>
                <w:rFonts w:ascii="Times New Roman" w:hAnsi="Times New Roman" w:cs="Times New Roman"/>
                <w:b/>
                <w:bCs/>
                <w:color w:val="000000"/>
                <w:vertAlign w:val="superscript"/>
              </w:rPr>
              <w:t>-1</w:t>
            </w:r>
            <w:proofErr w:type="gramEnd"/>
            <w:r w:rsidRPr="004F076F">
              <w:rPr>
                <w:rFonts w:ascii="Times New Roman" w:hAnsi="Times New Roman" w:cs="Times New Roman"/>
                <w:b/>
                <w:bCs/>
                <w:color w:val="000000"/>
              </w:rPr>
              <w:t>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813D49" w14:textId="77777777" w:rsidR="00223097" w:rsidRPr="004F076F" w:rsidRDefault="00223097" w:rsidP="008B74B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076F">
              <w:rPr>
                <w:rFonts w:ascii="Times New Roman" w:hAnsi="Times New Roman" w:cs="Times New Roman"/>
                <w:b/>
                <w:bCs/>
                <w:color w:val="000000"/>
              </w:rPr>
              <w:t>Std. error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190843" w14:textId="77777777" w:rsidR="00223097" w:rsidRPr="004F076F" w:rsidRDefault="00223097" w:rsidP="008B74B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076F">
              <w:rPr>
                <w:rFonts w:ascii="Times New Roman" w:hAnsi="Times New Roman" w:cs="Times New Roman"/>
                <w:b/>
                <w:bCs/>
                <w:color w:val="000000"/>
              </w:rPr>
              <w:t>T statistic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5EDE29" w14:textId="77777777" w:rsidR="00223097" w:rsidRPr="004F076F" w:rsidRDefault="00223097" w:rsidP="008B74B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076F">
              <w:rPr>
                <w:rFonts w:ascii="Times New Roman" w:hAnsi="Times New Roman" w:cs="Times New Roman"/>
                <w:b/>
                <w:bCs/>
                <w:color w:val="000000"/>
              </w:rPr>
              <w:t>P value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7DB359" w14:textId="77777777" w:rsidR="00223097" w:rsidRPr="004F076F" w:rsidRDefault="00223097" w:rsidP="008B74B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076F">
              <w:rPr>
                <w:rFonts w:ascii="Times New Roman" w:hAnsi="Times New Roman" w:cs="Times New Roman"/>
                <w:b/>
                <w:bCs/>
                <w:color w:val="000000"/>
              </w:rPr>
              <w:t>Error structure</w:t>
            </w:r>
          </w:p>
        </w:tc>
      </w:tr>
      <w:tr w:rsidR="00223097" w:rsidRPr="004F076F" w14:paraId="0C95ACD9" w14:textId="77777777" w:rsidTr="008B74B1">
        <w:trPr>
          <w:trHeight w:val="32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18E7" w14:textId="77777777" w:rsidR="00223097" w:rsidRPr="004F076F" w:rsidRDefault="00223097" w:rsidP="008B74B1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F076F">
              <w:rPr>
                <w:rFonts w:ascii="Times New Roman" w:hAnsi="Times New Roman" w:cs="Times New Roman"/>
                <w:color w:val="000000"/>
              </w:rPr>
              <w:t>SAE</w:t>
            </w:r>
            <w:r w:rsidRPr="004F076F">
              <w:rPr>
                <w:rFonts w:ascii="Times New Roman" w:hAnsi="Times New Roman" w:cs="Times New Roman"/>
                <w:color w:val="000000"/>
                <w:vertAlign w:val="subscript"/>
              </w:rPr>
              <w:t>Species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63E97" w14:textId="2026DE2A" w:rsidR="00223097" w:rsidRPr="004F076F" w:rsidRDefault="00223097" w:rsidP="008B74B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F076F">
              <w:rPr>
                <w:rFonts w:ascii="Times New Roman" w:hAnsi="Times New Roman" w:cs="Times New Roman"/>
                <w:color w:val="000000"/>
              </w:rPr>
              <w:t>0.02</w:t>
            </w:r>
            <w:r w:rsidR="00805783" w:rsidRPr="004F076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C1D8A" w14:textId="77777777" w:rsidR="00223097" w:rsidRPr="004F076F" w:rsidRDefault="00223097" w:rsidP="008B74B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F076F">
              <w:rPr>
                <w:rFonts w:ascii="Times New Roman" w:hAnsi="Times New Roman" w:cs="Times New Roman"/>
                <w:color w:val="000000"/>
              </w:rPr>
              <w:t>0.007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62C8B" w14:textId="6AFBC891" w:rsidR="00223097" w:rsidRPr="004F076F" w:rsidRDefault="00805783" w:rsidP="008B74B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F076F">
              <w:rPr>
                <w:rFonts w:ascii="Times New Roman" w:hAnsi="Times New Roman" w:cs="Times New Roman"/>
                <w:color w:val="000000"/>
              </w:rPr>
              <w:t>4.458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7C29D" w14:textId="36B7DAF8" w:rsidR="00223097" w:rsidRPr="004F076F" w:rsidRDefault="00805783" w:rsidP="008B74B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F076F">
              <w:rPr>
                <w:rFonts w:ascii="Times New Roman" w:hAnsi="Times New Roman" w:cs="Times New Roman"/>
                <w:color w:val="000000"/>
              </w:rPr>
              <w:t xml:space="preserve">&lt; </w:t>
            </w:r>
            <w:r w:rsidR="00223097" w:rsidRPr="004F076F">
              <w:rPr>
                <w:rFonts w:ascii="Times New Roman" w:hAnsi="Times New Roman" w:cs="Times New Roman"/>
                <w:color w:val="000000"/>
              </w:rPr>
              <w:t>0.001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1CD17" w14:textId="77777777" w:rsidR="00223097" w:rsidRPr="004F076F" w:rsidRDefault="00223097" w:rsidP="008B74B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F076F">
              <w:rPr>
                <w:rFonts w:ascii="Times New Roman" w:hAnsi="Times New Roman" w:cs="Times New Roman"/>
                <w:color w:val="000000"/>
              </w:rPr>
              <w:t>iid</w:t>
            </w:r>
            <w:proofErr w:type="spellEnd"/>
          </w:p>
        </w:tc>
      </w:tr>
      <w:tr w:rsidR="00223097" w:rsidRPr="004F076F" w14:paraId="6A2D407F" w14:textId="77777777" w:rsidTr="008B74B1">
        <w:trPr>
          <w:trHeight w:val="32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4AADD" w14:textId="77777777" w:rsidR="00223097" w:rsidRPr="004F076F" w:rsidRDefault="00223097" w:rsidP="008B74B1">
            <w:pPr>
              <w:rPr>
                <w:rFonts w:ascii="Times New Roman" w:hAnsi="Times New Roman" w:cs="Times New Roman"/>
                <w:color w:val="000000"/>
                <w:vertAlign w:val="subscript"/>
              </w:rPr>
            </w:pPr>
            <w:proofErr w:type="spellStart"/>
            <w:r w:rsidRPr="004F076F">
              <w:rPr>
                <w:rFonts w:ascii="Times New Roman" w:hAnsi="Times New Roman" w:cs="Times New Roman"/>
                <w:color w:val="000000"/>
              </w:rPr>
              <w:t>CPE</w:t>
            </w:r>
            <w:r w:rsidRPr="004F076F">
              <w:rPr>
                <w:rFonts w:ascii="Times New Roman" w:hAnsi="Times New Roman" w:cs="Times New Roman"/>
                <w:color w:val="000000"/>
                <w:vertAlign w:val="subscript"/>
              </w:rPr>
              <w:t>Species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BDCAA" w14:textId="33F06C2F" w:rsidR="00223097" w:rsidRPr="004F076F" w:rsidRDefault="00223097" w:rsidP="008B74B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F076F">
              <w:rPr>
                <w:rFonts w:ascii="Times New Roman" w:hAnsi="Times New Roman" w:cs="Times New Roman"/>
                <w:color w:val="000000"/>
              </w:rPr>
              <w:t>0.01</w:t>
            </w:r>
            <w:r w:rsidR="00B87172" w:rsidRPr="004F076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D53AD" w14:textId="40E22142" w:rsidR="00223097" w:rsidRPr="004F076F" w:rsidRDefault="00223097" w:rsidP="008B74B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F076F">
              <w:rPr>
                <w:rFonts w:ascii="Times New Roman" w:hAnsi="Times New Roman" w:cs="Times New Roman"/>
                <w:color w:val="000000"/>
              </w:rPr>
              <w:t>0.00</w:t>
            </w:r>
            <w:r w:rsidR="00B87172" w:rsidRPr="004F076F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FFF99" w14:textId="4F4A4550" w:rsidR="00223097" w:rsidRPr="004F076F" w:rsidRDefault="00B87172" w:rsidP="008B74B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F076F">
              <w:rPr>
                <w:rFonts w:ascii="Times New Roman" w:hAnsi="Times New Roman" w:cs="Times New Roman"/>
                <w:color w:val="000000"/>
              </w:rPr>
              <w:t>3.055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D4BB3" w14:textId="34E11317" w:rsidR="00223097" w:rsidRPr="004F076F" w:rsidRDefault="00223097" w:rsidP="008B74B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F076F">
              <w:rPr>
                <w:rFonts w:ascii="Times New Roman" w:hAnsi="Times New Roman" w:cs="Times New Roman"/>
                <w:color w:val="000000"/>
              </w:rPr>
              <w:t>0.00</w:t>
            </w:r>
            <w:r w:rsidR="00B87172" w:rsidRPr="004F076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DF7EF" w14:textId="36A266E0" w:rsidR="00223097" w:rsidRPr="004F076F" w:rsidRDefault="00223097" w:rsidP="008B74B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4F076F">
              <w:rPr>
                <w:rFonts w:ascii="Times New Roman" w:hAnsi="Times New Roman" w:cs="Times New Roman"/>
                <w:color w:val="000000"/>
              </w:rPr>
              <w:t>AR(</w:t>
            </w:r>
            <w:proofErr w:type="gramEnd"/>
            <w:r w:rsidR="00B87172" w:rsidRPr="004F076F">
              <w:rPr>
                <w:rFonts w:ascii="Times New Roman" w:hAnsi="Times New Roman" w:cs="Times New Roman"/>
                <w:color w:val="000000"/>
              </w:rPr>
              <w:t>2</w:t>
            </w:r>
            <w:r w:rsidRPr="004F076F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223097" w:rsidRPr="004F076F" w14:paraId="32A9F091" w14:textId="77777777" w:rsidTr="008B74B1">
        <w:trPr>
          <w:trHeight w:val="32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03C93" w14:textId="77777777" w:rsidR="00223097" w:rsidRPr="004F076F" w:rsidRDefault="00223097" w:rsidP="008B74B1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F076F">
              <w:rPr>
                <w:rFonts w:ascii="Times New Roman" w:hAnsi="Times New Roman" w:cs="Times New Roman"/>
                <w:color w:val="000000"/>
              </w:rPr>
              <w:t>SAE</w:t>
            </w:r>
            <w:r w:rsidRPr="004F076F">
              <w:rPr>
                <w:rFonts w:ascii="Times New Roman" w:hAnsi="Times New Roman" w:cs="Times New Roman"/>
                <w:color w:val="000000"/>
                <w:vertAlign w:val="subscript"/>
              </w:rPr>
              <w:t>Harvests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F0B795" w14:textId="77777777" w:rsidR="00223097" w:rsidRPr="004F076F" w:rsidRDefault="00223097" w:rsidP="008B74B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F076F">
              <w:rPr>
                <w:rFonts w:ascii="Times New Roman" w:hAnsi="Times New Roman" w:cs="Times New Roman"/>
                <w:color w:val="000000"/>
              </w:rPr>
              <w:t>-0.005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BFA359" w14:textId="77777777" w:rsidR="00223097" w:rsidRPr="004F076F" w:rsidRDefault="00223097" w:rsidP="008B74B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F076F">
              <w:rPr>
                <w:rFonts w:ascii="Times New Roman" w:hAnsi="Times New Roman" w:cs="Times New Roman"/>
                <w:color w:val="000000"/>
              </w:rPr>
              <w:t>0.005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EA6D77" w14:textId="77777777" w:rsidR="00223097" w:rsidRPr="004F076F" w:rsidRDefault="00223097" w:rsidP="008B74B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F076F">
              <w:rPr>
                <w:rFonts w:ascii="Times New Roman" w:hAnsi="Times New Roman" w:cs="Times New Roman"/>
                <w:color w:val="000000"/>
              </w:rPr>
              <w:t>-0.994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7649CA" w14:textId="77777777" w:rsidR="00223097" w:rsidRPr="004F076F" w:rsidRDefault="00223097" w:rsidP="008B74B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F076F">
              <w:rPr>
                <w:rFonts w:ascii="Times New Roman" w:hAnsi="Times New Roman" w:cs="Times New Roman"/>
                <w:color w:val="000000"/>
              </w:rPr>
              <w:t>0.336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F9C93D" w14:textId="77777777" w:rsidR="00223097" w:rsidRPr="004F076F" w:rsidRDefault="00223097" w:rsidP="008B74B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F076F">
              <w:rPr>
                <w:rFonts w:ascii="Times New Roman" w:hAnsi="Times New Roman" w:cs="Times New Roman"/>
                <w:color w:val="000000"/>
              </w:rPr>
              <w:t>iid</w:t>
            </w:r>
            <w:proofErr w:type="spellEnd"/>
          </w:p>
        </w:tc>
      </w:tr>
      <w:tr w:rsidR="00223097" w:rsidRPr="004F076F" w14:paraId="4605AB37" w14:textId="77777777" w:rsidTr="008B74B1">
        <w:trPr>
          <w:trHeight w:val="32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EC87D" w14:textId="77777777" w:rsidR="00223097" w:rsidRPr="004F076F" w:rsidRDefault="00223097" w:rsidP="008B74B1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F076F">
              <w:rPr>
                <w:rFonts w:ascii="Times New Roman" w:hAnsi="Times New Roman" w:cs="Times New Roman"/>
                <w:color w:val="000000"/>
              </w:rPr>
              <w:t>CPE</w:t>
            </w:r>
            <w:r w:rsidRPr="004F076F">
              <w:rPr>
                <w:rFonts w:ascii="Times New Roman" w:hAnsi="Times New Roman" w:cs="Times New Roman"/>
                <w:color w:val="000000"/>
                <w:vertAlign w:val="subscript"/>
              </w:rPr>
              <w:t>Harvests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E26C5" w14:textId="77777777" w:rsidR="00223097" w:rsidRPr="004F076F" w:rsidRDefault="00223097" w:rsidP="008B74B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F076F">
              <w:rPr>
                <w:rFonts w:ascii="Times New Roman" w:hAnsi="Times New Roman" w:cs="Times New Roman"/>
                <w:color w:val="000000"/>
              </w:rPr>
              <w:t>-0.024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238B7" w14:textId="77777777" w:rsidR="00223097" w:rsidRPr="004F076F" w:rsidRDefault="00223097" w:rsidP="008B74B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F076F">
              <w:rPr>
                <w:rFonts w:ascii="Times New Roman" w:hAnsi="Times New Roman" w:cs="Times New Roman"/>
                <w:color w:val="000000"/>
              </w:rPr>
              <w:t>0.013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6CCEC" w14:textId="77777777" w:rsidR="00223097" w:rsidRPr="004F076F" w:rsidRDefault="00223097" w:rsidP="008B74B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F076F">
              <w:rPr>
                <w:rFonts w:ascii="Times New Roman" w:hAnsi="Times New Roman" w:cs="Times New Roman"/>
                <w:color w:val="000000"/>
              </w:rPr>
              <w:t>-1.887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07119" w14:textId="77777777" w:rsidR="00223097" w:rsidRPr="004F076F" w:rsidRDefault="00223097" w:rsidP="008B74B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F076F">
              <w:rPr>
                <w:rFonts w:ascii="Times New Roman" w:hAnsi="Times New Roman" w:cs="Times New Roman"/>
                <w:color w:val="000000"/>
              </w:rPr>
              <w:t>0.079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F8D20" w14:textId="77777777" w:rsidR="00223097" w:rsidRPr="004F076F" w:rsidRDefault="00223097" w:rsidP="008B74B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4F076F">
              <w:rPr>
                <w:rFonts w:ascii="Times New Roman" w:hAnsi="Times New Roman" w:cs="Times New Roman"/>
                <w:color w:val="000000"/>
              </w:rPr>
              <w:t>AR(</w:t>
            </w:r>
            <w:proofErr w:type="gramEnd"/>
            <w:r w:rsidRPr="004F076F">
              <w:rPr>
                <w:rFonts w:ascii="Times New Roman" w:hAnsi="Times New Roman" w:cs="Times New Roman"/>
                <w:color w:val="000000"/>
              </w:rPr>
              <w:t>1)</w:t>
            </w:r>
          </w:p>
        </w:tc>
      </w:tr>
    </w:tbl>
    <w:p w14:paraId="50E00746" w14:textId="77777777" w:rsidR="003C0D88" w:rsidRPr="004F076F" w:rsidRDefault="003C0D88" w:rsidP="003C0D88">
      <w:pPr>
        <w:pStyle w:val="Caption"/>
        <w:keepNext/>
        <w:spacing w:line="480" w:lineRule="auto"/>
      </w:pPr>
    </w:p>
    <w:p w14:paraId="4CB39251" w14:textId="5950EE41" w:rsidR="003C0D88" w:rsidRPr="004F076F" w:rsidRDefault="003C0D88" w:rsidP="003C0D88">
      <w:pPr>
        <w:pStyle w:val="Caption"/>
        <w:keepNext/>
        <w:spacing w:line="480" w:lineRule="auto"/>
      </w:pPr>
      <w:r w:rsidRPr="0053635D">
        <w:rPr>
          <w:b/>
          <w:bCs/>
        </w:rPr>
        <w:t>Table S</w:t>
      </w:r>
      <w:r w:rsidR="00DF64FD" w:rsidRPr="0053635D">
        <w:rPr>
          <w:b/>
          <w:bCs/>
        </w:rPr>
        <w:t>4</w:t>
      </w:r>
      <w:r w:rsidRPr="0053635D">
        <w:rPr>
          <w:b/>
          <w:bCs/>
        </w:rPr>
        <w:t>.</w:t>
      </w:r>
      <w:r w:rsidRPr="004F076F">
        <w:t xml:space="preserve"> Statistics from linear models evaluating interannual temporal trends in within-year weighted-average month of harvest, where weights are monthly harvests in the Virginia portion of Chesapeake Bay over 2002-2018. </w:t>
      </w:r>
    </w:p>
    <w:tbl>
      <w:tblPr>
        <w:tblW w:w="10070" w:type="dxa"/>
        <w:tblInd w:w="60" w:type="dxa"/>
        <w:tblLook w:val="04A0" w:firstRow="1" w:lastRow="0" w:firstColumn="1" w:lastColumn="0" w:noHBand="0" w:noVBand="1"/>
      </w:tblPr>
      <w:tblGrid>
        <w:gridCol w:w="1799"/>
        <w:gridCol w:w="2371"/>
        <w:gridCol w:w="1710"/>
        <w:gridCol w:w="1260"/>
        <w:gridCol w:w="1080"/>
        <w:gridCol w:w="1850"/>
      </w:tblGrid>
      <w:tr w:rsidR="003C0D88" w:rsidRPr="004F076F" w14:paraId="26536030" w14:textId="77777777" w:rsidTr="00870074">
        <w:trPr>
          <w:trHeight w:val="342"/>
        </w:trPr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010E4F" w14:textId="77777777" w:rsidR="003C0D88" w:rsidRPr="004F076F" w:rsidRDefault="003C0D88" w:rsidP="008B74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076F">
              <w:rPr>
                <w:rFonts w:ascii="Times New Roman" w:hAnsi="Times New Roman" w:cs="Times New Roman"/>
                <w:b/>
                <w:bCs/>
              </w:rPr>
              <w:t>Species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8EC137" w14:textId="77777777" w:rsidR="003C0D88" w:rsidRPr="004F076F" w:rsidRDefault="003C0D88" w:rsidP="008B74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076F">
              <w:rPr>
                <w:rFonts w:ascii="Times New Roman" w:hAnsi="Times New Roman" w:cs="Times New Roman"/>
                <w:b/>
                <w:bCs/>
              </w:rPr>
              <w:t xml:space="preserve">Trend (month </w:t>
            </w:r>
            <w:proofErr w:type="gramStart"/>
            <w:r w:rsidRPr="004F076F">
              <w:rPr>
                <w:rFonts w:ascii="Times New Roman" w:hAnsi="Times New Roman" w:cs="Times New Roman"/>
                <w:b/>
                <w:bCs/>
              </w:rPr>
              <w:t>year</w:t>
            </w:r>
            <w:r w:rsidRPr="004F076F">
              <w:rPr>
                <w:rFonts w:ascii="Times New Roman" w:hAnsi="Times New Roman" w:cs="Times New Roman"/>
                <w:b/>
                <w:bCs/>
                <w:vertAlign w:val="superscript"/>
              </w:rPr>
              <w:t>-1</w:t>
            </w:r>
            <w:proofErr w:type="gramEnd"/>
            <w:r w:rsidRPr="004F076F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9756FC" w14:textId="77777777" w:rsidR="003C0D88" w:rsidRPr="004F076F" w:rsidRDefault="003C0D88" w:rsidP="008B74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076F">
              <w:rPr>
                <w:rFonts w:ascii="Times New Roman" w:hAnsi="Times New Roman" w:cs="Times New Roman"/>
                <w:b/>
                <w:bCs/>
              </w:rPr>
              <w:t>Std. error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F0F2FD" w14:textId="77777777" w:rsidR="003C0D88" w:rsidRPr="004F076F" w:rsidRDefault="003C0D88" w:rsidP="008B74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076F">
              <w:rPr>
                <w:rFonts w:ascii="Times New Roman" w:hAnsi="Times New Roman" w:cs="Times New Roman"/>
                <w:b/>
                <w:bCs/>
              </w:rPr>
              <w:t>T statistic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A6AE0E" w14:textId="77777777" w:rsidR="003C0D88" w:rsidRPr="004F076F" w:rsidRDefault="003C0D88" w:rsidP="008B74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076F">
              <w:rPr>
                <w:rFonts w:ascii="Times New Roman" w:hAnsi="Times New Roman" w:cs="Times New Roman"/>
                <w:b/>
                <w:bCs/>
              </w:rPr>
              <w:t>P value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6FEFE8" w14:textId="77777777" w:rsidR="003C0D88" w:rsidRPr="004F076F" w:rsidRDefault="003C0D88" w:rsidP="008B74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076F">
              <w:rPr>
                <w:rFonts w:ascii="Times New Roman" w:hAnsi="Times New Roman" w:cs="Times New Roman"/>
                <w:b/>
                <w:bCs/>
              </w:rPr>
              <w:t>Error structure</w:t>
            </w:r>
          </w:p>
        </w:tc>
      </w:tr>
      <w:tr w:rsidR="003C0D88" w:rsidRPr="004F076F" w14:paraId="015A5D68" w14:textId="77777777" w:rsidTr="00870074">
        <w:trPr>
          <w:trHeight w:val="320"/>
        </w:trPr>
        <w:tc>
          <w:tcPr>
            <w:tcW w:w="17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DE129" w14:textId="77777777" w:rsidR="003C0D88" w:rsidRPr="004F076F" w:rsidRDefault="003C0D88" w:rsidP="008B74B1">
            <w:pPr>
              <w:rPr>
                <w:rFonts w:ascii="Times New Roman" w:hAnsi="Times New Roman" w:cs="Times New Roman"/>
              </w:rPr>
            </w:pPr>
            <w:r w:rsidRPr="004F076F">
              <w:rPr>
                <w:rFonts w:ascii="Times New Roman" w:hAnsi="Times New Roman" w:cs="Times New Roman"/>
              </w:rPr>
              <w:t>Atlantic croaker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C5ED" w14:textId="77777777" w:rsidR="003C0D88" w:rsidRPr="004F076F" w:rsidRDefault="003C0D88" w:rsidP="008B74B1">
            <w:pPr>
              <w:jc w:val="center"/>
              <w:rPr>
                <w:rFonts w:ascii="Times New Roman" w:hAnsi="Times New Roman" w:cs="Times New Roman"/>
              </w:rPr>
            </w:pPr>
            <w:r w:rsidRPr="004F076F">
              <w:rPr>
                <w:rFonts w:ascii="Times New Roman" w:hAnsi="Times New Roman" w:cs="Times New Roman"/>
              </w:rPr>
              <w:t>0.089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CDB62" w14:textId="77777777" w:rsidR="003C0D88" w:rsidRPr="004F076F" w:rsidRDefault="003C0D88" w:rsidP="008B74B1">
            <w:pPr>
              <w:jc w:val="center"/>
              <w:rPr>
                <w:rFonts w:ascii="Times New Roman" w:hAnsi="Times New Roman" w:cs="Times New Roman"/>
              </w:rPr>
            </w:pPr>
            <w:r w:rsidRPr="004F076F">
              <w:rPr>
                <w:rFonts w:ascii="Times New Roman" w:hAnsi="Times New Roman" w:cs="Times New Roman"/>
              </w:rPr>
              <w:t>0.014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009D" w14:textId="77777777" w:rsidR="003C0D88" w:rsidRPr="004F076F" w:rsidRDefault="003C0D88" w:rsidP="008B74B1">
            <w:pPr>
              <w:jc w:val="center"/>
              <w:rPr>
                <w:rFonts w:ascii="Times New Roman" w:hAnsi="Times New Roman" w:cs="Times New Roman"/>
              </w:rPr>
            </w:pPr>
            <w:r w:rsidRPr="004F076F">
              <w:rPr>
                <w:rFonts w:ascii="Times New Roman" w:hAnsi="Times New Roman" w:cs="Times New Roman"/>
              </w:rPr>
              <w:t>6.241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61D8" w14:textId="77777777" w:rsidR="003C0D88" w:rsidRPr="004F076F" w:rsidRDefault="003C0D88" w:rsidP="008B74B1">
            <w:pPr>
              <w:jc w:val="center"/>
              <w:rPr>
                <w:rFonts w:ascii="Times New Roman" w:hAnsi="Times New Roman" w:cs="Times New Roman"/>
              </w:rPr>
            </w:pPr>
            <w:r w:rsidRPr="004F076F">
              <w:rPr>
                <w:rFonts w:ascii="Times New Roman" w:hAnsi="Times New Roman" w:cs="Times New Roman"/>
              </w:rPr>
              <w:t>&lt;0.001</w:t>
            </w: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BA15F" w14:textId="77777777" w:rsidR="003C0D88" w:rsidRPr="004F076F" w:rsidRDefault="003C0D88" w:rsidP="008B74B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F076F">
              <w:rPr>
                <w:rFonts w:ascii="Times New Roman" w:hAnsi="Times New Roman" w:cs="Times New Roman"/>
              </w:rPr>
              <w:t>iid</w:t>
            </w:r>
            <w:proofErr w:type="spellEnd"/>
          </w:p>
        </w:tc>
      </w:tr>
      <w:tr w:rsidR="003C0D88" w:rsidRPr="004F076F" w14:paraId="2B53CE26" w14:textId="77777777" w:rsidTr="00870074">
        <w:trPr>
          <w:trHeight w:val="320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E127C" w14:textId="77777777" w:rsidR="003C0D88" w:rsidRPr="004F076F" w:rsidRDefault="003C0D88" w:rsidP="008B74B1">
            <w:pPr>
              <w:rPr>
                <w:rFonts w:ascii="Times New Roman" w:hAnsi="Times New Roman" w:cs="Times New Roman"/>
              </w:rPr>
            </w:pPr>
            <w:r w:rsidRPr="004F076F">
              <w:rPr>
                <w:rFonts w:ascii="Times New Roman" w:hAnsi="Times New Roman" w:cs="Times New Roman"/>
              </w:rPr>
              <w:t>spot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7DF43" w14:textId="77777777" w:rsidR="003C0D88" w:rsidRPr="004F076F" w:rsidRDefault="003C0D88" w:rsidP="008B74B1">
            <w:pPr>
              <w:jc w:val="center"/>
              <w:rPr>
                <w:rFonts w:ascii="Times New Roman" w:hAnsi="Times New Roman" w:cs="Times New Roman"/>
              </w:rPr>
            </w:pPr>
            <w:r w:rsidRPr="004F076F">
              <w:rPr>
                <w:rFonts w:ascii="Times New Roman" w:hAnsi="Times New Roman" w:cs="Times New Roman"/>
              </w:rPr>
              <w:t>-0.001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E5DF" w14:textId="77777777" w:rsidR="003C0D88" w:rsidRPr="004F076F" w:rsidRDefault="003C0D88" w:rsidP="008B74B1">
            <w:pPr>
              <w:jc w:val="center"/>
              <w:rPr>
                <w:rFonts w:ascii="Times New Roman" w:hAnsi="Times New Roman" w:cs="Times New Roman"/>
              </w:rPr>
            </w:pPr>
            <w:r w:rsidRPr="004F076F">
              <w:rPr>
                <w:rFonts w:ascii="Times New Roman" w:hAnsi="Times New Roman" w:cs="Times New Roman"/>
              </w:rPr>
              <w:t>0.011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3CAF" w14:textId="77777777" w:rsidR="003C0D88" w:rsidRPr="004F076F" w:rsidRDefault="003C0D88" w:rsidP="008B74B1">
            <w:pPr>
              <w:jc w:val="center"/>
              <w:rPr>
                <w:rFonts w:ascii="Times New Roman" w:hAnsi="Times New Roman" w:cs="Times New Roman"/>
              </w:rPr>
            </w:pPr>
            <w:r w:rsidRPr="004F076F">
              <w:rPr>
                <w:rFonts w:ascii="Times New Roman" w:hAnsi="Times New Roman" w:cs="Times New Roman"/>
              </w:rPr>
              <w:t>-0.092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C08C" w14:textId="77777777" w:rsidR="003C0D88" w:rsidRPr="004F076F" w:rsidRDefault="003C0D88" w:rsidP="008B74B1">
            <w:pPr>
              <w:jc w:val="center"/>
              <w:rPr>
                <w:rFonts w:ascii="Times New Roman" w:hAnsi="Times New Roman" w:cs="Times New Roman"/>
              </w:rPr>
            </w:pPr>
            <w:r w:rsidRPr="004F076F">
              <w:rPr>
                <w:rFonts w:ascii="Times New Roman" w:hAnsi="Times New Roman" w:cs="Times New Roman"/>
              </w:rPr>
              <w:t>0.928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E6C77" w14:textId="77777777" w:rsidR="003C0D88" w:rsidRPr="004F076F" w:rsidRDefault="003C0D88" w:rsidP="008B74B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F076F">
              <w:rPr>
                <w:rFonts w:ascii="Times New Roman" w:hAnsi="Times New Roman" w:cs="Times New Roman"/>
              </w:rPr>
              <w:t>iid</w:t>
            </w:r>
            <w:proofErr w:type="spellEnd"/>
          </w:p>
        </w:tc>
      </w:tr>
      <w:tr w:rsidR="003C0D88" w:rsidRPr="004F076F" w14:paraId="0ABA4791" w14:textId="77777777" w:rsidTr="00870074">
        <w:trPr>
          <w:trHeight w:val="320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85521" w14:textId="77777777" w:rsidR="003C0D88" w:rsidRPr="004F076F" w:rsidRDefault="003C0D88" w:rsidP="008B74B1">
            <w:pPr>
              <w:rPr>
                <w:rFonts w:ascii="Times New Roman" w:hAnsi="Times New Roman" w:cs="Times New Roman"/>
              </w:rPr>
            </w:pPr>
            <w:r w:rsidRPr="004F076F">
              <w:rPr>
                <w:rFonts w:ascii="Times New Roman" w:hAnsi="Times New Roman" w:cs="Times New Roman"/>
              </w:rPr>
              <w:t>striped bass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6BE36" w14:textId="77777777" w:rsidR="003C0D88" w:rsidRPr="004F076F" w:rsidRDefault="003C0D88" w:rsidP="008B74B1">
            <w:pPr>
              <w:jc w:val="center"/>
              <w:rPr>
                <w:rFonts w:ascii="Times New Roman" w:hAnsi="Times New Roman" w:cs="Times New Roman"/>
              </w:rPr>
            </w:pPr>
            <w:r w:rsidRPr="004F076F">
              <w:rPr>
                <w:rFonts w:ascii="Times New Roman" w:hAnsi="Times New Roman" w:cs="Times New Roman"/>
              </w:rPr>
              <w:t>-0.129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F4AF" w14:textId="77777777" w:rsidR="003C0D88" w:rsidRPr="004F076F" w:rsidRDefault="003C0D88" w:rsidP="008B74B1">
            <w:pPr>
              <w:jc w:val="center"/>
              <w:rPr>
                <w:rFonts w:ascii="Times New Roman" w:hAnsi="Times New Roman" w:cs="Times New Roman"/>
              </w:rPr>
            </w:pPr>
            <w:r w:rsidRPr="004F076F">
              <w:rPr>
                <w:rFonts w:ascii="Times New Roman" w:hAnsi="Times New Roman" w:cs="Times New Roman"/>
              </w:rPr>
              <w:t>0.019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6B9F6" w14:textId="77777777" w:rsidR="003C0D88" w:rsidRPr="004F076F" w:rsidRDefault="003C0D88" w:rsidP="008B74B1">
            <w:pPr>
              <w:jc w:val="center"/>
              <w:rPr>
                <w:rFonts w:ascii="Times New Roman" w:hAnsi="Times New Roman" w:cs="Times New Roman"/>
              </w:rPr>
            </w:pPr>
            <w:r w:rsidRPr="004F076F">
              <w:rPr>
                <w:rFonts w:ascii="Times New Roman" w:hAnsi="Times New Roman" w:cs="Times New Roman"/>
              </w:rPr>
              <w:t>-6.694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8EAC8" w14:textId="77777777" w:rsidR="003C0D88" w:rsidRPr="004F076F" w:rsidRDefault="003C0D88" w:rsidP="008B74B1">
            <w:pPr>
              <w:jc w:val="center"/>
              <w:rPr>
                <w:rFonts w:ascii="Times New Roman" w:hAnsi="Times New Roman" w:cs="Times New Roman"/>
              </w:rPr>
            </w:pPr>
            <w:r w:rsidRPr="004F076F">
              <w:rPr>
                <w:rFonts w:ascii="Times New Roman" w:hAnsi="Times New Roman" w:cs="Times New Roman"/>
              </w:rPr>
              <w:t>&lt;0.001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3E161" w14:textId="77777777" w:rsidR="003C0D88" w:rsidRPr="004F076F" w:rsidRDefault="003C0D88" w:rsidP="008B74B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F076F">
              <w:rPr>
                <w:rFonts w:ascii="Times New Roman" w:hAnsi="Times New Roman" w:cs="Times New Roman"/>
              </w:rPr>
              <w:t>iid</w:t>
            </w:r>
            <w:proofErr w:type="spellEnd"/>
          </w:p>
        </w:tc>
      </w:tr>
    </w:tbl>
    <w:p w14:paraId="59D0A076" w14:textId="77777777" w:rsidR="00006F27" w:rsidRDefault="00006F27" w:rsidP="00006F27">
      <w:pPr>
        <w:pStyle w:val="Caption"/>
        <w:keepNext/>
        <w:spacing w:line="480" w:lineRule="auto"/>
        <w:rPr>
          <w:b/>
          <w:bCs/>
        </w:rPr>
      </w:pPr>
    </w:p>
    <w:p w14:paraId="4F1BC0C1" w14:textId="79900DC4" w:rsidR="00006F27" w:rsidRPr="00AF35D5" w:rsidRDefault="00006F27" w:rsidP="00006F27">
      <w:pPr>
        <w:pStyle w:val="Caption"/>
        <w:keepNext/>
        <w:spacing w:line="480" w:lineRule="auto"/>
      </w:pPr>
      <w:r w:rsidRPr="00AF35D5">
        <w:rPr>
          <w:b/>
          <w:bCs/>
        </w:rPr>
        <w:t>Table S</w:t>
      </w:r>
      <w:r w:rsidR="00FB32A7">
        <w:rPr>
          <w:b/>
          <w:bCs/>
        </w:rPr>
        <w:t>5</w:t>
      </w:r>
      <w:r w:rsidRPr="00AF35D5">
        <w:rPr>
          <w:b/>
          <w:bCs/>
        </w:rPr>
        <w:t>.</w:t>
      </w:r>
      <w:r w:rsidRPr="00AF35D5">
        <w:t xml:space="preserve"> Statistics from linear models evaluating interannual temporal trends in within-year portfolio harvest stability (</w:t>
      </w:r>
      <w:proofErr w:type="spellStart"/>
      <w:proofErr w:type="gramStart"/>
      <w:r w:rsidRPr="00AF35D5">
        <w:t>S</w:t>
      </w:r>
      <w:r w:rsidRPr="00AF35D5">
        <w:rPr>
          <w:vertAlign w:val="subscript"/>
        </w:rPr>
        <w:t>Portfolio,L</w:t>
      </w:r>
      <w:proofErr w:type="spellEnd"/>
      <w:proofErr w:type="gramEnd"/>
      <w:r w:rsidRPr="00AF35D5">
        <w:t>) in Maryland and Virginia regions of the Chesapeake Bay over 2002-2018.</w:t>
      </w:r>
    </w:p>
    <w:tbl>
      <w:tblPr>
        <w:tblW w:w="9720" w:type="dxa"/>
        <w:tblLook w:val="04A0" w:firstRow="1" w:lastRow="0" w:firstColumn="1" w:lastColumn="0" w:noHBand="0" w:noVBand="1"/>
      </w:tblPr>
      <w:tblGrid>
        <w:gridCol w:w="1300"/>
        <w:gridCol w:w="1323"/>
        <w:gridCol w:w="1300"/>
        <w:gridCol w:w="1300"/>
        <w:gridCol w:w="1527"/>
        <w:gridCol w:w="1073"/>
        <w:gridCol w:w="1897"/>
      </w:tblGrid>
      <w:tr w:rsidR="00006F27" w:rsidRPr="00AF35D5" w14:paraId="1646288B" w14:textId="77777777" w:rsidTr="008B74B1">
        <w:trPr>
          <w:trHeight w:val="837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E81C1" w14:textId="77777777" w:rsidR="00006F27" w:rsidRPr="00AF35D5" w:rsidRDefault="00006F27" w:rsidP="008B74B1">
            <w:pPr>
              <w:rPr>
                <w:rFonts w:ascii="Times New Roman" w:hAnsi="Times New Roman" w:cs="Times New Roman"/>
                <w:b/>
                <w:bCs/>
              </w:rPr>
            </w:pPr>
            <w:r w:rsidRPr="00AF35D5">
              <w:rPr>
                <w:rFonts w:ascii="Times New Roman" w:hAnsi="Times New Roman" w:cs="Times New Roman"/>
                <w:b/>
                <w:bCs/>
              </w:rPr>
              <w:t>Region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84BA8F" w14:textId="77777777" w:rsidR="00006F27" w:rsidRPr="00AF35D5" w:rsidRDefault="00006F27" w:rsidP="008B74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F35D5">
              <w:rPr>
                <w:rFonts w:ascii="Times New Roman" w:hAnsi="Times New Roman" w:cs="Times New Roman"/>
                <w:b/>
                <w:bCs/>
              </w:rPr>
              <w:t xml:space="preserve">Term (stability year </w:t>
            </w:r>
            <w:r w:rsidRPr="00AF35D5">
              <w:rPr>
                <w:rFonts w:ascii="Times New Roman" w:hAnsi="Times New Roman" w:cs="Times New Roman"/>
                <w:b/>
                <w:bCs/>
                <w:vertAlign w:val="superscript"/>
              </w:rPr>
              <w:t>-1</w:t>
            </w:r>
            <w:r w:rsidRPr="00AF35D5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F5B3B9" w14:textId="77777777" w:rsidR="00006F27" w:rsidRPr="00AF35D5" w:rsidRDefault="00006F27" w:rsidP="008B74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F35D5">
              <w:rPr>
                <w:rFonts w:ascii="Times New Roman" w:hAnsi="Times New Roman" w:cs="Times New Roman"/>
                <w:b/>
                <w:bCs/>
              </w:rPr>
              <w:t>Trend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FCADC1" w14:textId="77777777" w:rsidR="00006F27" w:rsidRPr="00AF35D5" w:rsidRDefault="00006F27" w:rsidP="008B74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F35D5">
              <w:rPr>
                <w:rFonts w:ascii="Times New Roman" w:hAnsi="Times New Roman" w:cs="Times New Roman"/>
                <w:b/>
                <w:bCs/>
              </w:rPr>
              <w:t>Std. error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28E05" w14:textId="77777777" w:rsidR="00006F27" w:rsidRPr="00AF35D5" w:rsidRDefault="00006F27" w:rsidP="008B74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F35D5">
              <w:rPr>
                <w:rFonts w:ascii="Times New Roman" w:hAnsi="Times New Roman" w:cs="Times New Roman"/>
                <w:b/>
                <w:bCs/>
              </w:rPr>
              <w:t>T statistic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F258A" w14:textId="77777777" w:rsidR="00006F27" w:rsidRPr="00AF35D5" w:rsidRDefault="00006F27" w:rsidP="008B74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F35D5">
              <w:rPr>
                <w:rFonts w:ascii="Times New Roman" w:hAnsi="Times New Roman" w:cs="Times New Roman"/>
                <w:b/>
                <w:bCs/>
              </w:rPr>
              <w:t>P value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C0032A" w14:textId="77777777" w:rsidR="00006F27" w:rsidRPr="00AF35D5" w:rsidRDefault="00006F27" w:rsidP="008B74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F35D5">
              <w:rPr>
                <w:rFonts w:ascii="Times New Roman" w:hAnsi="Times New Roman" w:cs="Times New Roman"/>
                <w:b/>
                <w:bCs/>
              </w:rPr>
              <w:t>Error structure</w:t>
            </w:r>
          </w:p>
        </w:tc>
      </w:tr>
      <w:tr w:rsidR="00006F27" w:rsidRPr="00AF35D5" w14:paraId="4E84BF0F" w14:textId="77777777" w:rsidTr="008B74B1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1E83" w14:textId="77777777" w:rsidR="00006F27" w:rsidRPr="00AF35D5" w:rsidRDefault="00006F27" w:rsidP="008B74B1">
            <w:pPr>
              <w:rPr>
                <w:rFonts w:ascii="Times New Roman" w:hAnsi="Times New Roman" w:cs="Times New Roman"/>
              </w:rPr>
            </w:pPr>
            <w:r w:rsidRPr="00AF35D5">
              <w:rPr>
                <w:rFonts w:ascii="Times New Roman" w:hAnsi="Times New Roman" w:cs="Times New Roman"/>
              </w:rPr>
              <w:t>Maryland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3C0B" w14:textId="77777777" w:rsidR="00006F27" w:rsidRPr="00AF35D5" w:rsidRDefault="00006F27" w:rsidP="008B74B1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 w:rsidRPr="00AF35D5">
              <w:rPr>
                <w:rFonts w:ascii="Times New Roman" w:hAnsi="Times New Roman" w:cs="Times New Roman"/>
              </w:rPr>
              <w:t>S</w:t>
            </w:r>
            <w:r w:rsidRPr="00AF35D5">
              <w:rPr>
                <w:rFonts w:ascii="Times New Roman" w:hAnsi="Times New Roman" w:cs="Times New Roman"/>
                <w:vertAlign w:val="subscript"/>
              </w:rPr>
              <w:t>Portfolio</w:t>
            </w:r>
            <w:proofErr w:type="spellEnd"/>
            <w:r w:rsidRPr="00AF35D5">
              <w:rPr>
                <w:rFonts w:ascii="Times New Roman" w:hAnsi="Times New Roman" w:cs="Times New Roman"/>
                <w:vertAlign w:val="subscript"/>
              </w:rPr>
              <w:t>, L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D2B2A" w14:textId="77777777" w:rsidR="00006F27" w:rsidRPr="00AF35D5" w:rsidRDefault="00006F27" w:rsidP="008B74B1">
            <w:pPr>
              <w:jc w:val="center"/>
              <w:rPr>
                <w:rFonts w:ascii="Times New Roman" w:hAnsi="Times New Roman" w:cs="Times New Roman"/>
              </w:rPr>
            </w:pPr>
            <w:r w:rsidRPr="00AF35D5">
              <w:rPr>
                <w:rFonts w:ascii="Times New Roman" w:hAnsi="Times New Roman" w:cs="Times New Roman"/>
              </w:rPr>
              <w:t>-0.002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DACD" w14:textId="77777777" w:rsidR="00006F27" w:rsidRPr="00AF35D5" w:rsidRDefault="00006F27" w:rsidP="008B74B1">
            <w:pPr>
              <w:jc w:val="center"/>
              <w:rPr>
                <w:rFonts w:ascii="Times New Roman" w:hAnsi="Times New Roman" w:cs="Times New Roman"/>
              </w:rPr>
            </w:pPr>
            <w:r w:rsidRPr="00AF35D5">
              <w:rPr>
                <w:rFonts w:ascii="Times New Roman" w:hAnsi="Times New Roman" w:cs="Times New Roman"/>
              </w:rPr>
              <w:t>0.014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FBDB7" w14:textId="77777777" w:rsidR="00006F27" w:rsidRPr="00AF35D5" w:rsidRDefault="00006F27" w:rsidP="008B74B1">
            <w:pPr>
              <w:jc w:val="center"/>
              <w:rPr>
                <w:rFonts w:ascii="Times New Roman" w:hAnsi="Times New Roman" w:cs="Times New Roman"/>
              </w:rPr>
            </w:pPr>
            <w:r w:rsidRPr="00AF35D5">
              <w:rPr>
                <w:rFonts w:ascii="Times New Roman" w:hAnsi="Times New Roman" w:cs="Times New Roman"/>
              </w:rPr>
              <w:t>-0.158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E0E1E" w14:textId="77777777" w:rsidR="00006F27" w:rsidRPr="00AF35D5" w:rsidRDefault="00006F27" w:rsidP="008B74B1">
            <w:pPr>
              <w:jc w:val="center"/>
              <w:rPr>
                <w:rFonts w:ascii="Times New Roman" w:hAnsi="Times New Roman" w:cs="Times New Roman"/>
              </w:rPr>
            </w:pPr>
            <w:r w:rsidRPr="00AF35D5">
              <w:rPr>
                <w:rFonts w:ascii="Times New Roman" w:hAnsi="Times New Roman" w:cs="Times New Roman"/>
              </w:rPr>
              <w:t>0.877</w:t>
            </w:r>
          </w:p>
        </w:tc>
        <w:tc>
          <w:tcPr>
            <w:tcW w:w="18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05975" w14:textId="77777777" w:rsidR="00006F27" w:rsidRPr="00AF35D5" w:rsidRDefault="00006F27" w:rsidP="008B74B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35D5">
              <w:rPr>
                <w:rFonts w:ascii="Times New Roman" w:hAnsi="Times New Roman" w:cs="Times New Roman"/>
              </w:rPr>
              <w:t>iid</w:t>
            </w:r>
            <w:proofErr w:type="spellEnd"/>
          </w:p>
        </w:tc>
      </w:tr>
      <w:tr w:rsidR="00006F27" w:rsidRPr="00AF35D5" w14:paraId="7D2CC7F1" w14:textId="77777777" w:rsidTr="008B74B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28F52" w14:textId="77777777" w:rsidR="00006F27" w:rsidRPr="00AF35D5" w:rsidRDefault="00006F27" w:rsidP="008B74B1">
            <w:pPr>
              <w:rPr>
                <w:rFonts w:ascii="Times New Roman" w:hAnsi="Times New Roman" w:cs="Times New Roman"/>
              </w:rPr>
            </w:pPr>
            <w:r w:rsidRPr="00AF35D5">
              <w:rPr>
                <w:rFonts w:ascii="Times New Roman" w:hAnsi="Times New Roman" w:cs="Times New Roman"/>
              </w:rPr>
              <w:t>Virginia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113B4" w14:textId="77777777" w:rsidR="00006F27" w:rsidRPr="00AF35D5" w:rsidRDefault="00006F27" w:rsidP="008B74B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35D5">
              <w:rPr>
                <w:rFonts w:ascii="Times New Roman" w:hAnsi="Times New Roman" w:cs="Times New Roman"/>
              </w:rPr>
              <w:t>S</w:t>
            </w:r>
            <w:r w:rsidRPr="00AF35D5">
              <w:rPr>
                <w:rFonts w:ascii="Times New Roman" w:hAnsi="Times New Roman" w:cs="Times New Roman"/>
                <w:vertAlign w:val="subscript"/>
              </w:rPr>
              <w:t>Portfolio</w:t>
            </w:r>
            <w:proofErr w:type="spellEnd"/>
            <w:r w:rsidRPr="00AF35D5">
              <w:rPr>
                <w:rFonts w:ascii="Times New Roman" w:hAnsi="Times New Roman" w:cs="Times New Roman"/>
                <w:vertAlign w:val="subscript"/>
              </w:rPr>
              <w:t>, 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D535" w14:textId="77777777" w:rsidR="00006F27" w:rsidRPr="00AF35D5" w:rsidRDefault="00006F27" w:rsidP="008B74B1">
            <w:pPr>
              <w:jc w:val="center"/>
              <w:rPr>
                <w:rFonts w:ascii="Times New Roman" w:hAnsi="Times New Roman" w:cs="Times New Roman"/>
              </w:rPr>
            </w:pPr>
            <w:r w:rsidRPr="00AF35D5">
              <w:rPr>
                <w:rFonts w:ascii="Times New Roman" w:hAnsi="Times New Roman" w:cs="Times New Roman"/>
              </w:rPr>
              <w:t>-0.043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0C8D" w14:textId="77777777" w:rsidR="00006F27" w:rsidRPr="00AF35D5" w:rsidRDefault="00006F27" w:rsidP="008B74B1">
            <w:pPr>
              <w:jc w:val="center"/>
              <w:rPr>
                <w:rFonts w:ascii="Times New Roman" w:hAnsi="Times New Roman" w:cs="Times New Roman"/>
              </w:rPr>
            </w:pPr>
            <w:r w:rsidRPr="00AF35D5">
              <w:rPr>
                <w:rFonts w:ascii="Times New Roman" w:hAnsi="Times New Roman" w:cs="Times New Roman"/>
              </w:rPr>
              <w:t>0.008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33CD7" w14:textId="77777777" w:rsidR="00006F27" w:rsidRPr="00AF35D5" w:rsidRDefault="00006F27" w:rsidP="008B74B1">
            <w:pPr>
              <w:jc w:val="center"/>
              <w:rPr>
                <w:rFonts w:ascii="Times New Roman" w:hAnsi="Times New Roman" w:cs="Times New Roman"/>
              </w:rPr>
            </w:pPr>
            <w:r w:rsidRPr="00AF35D5">
              <w:rPr>
                <w:rFonts w:ascii="Times New Roman" w:hAnsi="Times New Roman" w:cs="Times New Roman"/>
              </w:rPr>
              <w:t>-5.130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1BFC0" w14:textId="77777777" w:rsidR="00006F27" w:rsidRPr="00AF35D5" w:rsidRDefault="00006F27" w:rsidP="008B74B1">
            <w:pPr>
              <w:jc w:val="center"/>
              <w:rPr>
                <w:rFonts w:ascii="Times New Roman" w:hAnsi="Times New Roman" w:cs="Times New Roman"/>
              </w:rPr>
            </w:pPr>
            <w:r w:rsidRPr="00AF35D5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5F2B5" w14:textId="77777777" w:rsidR="00006F27" w:rsidRPr="00AF35D5" w:rsidRDefault="00006F27" w:rsidP="008B74B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35D5">
              <w:rPr>
                <w:rFonts w:ascii="Times New Roman" w:hAnsi="Times New Roman" w:cs="Times New Roman"/>
              </w:rPr>
              <w:t>iid</w:t>
            </w:r>
            <w:proofErr w:type="spellEnd"/>
          </w:p>
        </w:tc>
      </w:tr>
    </w:tbl>
    <w:p w14:paraId="5A165D50" w14:textId="77777777" w:rsidR="003C0D88" w:rsidRPr="00AF35D5" w:rsidRDefault="003C0D88" w:rsidP="00223097">
      <w:pPr>
        <w:spacing w:line="480" w:lineRule="auto"/>
        <w:rPr>
          <w:rFonts w:ascii="Times New Roman" w:hAnsi="Times New Roman" w:cs="Times New Roman"/>
        </w:rPr>
      </w:pPr>
    </w:p>
    <w:p w14:paraId="1AFD19E2" w14:textId="160E0BE6" w:rsidR="00B409A3" w:rsidRPr="004F076F" w:rsidRDefault="00B07586" w:rsidP="00B07586">
      <w:pPr>
        <w:pStyle w:val="Heading1a"/>
      </w:pPr>
      <w:r w:rsidRPr="004F076F">
        <w:t>References</w:t>
      </w:r>
    </w:p>
    <w:p w14:paraId="14E6E6C1" w14:textId="77777777" w:rsidR="00223097" w:rsidRPr="00223097" w:rsidRDefault="00223097" w:rsidP="00223097">
      <w:pPr>
        <w:pStyle w:val="Heading1a"/>
      </w:pPr>
      <w:r w:rsidRPr="00223097">
        <w:t xml:space="preserve">Anderson, S. C., Ward, E. J., English, P. A., &amp; Barnett, L. A. (2022). </w:t>
      </w:r>
      <w:proofErr w:type="spellStart"/>
      <w:r w:rsidRPr="00223097">
        <w:t>sdmTMB</w:t>
      </w:r>
      <w:proofErr w:type="spellEnd"/>
      <w:r w:rsidRPr="00223097">
        <w:t xml:space="preserve">: an R package for fast, flexible, and user-friendly generalized linear mixed effects models with spatial and spatiotemporal random fields. </w:t>
      </w:r>
      <w:proofErr w:type="spellStart"/>
      <w:r w:rsidRPr="00223097">
        <w:rPr>
          <w:i/>
          <w:iCs/>
        </w:rPr>
        <w:t>bioRxiv</w:t>
      </w:r>
      <w:proofErr w:type="spellEnd"/>
      <w:r w:rsidRPr="00223097">
        <w:t>, 2022–03.</w:t>
      </w:r>
    </w:p>
    <w:p w14:paraId="7EA2E38C" w14:textId="77777777" w:rsidR="00680293" w:rsidRPr="00680293" w:rsidRDefault="00680293" w:rsidP="00680293">
      <w:pPr>
        <w:pStyle w:val="Heading1a"/>
      </w:pPr>
      <w:r w:rsidRPr="00680293">
        <w:t xml:space="preserve">Lindgren, F., &amp; Rue, H. (2015). Bayesian spatial modelling with R-INLA. </w:t>
      </w:r>
      <w:r w:rsidRPr="00680293">
        <w:rPr>
          <w:i/>
          <w:iCs/>
        </w:rPr>
        <w:t>Journal of Statistical Software</w:t>
      </w:r>
      <w:r w:rsidRPr="00680293">
        <w:t xml:space="preserve">, </w:t>
      </w:r>
      <w:r w:rsidRPr="00680293">
        <w:rPr>
          <w:i/>
          <w:iCs/>
        </w:rPr>
        <w:t>63</w:t>
      </w:r>
      <w:r w:rsidRPr="00680293">
        <w:t>(19).</w:t>
      </w:r>
    </w:p>
    <w:p w14:paraId="3AFDE235" w14:textId="77777777" w:rsidR="003C4B9A" w:rsidRPr="003C4B9A" w:rsidRDefault="003C4B9A" w:rsidP="003C4B9A">
      <w:pPr>
        <w:pStyle w:val="Heading1a"/>
      </w:pPr>
      <w:r w:rsidRPr="003C4B9A">
        <w:t xml:space="preserve">Kristensen, K., Nielsen, A., Berg, C. W., Skaug, H., &amp; Bell, B. (2015). TMB: automatic differentiation and Laplace approximation. </w:t>
      </w:r>
      <w:proofErr w:type="spellStart"/>
      <w:r w:rsidRPr="003C4B9A">
        <w:rPr>
          <w:i/>
          <w:iCs/>
        </w:rPr>
        <w:t>arXiv</w:t>
      </w:r>
      <w:proofErr w:type="spellEnd"/>
      <w:r w:rsidRPr="003C4B9A">
        <w:rPr>
          <w:i/>
          <w:iCs/>
        </w:rPr>
        <w:t xml:space="preserve"> Preprint arXiv:1509.00660</w:t>
      </w:r>
      <w:r w:rsidRPr="003C4B9A">
        <w:t>.</w:t>
      </w:r>
    </w:p>
    <w:p w14:paraId="6C1FCC5C" w14:textId="77777777" w:rsidR="00680293" w:rsidRPr="004F076F" w:rsidRDefault="00680293" w:rsidP="00B07586">
      <w:pPr>
        <w:pStyle w:val="Heading1a"/>
      </w:pPr>
    </w:p>
    <w:sectPr w:rsidR="00680293" w:rsidRPr="004F0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82"/>
    <w:rsid w:val="00006F27"/>
    <w:rsid w:val="00063AE0"/>
    <w:rsid w:val="000678D4"/>
    <w:rsid w:val="0015486B"/>
    <w:rsid w:val="001F1C53"/>
    <w:rsid w:val="00223097"/>
    <w:rsid w:val="002D37E6"/>
    <w:rsid w:val="00380771"/>
    <w:rsid w:val="00385C88"/>
    <w:rsid w:val="003C0D88"/>
    <w:rsid w:val="003C4B9A"/>
    <w:rsid w:val="00452993"/>
    <w:rsid w:val="004C1A82"/>
    <w:rsid w:val="004C4C44"/>
    <w:rsid w:val="004F076F"/>
    <w:rsid w:val="0053635D"/>
    <w:rsid w:val="00592075"/>
    <w:rsid w:val="005F3AB6"/>
    <w:rsid w:val="00680293"/>
    <w:rsid w:val="00805783"/>
    <w:rsid w:val="00805B5E"/>
    <w:rsid w:val="0083027C"/>
    <w:rsid w:val="00870074"/>
    <w:rsid w:val="008E405A"/>
    <w:rsid w:val="0093228E"/>
    <w:rsid w:val="009511F3"/>
    <w:rsid w:val="009573F4"/>
    <w:rsid w:val="009872CF"/>
    <w:rsid w:val="009A37DF"/>
    <w:rsid w:val="00AF35D5"/>
    <w:rsid w:val="00B07586"/>
    <w:rsid w:val="00B409A3"/>
    <w:rsid w:val="00B412C9"/>
    <w:rsid w:val="00B87172"/>
    <w:rsid w:val="00C82121"/>
    <w:rsid w:val="00C97B08"/>
    <w:rsid w:val="00D51478"/>
    <w:rsid w:val="00DA1377"/>
    <w:rsid w:val="00DC5CE5"/>
    <w:rsid w:val="00DF64FD"/>
    <w:rsid w:val="00F5708B"/>
    <w:rsid w:val="00F66B54"/>
    <w:rsid w:val="00FB32A7"/>
    <w:rsid w:val="00FB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8390"/>
  <w15:chartTrackingRefBased/>
  <w15:docId w15:val="{72EF6EEC-3277-458B-8649-E9AD8378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A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A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1A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1A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A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A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A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A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A82"/>
    <w:rPr>
      <w:b/>
      <w:bCs/>
      <w:smallCaps/>
      <w:color w:val="0F4761" w:themeColor="accent1" w:themeShade="BF"/>
      <w:spacing w:val="5"/>
    </w:rPr>
  </w:style>
  <w:style w:type="paragraph" w:customStyle="1" w:styleId="Heading1a">
    <w:name w:val="Heading 1a"/>
    <w:basedOn w:val="Heading1"/>
    <w:qFormat/>
    <w:rsid w:val="009573F4"/>
    <w:rPr>
      <w:rFonts w:ascii="Times New Roman" w:hAnsi="Times New Roman" w:cs="Times New Roman"/>
      <w:color w:val="auto"/>
      <w:sz w:val="26"/>
      <w:szCs w:val="26"/>
    </w:rPr>
  </w:style>
  <w:style w:type="paragraph" w:customStyle="1" w:styleId="Heading2a">
    <w:name w:val="Heading 2a"/>
    <w:basedOn w:val="Heading2"/>
    <w:qFormat/>
    <w:rsid w:val="00223097"/>
    <w:pPr>
      <w:spacing w:before="120" w:after="120"/>
    </w:pPr>
    <w:rPr>
      <w:rFonts w:ascii="Times New Roman" w:hAnsi="Times New Roman"/>
      <w:color w:val="000000" w:themeColor="text1"/>
      <w:sz w:val="24"/>
    </w:rPr>
  </w:style>
  <w:style w:type="paragraph" w:customStyle="1" w:styleId="Heading3a">
    <w:name w:val="Heading 3a"/>
    <w:basedOn w:val="Heading3"/>
    <w:qFormat/>
    <w:rsid w:val="00223097"/>
    <w:pPr>
      <w:spacing w:before="120" w:after="120"/>
    </w:pPr>
    <w:rPr>
      <w:rFonts w:ascii="Times New Roman" w:hAnsi="Times New Roman"/>
      <w:i/>
      <w:color w:val="000000" w:themeColor="text1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680293"/>
  </w:style>
  <w:style w:type="paragraph" w:styleId="Caption">
    <w:name w:val="caption"/>
    <w:basedOn w:val="Normal"/>
    <w:link w:val="CaptionChar"/>
    <w:rsid w:val="00223097"/>
    <w:pPr>
      <w:spacing w:after="12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aptionChar">
    <w:name w:val="Caption Char"/>
    <w:basedOn w:val="DefaultParagraphFont"/>
    <w:link w:val="Caption"/>
    <w:rsid w:val="00223097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Hardison</dc:creator>
  <cp:keywords/>
  <dc:description/>
  <cp:lastModifiedBy>Sean Hardison</cp:lastModifiedBy>
  <cp:revision>40</cp:revision>
  <dcterms:created xsi:type="dcterms:W3CDTF">2024-05-22T13:33:00Z</dcterms:created>
  <dcterms:modified xsi:type="dcterms:W3CDTF">2024-05-22T23:54:00Z</dcterms:modified>
</cp:coreProperties>
</file>