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drawings/drawing3.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5F4" w:rsidRPr="005B1623" w:rsidRDefault="002445F4" w:rsidP="002445F4">
      <w:pPr>
        <w:ind w:firstLine="720"/>
        <w:jc w:val="center"/>
        <w:rPr>
          <w:rFonts w:ascii="Times New Roman" w:hAnsi="Times New Roman" w:cs="Times New Roman"/>
          <w:sz w:val="24"/>
          <w:szCs w:val="24"/>
        </w:rPr>
      </w:pPr>
      <w:r w:rsidRPr="005B1623">
        <w:rPr>
          <w:rFonts w:ascii="Times New Roman" w:hAnsi="Times New Roman" w:cs="Times New Roman"/>
          <w:sz w:val="24"/>
          <w:szCs w:val="24"/>
        </w:rPr>
        <w:t>Data Description</w:t>
      </w:r>
    </w:p>
    <w:p w:rsidR="002445F4" w:rsidRPr="005B1623" w:rsidRDefault="002445F4" w:rsidP="002445F4">
      <w:pPr>
        <w:ind w:firstLine="720"/>
        <w:rPr>
          <w:rFonts w:ascii="Times New Roman" w:hAnsi="Times New Roman" w:cs="Times New Roman"/>
          <w:sz w:val="24"/>
          <w:szCs w:val="24"/>
        </w:rPr>
      </w:pPr>
      <w:r w:rsidRPr="005B1623">
        <w:rPr>
          <w:rFonts w:ascii="Times New Roman" w:hAnsi="Times New Roman" w:cs="Times New Roman"/>
          <w:sz w:val="24"/>
          <w:szCs w:val="24"/>
        </w:rPr>
        <w:t xml:space="preserve">Albee </w:t>
      </w:r>
      <w:proofErr w:type="spellStart"/>
      <w:r w:rsidRPr="005B1623">
        <w:rPr>
          <w:rFonts w:ascii="Times New Roman" w:hAnsi="Times New Roman" w:cs="Times New Roman"/>
          <w:sz w:val="24"/>
          <w:szCs w:val="24"/>
        </w:rPr>
        <w:t>Guo</w:t>
      </w:r>
      <w:proofErr w:type="spellEnd"/>
    </w:p>
    <w:p w:rsidR="002445F4" w:rsidRPr="005B1623" w:rsidRDefault="002445F4" w:rsidP="002445F4">
      <w:pPr>
        <w:ind w:firstLine="720"/>
        <w:rPr>
          <w:rFonts w:ascii="Times New Roman" w:hAnsi="Times New Roman" w:cs="Times New Roman"/>
          <w:sz w:val="24"/>
          <w:szCs w:val="24"/>
        </w:rPr>
      </w:pPr>
      <w:r w:rsidRPr="005B1623">
        <w:rPr>
          <w:rFonts w:ascii="Times New Roman" w:hAnsi="Times New Roman" w:cs="Times New Roman"/>
          <w:sz w:val="24"/>
          <w:szCs w:val="24"/>
        </w:rPr>
        <w:t>Kevin Li</w:t>
      </w:r>
    </w:p>
    <w:p w:rsidR="002445F4" w:rsidRPr="005B1623" w:rsidRDefault="002445F4" w:rsidP="002445F4">
      <w:pPr>
        <w:ind w:firstLine="720"/>
        <w:rPr>
          <w:rFonts w:ascii="Times New Roman" w:hAnsi="Times New Roman" w:cs="Times New Roman"/>
          <w:sz w:val="24"/>
          <w:szCs w:val="24"/>
        </w:rPr>
      </w:pPr>
      <w:r w:rsidRPr="005B1623">
        <w:rPr>
          <w:rFonts w:ascii="Times New Roman" w:hAnsi="Times New Roman" w:cs="Times New Roman"/>
          <w:sz w:val="24"/>
          <w:szCs w:val="24"/>
        </w:rPr>
        <w:t>Jay Tran</w:t>
      </w:r>
    </w:p>
    <w:p w:rsidR="002445F4" w:rsidRPr="005B1623" w:rsidRDefault="002445F4" w:rsidP="002445F4">
      <w:pPr>
        <w:ind w:firstLine="720"/>
        <w:rPr>
          <w:rFonts w:ascii="Times New Roman" w:hAnsi="Times New Roman" w:cs="Times New Roman"/>
          <w:sz w:val="24"/>
          <w:szCs w:val="24"/>
        </w:rPr>
      </w:pPr>
      <w:r w:rsidRPr="005B1623">
        <w:rPr>
          <w:rFonts w:ascii="Times New Roman" w:hAnsi="Times New Roman" w:cs="Times New Roman"/>
          <w:sz w:val="24"/>
          <w:szCs w:val="24"/>
        </w:rPr>
        <w:t xml:space="preserve">Shogo </w:t>
      </w:r>
      <w:proofErr w:type="spellStart"/>
      <w:r w:rsidRPr="005B1623">
        <w:rPr>
          <w:rFonts w:ascii="Times New Roman" w:hAnsi="Times New Roman" w:cs="Times New Roman"/>
          <w:sz w:val="24"/>
          <w:szCs w:val="24"/>
        </w:rPr>
        <w:t>Kamasaki</w:t>
      </w:r>
      <w:proofErr w:type="spellEnd"/>
    </w:p>
    <w:p w:rsidR="002445F4" w:rsidRPr="005B1623" w:rsidRDefault="002445F4" w:rsidP="002445F4">
      <w:pPr>
        <w:ind w:firstLine="720"/>
        <w:rPr>
          <w:rFonts w:ascii="Times New Roman" w:hAnsi="Times New Roman" w:cs="Times New Roman"/>
          <w:sz w:val="24"/>
          <w:szCs w:val="24"/>
        </w:rPr>
      </w:pPr>
      <w:r w:rsidRPr="005B1623">
        <w:rPr>
          <w:rFonts w:ascii="Times New Roman" w:hAnsi="Times New Roman" w:cs="Times New Roman"/>
          <w:sz w:val="24"/>
          <w:szCs w:val="24"/>
        </w:rPr>
        <w:t>BUSI 275</w:t>
      </w:r>
    </w:p>
    <w:p w:rsidR="002445F4" w:rsidRPr="005B1623" w:rsidRDefault="002445F4" w:rsidP="002445F4">
      <w:pPr>
        <w:ind w:firstLine="720"/>
        <w:rPr>
          <w:rFonts w:ascii="Times New Roman" w:hAnsi="Times New Roman" w:cs="Times New Roman"/>
          <w:sz w:val="24"/>
          <w:szCs w:val="24"/>
        </w:rPr>
      </w:pPr>
      <w:r w:rsidRPr="005B1623">
        <w:rPr>
          <w:rFonts w:ascii="Times New Roman" w:hAnsi="Times New Roman" w:cs="Times New Roman"/>
          <w:sz w:val="24"/>
          <w:szCs w:val="24"/>
        </w:rPr>
        <w:t>Professor: Sean Ho</w:t>
      </w:r>
    </w:p>
    <w:p w:rsidR="00851D69" w:rsidRPr="005B1623" w:rsidRDefault="00851D69" w:rsidP="00075B8E">
      <w:pPr>
        <w:ind w:firstLine="720"/>
        <w:rPr>
          <w:rFonts w:ascii="Times New Roman" w:hAnsi="Times New Roman" w:cs="Times New Roman"/>
          <w:sz w:val="24"/>
          <w:szCs w:val="24"/>
        </w:rPr>
      </w:pPr>
      <w:r w:rsidRPr="005B1623">
        <w:rPr>
          <w:rFonts w:ascii="Times New Roman" w:hAnsi="Times New Roman" w:cs="Times New Roman"/>
          <w:sz w:val="24"/>
          <w:szCs w:val="24"/>
        </w:rPr>
        <w:t xml:space="preserve">The data that we are using is a part chosen from 2001 Canada Census which can be found here </w:t>
      </w:r>
      <w:hyperlink r:id="rId5" w:history="1">
        <w:r w:rsidRPr="005B1623">
          <w:rPr>
            <w:rStyle w:val="Hyperlink"/>
            <w:rFonts w:ascii="Times New Roman" w:hAnsi="Times New Roman" w:cs="Times New Roman"/>
            <w:sz w:val="24"/>
            <w:szCs w:val="24"/>
          </w:rPr>
          <w:t>http://www.statcan.gc.ca/kits-trousses/microdata-microdonnees/census-recensement2001/edu06g1_0001-eng.htm</w:t>
        </w:r>
      </w:hyperlink>
      <w:r w:rsidRPr="005B1623">
        <w:rPr>
          <w:rFonts w:ascii="Times New Roman" w:hAnsi="Times New Roman" w:cs="Times New Roman"/>
          <w:sz w:val="24"/>
          <w:szCs w:val="24"/>
        </w:rPr>
        <w:t>. For the purpose of keeping this project in the right required length (4000 words) we chose to analyse only the Census of British Columbia.</w:t>
      </w:r>
    </w:p>
    <w:p w:rsidR="00851D69" w:rsidRPr="005B1623" w:rsidRDefault="00851D69" w:rsidP="00075B8E">
      <w:pPr>
        <w:ind w:firstLine="720"/>
        <w:rPr>
          <w:rFonts w:ascii="Times New Roman" w:hAnsi="Times New Roman" w:cs="Times New Roman"/>
          <w:sz w:val="24"/>
          <w:szCs w:val="24"/>
        </w:rPr>
      </w:pPr>
      <w:r w:rsidRPr="005B1623">
        <w:rPr>
          <w:rFonts w:ascii="Times New Roman" w:hAnsi="Times New Roman" w:cs="Times New Roman"/>
          <w:sz w:val="24"/>
          <w:szCs w:val="24"/>
        </w:rPr>
        <w:t xml:space="preserve">As stated on Statistic Canada, this data set is free to all educational purpose. More information is provided here </w:t>
      </w:r>
      <w:hyperlink r:id="rId6" w:history="1">
        <w:r w:rsidRPr="005B1623">
          <w:rPr>
            <w:rStyle w:val="Hyperlink"/>
            <w:rFonts w:ascii="Times New Roman" w:hAnsi="Times New Roman" w:cs="Times New Roman"/>
            <w:sz w:val="24"/>
            <w:szCs w:val="24"/>
          </w:rPr>
          <w:t>http://www.statcan.gc.ca/edu/edu06_0003-eng.htm</w:t>
        </w:r>
      </w:hyperlink>
      <w:r w:rsidRPr="005B1623">
        <w:rPr>
          <w:rFonts w:ascii="Times New Roman" w:hAnsi="Times New Roman" w:cs="Times New Roman"/>
          <w:sz w:val="24"/>
          <w:szCs w:val="24"/>
        </w:rPr>
        <w:t>.</w:t>
      </w:r>
    </w:p>
    <w:p w:rsidR="00851D69" w:rsidRPr="005B1623" w:rsidRDefault="00851D69" w:rsidP="00075B8E">
      <w:pPr>
        <w:ind w:firstLine="720"/>
        <w:rPr>
          <w:rFonts w:ascii="Times New Roman" w:hAnsi="Times New Roman" w:cs="Times New Roman"/>
          <w:sz w:val="24"/>
          <w:szCs w:val="24"/>
        </w:rPr>
      </w:pPr>
      <w:r w:rsidRPr="005B1623">
        <w:rPr>
          <w:rFonts w:ascii="Times New Roman" w:hAnsi="Times New Roman" w:cs="Times New Roman"/>
          <w:sz w:val="24"/>
          <w:szCs w:val="24"/>
        </w:rPr>
        <w:t>This data set contains 1,000 observations.</w:t>
      </w:r>
    </w:p>
    <w:p w:rsidR="00851D69" w:rsidRPr="005B1623" w:rsidRDefault="00851D69" w:rsidP="00075B8E">
      <w:pPr>
        <w:ind w:firstLine="720"/>
        <w:rPr>
          <w:rFonts w:ascii="Times New Roman" w:hAnsi="Times New Roman" w:cs="Times New Roman"/>
          <w:sz w:val="24"/>
          <w:szCs w:val="24"/>
        </w:rPr>
      </w:pPr>
      <w:r w:rsidRPr="005B1623">
        <w:rPr>
          <w:rFonts w:ascii="Times New Roman" w:hAnsi="Times New Roman" w:cs="Times New Roman"/>
          <w:sz w:val="24"/>
          <w:szCs w:val="24"/>
        </w:rPr>
        <w:t>Below is a table which contains variable’s definition, its level of measurement and number of</w:t>
      </w:r>
      <w:r w:rsidR="004764F3" w:rsidRPr="005B1623">
        <w:rPr>
          <w:rFonts w:ascii="Times New Roman" w:hAnsi="Times New Roman" w:cs="Times New Roman"/>
          <w:sz w:val="24"/>
          <w:szCs w:val="24"/>
        </w:rPr>
        <w:t xml:space="preserve"> missing cases of each variable:</w:t>
      </w:r>
    </w:p>
    <w:tbl>
      <w:tblPr>
        <w:tblStyle w:val="TableGrid"/>
        <w:tblpPr w:leftFromText="180" w:rightFromText="180" w:vertAnchor="text" w:horzAnchor="margin" w:tblpY="155"/>
        <w:tblW w:w="0" w:type="auto"/>
        <w:tblLook w:val="04A0" w:firstRow="1" w:lastRow="0" w:firstColumn="1" w:lastColumn="0" w:noHBand="0" w:noVBand="1"/>
      </w:tblPr>
      <w:tblGrid>
        <w:gridCol w:w="1882"/>
        <w:gridCol w:w="3201"/>
        <w:gridCol w:w="2498"/>
        <w:gridCol w:w="1995"/>
      </w:tblGrid>
      <w:tr w:rsidR="004764F3" w:rsidRPr="005B1623" w:rsidTr="004764F3">
        <w:tc>
          <w:tcPr>
            <w:tcW w:w="1882"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Variables</w:t>
            </w:r>
          </w:p>
        </w:tc>
        <w:tc>
          <w:tcPr>
            <w:tcW w:w="3201"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Definition</w:t>
            </w:r>
          </w:p>
        </w:tc>
        <w:tc>
          <w:tcPr>
            <w:tcW w:w="2498"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Level of measurement</w:t>
            </w:r>
          </w:p>
        </w:tc>
        <w:tc>
          <w:tcPr>
            <w:tcW w:w="1995"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Number of missing cases</w:t>
            </w:r>
          </w:p>
        </w:tc>
      </w:tr>
      <w:tr w:rsidR="004764F3" w:rsidRPr="005B1623" w:rsidTr="004764F3">
        <w:tc>
          <w:tcPr>
            <w:tcW w:w="1882"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Age</w:t>
            </w:r>
          </w:p>
        </w:tc>
        <w:tc>
          <w:tcPr>
            <w:tcW w:w="3201"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Age on May 15, 2001, Census Day. The value 85 includes persons 85 years of age and over.</w:t>
            </w:r>
          </w:p>
        </w:tc>
        <w:tc>
          <w:tcPr>
            <w:tcW w:w="2498"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Ratio</w:t>
            </w:r>
          </w:p>
        </w:tc>
        <w:tc>
          <w:tcPr>
            <w:tcW w:w="1995" w:type="dxa"/>
          </w:tcPr>
          <w:p w:rsidR="004764F3" w:rsidRPr="005B1623" w:rsidRDefault="00632590" w:rsidP="000F4CAB">
            <w:pPr>
              <w:rPr>
                <w:rFonts w:ascii="Times New Roman" w:hAnsi="Times New Roman" w:cs="Times New Roman"/>
                <w:sz w:val="24"/>
                <w:szCs w:val="24"/>
              </w:rPr>
            </w:pPr>
            <w:r w:rsidRPr="005B1623">
              <w:rPr>
                <w:rFonts w:ascii="Times New Roman" w:hAnsi="Times New Roman" w:cs="Times New Roman"/>
                <w:sz w:val="24"/>
                <w:szCs w:val="24"/>
              </w:rPr>
              <w:t>0</w:t>
            </w:r>
          </w:p>
          <w:p w:rsidR="00632590" w:rsidRPr="005B1623" w:rsidRDefault="00632590" w:rsidP="000F4CAB">
            <w:pPr>
              <w:rPr>
                <w:rFonts w:ascii="Times New Roman" w:hAnsi="Times New Roman" w:cs="Times New Roman"/>
                <w:sz w:val="24"/>
                <w:szCs w:val="24"/>
              </w:rPr>
            </w:pPr>
          </w:p>
        </w:tc>
      </w:tr>
      <w:tr w:rsidR="004764F3" w:rsidRPr="005B1623" w:rsidTr="004764F3">
        <w:tc>
          <w:tcPr>
            <w:tcW w:w="1882"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Sex</w:t>
            </w:r>
          </w:p>
        </w:tc>
        <w:tc>
          <w:tcPr>
            <w:tcW w:w="3201"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Gender of the respondent: male or female</w:t>
            </w:r>
          </w:p>
        </w:tc>
        <w:tc>
          <w:tcPr>
            <w:tcW w:w="2498"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Nominal</w:t>
            </w:r>
          </w:p>
        </w:tc>
        <w:tc>
          <w:tcPr>
            <w:tcW w:w="1995" w:type="dxa"/>
          </w:tcPr>
          <w:p w:rsidR="004764F3" w:rsidRPr="005B1623" w:rsidRDefault="00632590" w:rsidP="000F4CAB">
            <w:pPr>
              <w:rPr>
                <w:rFonts w:ascii="Times New Roman" w:hAnsi="Times New Roman" w:cs="Times New Roman"/>
                <w:sz w:val="24"/>
                <w:szCs w:val="24"/>
              </w:rPr>
            </w:pPr>
            <w:r w:rsidRPr="005B1623">
              <w:rPr>
                <w:rFonts w:ascii="Times New Roman" w:hAnsi="Times New Roman" w:cs="Times New Roman"/>
                <w:sz w:val="24"/>
                <w:szCs w:val="24"/>
              </w:rPr>
              <w:t>0</w:t>
            </w:r>
          </w:p>
        </w:tc>
      </w:tr>
      <w:tr w:rsidR="004764F3" w:rsidRPr="005B1623" w:rsidTr="004764F3">
        <w:tc>
          <w:tcPr>
            <w:tcW w:w="1882"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Place of birth</w:t>
            </w:r>
          </w:p>
          <w:p w:rsidR="004764F3" w:rsidRPr="005B1623" w:rsidRDefault="004764F3" w:rsidP="000F4CAB">
            <w:pPr>
              <w:rPr>
                <w:rFonts w:ascii="Times New Roman" w:hAnsi="Times New Roman" w:cs="Times New Roman"/>
                <w:sz w:val="24"/>
                <w:szCs w:val="24"/>
              </w:rPr>
            </w:pPr>
          </w:p>
        </w:tc>
        <w:tc>
          <w:tcPr>
            <w:tcW w:w="3201"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Specific province or territory if born in Canada or specific countries/regions if born outside Canada</w:t>
            </w:r>
          </w:p>
        </w:tc>
        <w:tc>
          <w:tcPr>
            <w:tcW w:w="2498"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Nominal</w:t>
            </w:r>
          </w:p>
        </w:tc>
        <w:tc>
          <w:tcPr>
            <w:tcW w:w="1995" w:type="dxa"/>
          </w:tcPr>
          <w:p w:rsidR="004764F3" w:rsidRPr="005B1623" w:rsidRDefault="00632590" w:rsidP="000F4CAB">
            <w:pPr>
              <w:rPr>
                <w:rFonts w:ascii="Times New Roman" w:hAnsi="Times New Roman" w:cs="Times New Roman"/>
                <w:sz w:val="24"/>
                <w:szCs w:val="24"/>
              </w:rPr>
            </w:pPr>
            <w:r w:rsidRPr="005B1623">
              <w:rPr>
                <w:rFonts w:ascii="Times New Roman" w:hAnsi="Times New Roman" w:cs="Times New Roman"/>
                <w:sz w:val="24"/>
                <w:szCs w:val="24"/>
              </w:rPr>
              <w:t>0</w:t>
            </w:r>
          </w:p>
        </w:tc>
      </w:tr>
      <w:tr w:rsidR="004764F3" w:rsidRPr="005B1623" w:rsidTr="004764F3">
        <w:tc>
          <w:tcPr>
            <w:tcW w:w="1882"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Highest level of schooling</w:t>
            </w:r>
          </w:p>
        </w:tc>
        <w:tc>
          <w:tcPr>
            <w:tcW w:w="3201"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Refers to the highest grade of elementary or secondary school attended, or the highest year of university or college education completed. Reported for population 15 years and over.</w:t>
            </w:r>
          </w:p>
        </w:tc>
        <w:tc>
          <w:tcPr>
            <w:tcW w:w="2498" w:type="dxa"/>
          </w:tcPr>
          <w:p w:rsidR="004764F3" w:rsidRPr="005B1623" w:rsidRDefault="0042225B" w:rsidP="000F4CAB">
            <w:pPr>
              <w:rPr>
                <w:rFonts w:ascii="Times New Roman" w:hAnsi="Times New Roman" w:cs="Times New Roman"/>
                <w:sz w:val="24"/>
                <w:szCs w:val="24"/>
              </w:rPr>
            </w:pPr>
            <w:r w:rsidRPr="005B1623">
              <w:rPr>
                <w:rFonts w:ascii="Times New Roman" w:hAnsi="Times New Roman" w:cs="Times New Roman"/>
                <w:sz w:val="24"/>
                <w:szCs w:val="24"/>
              </w:rPr>
              <w:t>Ordinal</w:t>
            </w:r>
          </w:p>
        </w:tc>
        <w:tc>
          <w:tcPr>
            <w:tcW w:w="1995" w:type="dxa"/>
          </w:tcPr>
          <w:p w:rsidR="004764F3" w:rsidRPr="005B1623" w:rsidRDefault="00632590" w:rsidP="000F4CAB">
            <w:pPr>
              <w:rPr>
                <w:rFonts w:ascii="Times New Roman" w:hAnsi="Times New Roman" w:cs="Times New Roman"/>
                <w:sz w:val="24"/>
                <w:szCs w:val="24"/>
              </w:rPr>
            </w:pPr>
            <w:r w:rsidRPr="005B1623">
              <w:rPr>
                <w:rFonts w:ascii="Times New Roman" w:hAnsi="Times New Roman" w:cs="Times New Roman"/>
                <w:sz w:val="24"/>
                <w:szCs w:val="24"/>
              </w:rPr>
              <w:t>0</w:t>
            </w:r>
          </w:p>
        </w:tc>
      </w:tr>
      <w:tr w:rsidR="004764F3" w:rsidRPr="005B1623" w:rsidTr="004764F3">
        <w:tc>
          <w:tcPr>
            <w:tcW w:w="1882"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lastRenderedPageBreak/>
              <w:t>Major field of study</w:t>
            </w:r>
          </w:p>
        </w:tc>
        <w:tc>
          <w:tcPr>
            <w:tcW w:w="3201"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Refers to the predominant discipline or area of learning or training of a person’s highest postsecondary degree, certificate or diploma. Reported for population 15 years and over with postsecondary education.</w:t>
            </w:r>
          </w:p>
        </w:tc>
        <w:tc>
          <w:tcPr>
            <w:tcW w:w="2498"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Ordinal</w:t>
            </w:r>
          </w:p>
        </w:tc>
        <w:tc>
          <w:tcPr>
            <w:tcW w:w="1995" w:type="dxa"/>
          </w:tcPr>
          <w:p w:rsidR="004764F3" w:rsidRPr="005B1623" w:rsidRDefault="00632590" w:rsidP="000F4CAB">
            <w:pPr>
              <w:rPr>
                <w:rFonts w:ascii="Times New Roman" w:hAnsi="Times New Roman" w:cs="Times New Roman"/>
                <w:sz w:val="24"/>
                <w:szCs w:val="24"/>
              </w:rPr>
            </w:pPr>
            <w:r w:rsidRPr="005B1623">
              <w:rPr>
                <w:rFonts w:ascii="Times New Roman" w:hAnsi="Times New Roman" w:cs="Times New Roman"/>
                <w:sz w:val="24"/>
                <w:szCs w:val="24"/>
              </w:rPr>
              <w:t>181</w:t>
            </w:r>
          </w:p>
        </w:tc>
      </w:tr>
      <w:tr w:rsidR="004764F3" w:rsidRPr="005B1623" w:rsidTr="004764F3">
        <w:tc>
          <w:tcPr>
            <w:tcW w:w="1882"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Labour force activity in week</w:t>
            </w:r>
          </w:p>
        </w:tc>
        <w:tc>
          <w:tcPr>
            <w:tcW w:w="3201"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Labour market activity of the population 15 years of age and older in the week prior to the census: employed, unemployed or not in the labour force.</w:t>
            </w:r>
          </w:p>
        </w:tc>
        <w:tc>
          <w:tcPr>
            <w:tcW w:w="2498"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Nominal</w:t>
            </w:r>
          </w:p>
        </w:tc>
        <w:tc>
          <w:tcPr>
            <w:tcW w:w="1995" w:type="dxa"/>
          </w:tcPr>
          <w:p w:rsidR="004764F3" w:rsidRPr="005B1623" w:rsidRDefault="00632590" w:rsidP="000F4CAB">
            <w:pPr>
              <w:rPr>
                <w:rFonts w:ascii="Times New Roman" w:hAnsi="Times New Roman" w:cs="Times New Roman"/>
                <w:sz w:val="24"/>
                <w:szCs w:val="24"/>
              </w:rPr>
            </w:pPr>
            <w:r w:rsidRPr="005B1623">
              <w:rPr>
                <w:rFonts w:ascii="Times New Roman" w:hAnsi="Times New Roman" w:cs="Times New Roman"/>
                <w:sz w:val="24"/>
                <w:szCs w:val="24"/>
              </w:rPr>
              <w:t>181</w:t>
            </w:r>
          </w:p>
        </w:tc>
      </w:tr>
      <w:tr w:rsidR="004764F3" w:rsidRPr="005B1623" w:rsidTr="004764F3">
        <w:tc>
          <w:tcPr>
            <w:tcW w:w="1882"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Industry</w:t>
            </w:r>
          </w:p>
        </w:tc>
        <w:tc>
          <w:tcPr>
            <w:tcW w:w="3201"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General nature of the business carried out in the establishment where the person worked, based on the 1997 North American Industry Classification System (NAICS). Data were included for persons 15 and over who worked during the reference period.</w:t>
            </w:r>
          </w:p>
        </w:tc>
        <w:tc>
          <w:tcPr>
            <w:tcW w:w="2498"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Nominal</w:t>
            </w:r>
          </w:p>
        </w:tc>
        <w:tc>
          <w:tcPr>
            <w:tcW w:w="1995" w:type="dxa"/>
          </w:tcPr>
          <w:p w:rsidR="004764F3" w:rsidRPr="005B1623" w:rsidRDefault="00632590" w:rsidP="000F4CAB">
            <w:pPr>
              <w:rPr>
                <w:rFonts w:ascii="Times New Roman" w:hAnsi="Times New Roman" w:cs="Times New Roman"/>
                <w:sz w:val="24"/>
                <w:szCs w:val="24"/>
              </w:rPr>
            </w:pPr>
            <w:r w:rsidRPr="005B1623">
              <w:rPr>
                <w:rFonts w:ascii="Times New Roman" w:hAnsi="Times New Roman" w:cs="Times New Roman"/>
                <w:sz w:val="24"/>
                <w:szCs w:val="24"/>
              </w:rPr>
              <w:t>430</w:t>
            </w:r>
          </w:p>
        </w:tc>
      </w:tr>
      <w:tr w:rsidR="004764F3" w:rsidRPr="005B1623" w:rsidTr="004764F3">
        <w:tc>
          <w:tcPr>
            <w:tcW w:w="1882"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Total income</w:t>
            </w:r>
          </w:p>
        </w:tc>
        <w:tc>
          <w:tcPr>
            <w:tcW w:w="3201"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Total money income received by individuals 15 years of age and over during the calendar year 2000. Items such as gambling gains and losses, lottery prizes, lump sum inheritances, and capital gains or losses are not included. Persons immigrating to Canada in 2001 are deemed to have an income of $0.</w:t>
            </w:r>
          </w:p>
        </w:tc>
        <w:tc>
          <w:tcPr>
            <w:tcW w:w="2498"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Ratio</w:t>
            </w:r>
          </w:p>
        </w:tc>
        <w:tc>
          <w:tcPr>
            <w:tcW w:w="1995" w:type="dxa"/>
          </w:tcPr>
          <w:p w:rsidR="004764F3" w:rsidRPr="005B1623" w:rsidRDefault="00632590" w:rsidP="000F4CAB">
            <w:pPr>
              <w:rPr>
                <w:rFonts w:ascii="Times New Roman" w:hAnsi="Times New Roman" w:cs="Times New Roman"/>
                <w:sz w:val="24"/>
                <w:szCs w:val="24"/>
              </w:rPr>
            </w:pPr>
            <w:r w:rsidRPr="005B1623">
              <w:rPr>
                <w:rFonts w:ascii="Times New Roman" w:hAnsi="Times New Roman" w:cs="Times New Roman"/>
                <w:sz w:val="24"/>
                <w:szCs w:val="24"/>
              </w:rPr>
              <w:t>181</w:t>
            </w:r>
          </w:p>
        </w:tc>
      </w:tr>
      <w:tr w:rsidR="004764F3" w:rsidRPr="005B1623" w:rsidTr="004764F3">
        <w:tc>
          <w:tcPr>
            <w:tcW w:w="1882"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Wages and salaries</w:t>
            </w:r>
          </w:p>
        </w:tc>
        <w:tc>
          <w:tcPr>
            <w:tcW w:w="3201"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Refers to gross wages and salaries before deductions for such items as income tax, pensions and Employment Insurance.</w:t>
            </w:r>
          </w:p>
        </w:tc>
        <w:tc>
          <w:tcPr>
            <w:tcW w:w="2498"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Ratio</w:t>
            </w:r>
          </w:p>
        </w:tc>
        <w:tc>
          <w:tcPr>
            <w:tcW w:w="1995" w:type="dxa"/>
          </w:tcPr>
          <w:p w:rsidR="004764F3" w:rsidRPr="005B1623" w:rsidRDefault="00632590" w:rsidP="000F4CAB">
            <w:pPr>
              <w:rPr>
                <w:rFonts w:ascii="Times New Roman" w:hAnsi="Times New Roman" w:cs="Times New Roman"/>
                <w:sz w:val="24"/>
                <w:szCs w:val="24"/>
              </w:rPr>
            </w:pPr>
            <w:r w:rsidRPr="005B1623">
              <w:rPr>
                <w:rFonts w:ascii="Times New Roman" w:hAnsi="Times New Roman" w:cs="Times New Roman"/>
                <w:sz w:val="24"/>
                <w:szCs w:val="24"/>
              </w:rPr>
              <w:t>181</w:t>
            </w:r>
          </w:p>
        </w:tc>
      </w:tr>
      <w:tr w:rsidR="004764F3" w:rsidRPr="005B1623" w:rsidTr="004764F3">
        <w:tc>
          <w:tcPr>
            <w:tcW w:w="1882"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 xml:space="preserve">Self-employment income </w:t>
            </w:r>
          </w:p>
        </w:tc>
        <w:tc>
          <w:tcPr>
            <w:tcW w:w="3201"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t>Refers to the total income received by persons 15 years of age and over during calendar year 2000 as net income from farm self-employment and/or from non-</w:t>
            </w:r>
            <w:r w:rsidRPr="005B1623">
              <w:rPr>
                <w:rFonts w:ascii="Times New Roman" w:hAnsi="Times New Roman" w:cs="Times New Roman"/>
                <w:sz w:val="24"/>
                <w:szCs w:val="24"/>
              </w:rPr>
              <w:lastRenderedPageBreak/>
              <w:t>farm self-employment.</w:t>
            </w:r>
          </w:p>
        </w:tc>
        <w:tc>
          <w:tcPr>
            <w:tcW w:w="2498" w:type="dxa"/>
          </w:tcPr>
          <w:p w:rsidR="004764F3" w:rsidRPr="005B1623" w:rsidRDefault="004764F3" w:rsidP="000F4CAB">
            <w:pPr>
              <w:rPr>
                <w:rFonts w:ascii="Times New Roman" w:hAnsi="Times New Roman" w:cs="Times New Roman"/>
                <w:sz w:val="24"/>
                <w:szCs w:val="24"/>
              </w:rPr>
            </w:pPr>
            <w:r w:rsidRPr="005B1623">
              <w:rPr>
                <w:rFonts w:ascii="Times New Roman" w:hAnsi="Times New Roman" w:cs="Times New Roman"/>
                <w:sz w:val="24"/>
                <w:szCs w:val="24"/>
              </w:rPr>
              <w:lastRenderedPageBreak/>
              <w:t>Ratio</w:t>
            </w:r>
          </w:p>
        </w:tc>
        <w:tc>
          <w:tcPr>
            <w:tcW w:w="1995" w:type="dxa"/>
          </w:tcPr>
          <w:p w:rsidR="00632590" w:rsidRPr="005B1623" w:rsidRDefault="00632590" w:rsidP="000F4CAB">
            <w:pPr>
              <w:rPr>
                <w:rFonts w:ascii="Times New Roman" w:hAnsi="Times New Roman" w:cs="Times New Roman"/>
                <w:sz w:val="24"/>
                <w:szCs w:val="24"/>
              </w:rPr>
            </w:pPr>
            <w:r w:rsidRPr="005B1623">
              <w:rPr>
                <w:rFonts w:ascii="Times New Roman" w:hAnsi="Times New Roman" w:cs="Times New Roman"/>
                <w:sz w:val="24"/>
                <w:szCs w:val="24"/>
              </w:rPr>
              <w:t>181</w:t>
            </w:r>
          </w:p>
          <w:p w:rsidR="004764F3" w:rsidRPr="005B1623" w:rsidRDefault="004764F3" w:rsidP="000F4CAB">
            <w:pPr>
              <w:rPr>
                <w:rFonts w:ascii="Times New Roman" w:hAnsi="Times New Roman" w:cs="Times New Roman"/>
                <w:sz w:val="24"/>
                <w:szCs w:val="24"/>
              </w:rPr>
            </w:pPr>
          </w:p>
        </w:tc>
      </w:tr>
    </w:tbl>
    <w:p w:rsidR="00851D69" w:rsidRPr="005B1623" w:rsidRDefault="00851D69" w:rsidP="000F4CAB">
      <w:pPr>
        <w:rPr>
          <w:rFonts w:ascii="Times New Roman" w:hAnsi="Times New Roman" w:cs="Times New Roman"/>
          <w:sz w:val="24"/>
          <w:szCs w:val="24"/>
        </w:rPr>
      </w:pPr>
    </w:p>
    <w:p w:rsidR="00B44473" w:rsidRPr="005B1623" w:rsidRDefault="00851D69" w:rsidP="000F4CAB">
      <w:pPr>
        <w:rPr>
          <w:rFonts w:ascii="Times New Roman" w:hAnsi="Times New Roman" w:cs="Times New Roman"/>
          <w:sz w:val="24"/>
          <w:szCs w:val="24"/>
        </w:rPr>
      </w:pPr>
      <w:r w:rsidRPr="005B1623">
        <w:rPr>
          <w:rFonts w:ascii="Times New Roman" w:hAnsi="Times New Roman" w:cs="Times New Roman"/>
          <w:sz w:val="24"/>
          <w:szCs w:val="24"/>
        </w:rPr>
        <w:t xml:space="preserve"> </w:t>
      </w:r>
      <w:r w:rsidR="00075B8E" w:rsidRPr="005B1623">
        <w:rPr>
          <w:rFonts w:ascii="Times New Roman" w:hAnsi="Times New Roman" w:cs="Times New Roman"/>
          <w:sz w:val="24"/>
          <w:szCs w:val="24"/>
        </w:rPr>
        <w:tab/>
      </w:r>
      <w:r w:rsidR="0042225B" w:rsidRPr="005B1623">
        <w:rPr>
          <w:rFonts w:ascii="Times New Roman" w:hAnsi="Times New Roman" w:cs="Times New Roman"/>
          <w:sz w:val="24"/>
          <w:szCs w:val="24"/>
        </w:rPr>
        <w:t>This section below include</w:t>
      </w:r>
      <w:r w:rsidR="000F4CAB" w:rsidRPr="005B1623">
        <w:rPr>
          <w:rFonts w:ascii="Times New Roman" w:hAnsi="Times New Roman" w:cs="Times New Roman"/>
          <w:sz w:val="24"/>
          <w:szCs w:val="24"/>
        </w:rPr>
        <w:t>s</w:t>
      </w:r>
      <w:r w:rsidR="0042225B" w:rsidRPr="005B1623">
        <w:rPr>
          <w:rFonts w:ascii="Times New Roman" w:hAnsi="Times New Roman" w:cs="Times New Roman"/>
          <w:sz w:val="24"/>
          <w:szCs w:val="24"/>
        </w:rPr>
        <w:t xml:space="preserve"> some characteristics of quantitative variables (age, total income, wages and salaries, self-employment income).</w:t>
      </w:r>
    </w:p>
    <w:tbl>
      <w:tblPr>
        <w:tblStyle w:val="TableGrid"/>
        <w:tblpPr w:leftFromText="180" w:rightFromText="180" w:vertAnchor="text" w:horzAnchor="page" w:tblpX="1738" w:tblpY="182"/>
        <w:tblW w:w="0" w:type="auto"/>
        <w:tblLayout w:type="fixed"/>
        <w:tblLook w:val="04A0" w:firstRow="1" w:lastRow="0" w:firstColumn="1" w:lastColumn="0" w:noHBand="0" w:noVBand="1"/>
      </w:tblPr>
      <w:tblGrid>
        <w:gridCol w:w="1526"/>
        <w:gridCol w:w="2551"/>
        <w:gridCol w:w="5499"/>
      </w:tblGrid>
      <w:tr w:rsidR="00C26678" w:rsidRPr="005B1623" w:rsidTr="00C26678">
        <w:tc>
          <w:tcPr>
            <w:tcW w:w="1526" w:type="dxa"/>
          </w:tcPr>
          <w:p w:rsidR="00C26678" w:rsidRPr="005B1623" w:rsidRDefault="00C26678" w:rsidP="00C26678">
            <w:pPr>
              <w:rPr>
                <w:rFonts w:ascii="Times New Roman" w:hAnsi="Times New Roman" w:cs="Times New Roman"/>
                <w:sz w:val="24"/>
                <w:szCs w:val="24"/>
              </w:rPr>
            </w:pPr>
          </w:p>
        </w:tc>
        <w:tc>
          <w:tcPr>
            <w:tcW w:w="2551" w:type="dxa"/>
          </w:tcPr>
          <w:p w:rsidR="00C26678" w:rsidRPr="005B1623" w:rsidRDefault="00C26678" w:rsidP="00C26678">
            <w:pPr>
              <w:rPr>
                <w:rFonts w:ascii="Times New Roman" w:hAnsi="Times New Roman" w:cs="Times New Roman"/>
                <w:sz w:val="24"/>
                <w:szCs w:val="24"/>
              </w:rPr>
            </w:pPr>
            <w:r w:rsidRPr="005B1623">
              <w:rPr>
                <w:rFonts w:ascii="Times New Roman" w:hAnsi="Times New Roman" w:cs="Times New Roman"/>
                <w:sz w:val="24"/>
                <w:szCs w:val="24"/>
              </w:rPr>
              <w:t>Mean</w:t>
            </w:r>
          </w:p>
        </w:tc>
        <w:tc>
          <w:tcPr>
            <w:tcW w:w="5499" w:type="dxa"/>
          </w:tcPr>
          <w:p w:rsidR="00C26678" w:rsidRPr="005B1623" w:rsidRDefault="00C26678" w:rsidP="00C26678">
            <w:pPr>
              <w:rPr>
                <w:rFonts w:ascii="Times New Roman" w:hAnsi="Times New Roman" w:cs="Times New Roman"/>
                <w:sz w:val="24"/>
                <w:szCs w:val="24"/>
              </w:rPr>
            </w:pPr>
            <w:r w:rsidRPr="005B1623">
              <w:rPr>
                <w:rFonts w:ascii="Times New Roman" w:hAnsi="Times New Roman" w:cs="Times New Roman"/>
                <w:sz w:val="24"/>
                <w:szCs w:val="24"/>
              </w:rPr>
              <w:t>Standard deviation</w:t>
            </w:r>
          </w:p>
        </w:tc>
      </w:tr>
      <w:tr w:rsidR="00C26678" w:rsidRPr="005B1623" w:rsidTr="00C26678">
        <w:trPr>
          <w:trHeight w:val="389"/>
        </w:trPr>
        <w:tc>
          <w:tcPr>
            <w:tcW w:w="1526" w:type="dxa"/>
          </w:tcPr>
          <w:p w:rsidR="00C26678" w:rsidRPr="005B1623" w:rsidRDefault="00C26678" w:rsidP="00C26678">
            <w:pPr>
              <w:rPr>
                <w:rFonts w:ascii="Times New Roman" w:hAnsi="Times New Roman" w:cs="Times New Roman"/>
                <w:sz w:val="24"/>
                <w:szCs w:val="24"/>
              </w:rPr>
            </w:pPr>
            <w:r w:rsidRPr="005B1623">
              <w:rPr>
                <w:rFonts w:ascii="Times New Roman" w:hAnsi="Times New Roman" w:cs="Times New Roman"/>
                <w:sz w:val="24"/>
                <w:szCs w:val="24"/>
              </w:rPr>
              <w:t>Age</w:t>
            </w:r>
          </w:p>
        </w:tc>
        <w:tc>
          <w:tcPr>
            <w:tcW w:w="2551" w:type="dxa"/>
          </w:tcPr>
          <w:p w:rsidR="00C26678" w:rsidRPr="005B1623" w:rsidRDefault="00C26678" w:rsidP="00C26678">
            <w:pPr>
              <w:rPr>
                <w:rFonts w:ascii="Times New Roman" w:hAnsi="Times New Roman" w:cs="Times New Roman"/>
                <w:sz w:val="24"/>
                <w:szCs w:val="24"/>
              </w:rPr>
            </w:pPr>
            <w:r w:rsidRPr="005B1623">
              <w:rPr>
                <w:rFonts w:ascii="Times New Roman" w:hAnsi="Times New Roman" w:cs="Times New Roman"/>
                <w:sz w:val="24"/>
                <w:szCs w:val="24"/>
              </w:rPr>
              <w:t>37.87</w:t>
            </w:r>
          </w:p>
        </w:tc>
        <w:tc>
          <w:tcPr>
            <w:tcW w:w="5499" w:type="dxa"/>
          </w:tcPr>
          <w:p w:rsidR="00C26678" w:rsidRPr="005B1623" w:rsidRDefault="00C26678" w:rsidP="00C26678">
            <w:pPr>
              <w:rPr>
                <w:rFonts w:ascii="Times New Roman" w:hAnsi="Times New Roman" w:cs="Times New Roman"/>
                <w:sz w:val="24"/>
                <w:szCs w:val="24"/>
              </w:rPr>
            </w:pPr>
            <w:r w:rsidRPr="005B1623">
              <w:rPr>
                <w:rFonts w:ascii="Times New Roman" w:hAnsi="Times New Roman" w:cs="Times New Roman"/>
                <w:sz w:val="24"/>
                <w:szCs w:val="24"/>
              </w:rPr>
              <w:t>21.918657</w:t>
            </w:r>
          </w:p>
        </w:tc>
      </w:tr>
      <w:tr w:rsidR="00C26678" w:rsidRPr="005B1623" w:rsidTr="00C26678">
        <w:tc>
          <w:tcPr>
            <w:tcW w:w="1526" w:type="dxa"/>
          </w:tcPr>
          <w:p w:rsidR="00C26678" w:rsidRPr="005B1623" w:rsidRDefault="00C26678" w:rsidP="00C26678">
            <w:pPr>
              <w:rPr>
                <w:rFonts w:ascii="Times New Roman" w:hAnsi="Times New Roman" w:cs="Times New Roman"/>
                <w:sz w:val="24"/>
                <w:szCs w:val="24"/>
              </w:rPr>
            </w:pPr>
            <w:r w:rsidRPr="005B1623">
              <w:rPr>
                <w:rFonts w:ascii="Times New Roman" w:hAnsi="Times New Roman" w:cs="Times New Roman"/>
                <w:sz w:val="24"/>
                <w:szCs w:val="24"/>
              </w:rPr>
              <w:t>Total income</w:t>
            </w:r>
          </w:p>
        </w:tc>
        <w:tc>
          <w:tcPr>
            <w:tcW w:w="2551" w:type="dxa"/>
          </w:tcPr>
          <w:p w:rsidR="00C26678" w:rsidRPr="005B1623" w:rsidRDefault="00C26678" w:rsidP="00C26678">
            <w:pPr>
              <w:rPr>
                <w:rFonts w:ascii="Times New Roman" w:hAnsi="Times New Roman" w:cs="Times New Roman"/>
                <w:sz w:val="24"/>
                <w:szCs w:val="24"/>
              </w:rPr>
            </w:pPr>
            <w:r w:rsidRPr="005B1623">
              <w:rPr>
                <w:rFonts w:ascii="Times New Roman" w:hAnsi="Times New Roman" w:cs="Times New Roman"/>
                <w:sz w:val="24"/>
                <w:szCs w:val="24"/>
              </w:rPr>
              <w:t>$  27,646</w:t>
            </w:r>
          </w:p>
        </w:tc>
        <w:tc>
          <w:tcPr>
            <w:tcW w:w="5499" w:type="dxa"/>
          </w:tcPr>
          <w:p w:rsidR="00C26678" w:rsidRPr="005B1623" w:rsidRDefault="00C26678" w:rsidP="00C26678">
            <w:pPr>
              <w:rPr>
                <w:rFonts w:ascii="Times New Roman" w:hAnsi="Times New Roman" w:cs="Times New Roman"/>
                <w:sz w:val="24"/>
                <w:szCs w:val="24"/>
              </w:rPr>
            </w:pPr>
            <w:r w:rsidRPr="005B1623">
              <w:rPr>
                <w:rFonts w:ascii="Times New Roman" w:hAnsi="Times New Roman" w:cs="Times New Roman"/>
                <w:sz w:val="24"/>
                <w:szCs w:val="24"/>
              </w:rPr>
              <w:t>$ 26,628.645</w:t>
            </w:r>
          </w:p>
          <w:p w:rsidR="00C26678" w:rsidRPr="005B1623" w:rsidRDefault="00C26678" w:rsidP="00C26678">
            <w:pPr>
              <w:rPr>
                <w:rFonts w:ascii="Times New Roman" w:hAnsi="Times New Roman" w:cs="Times New Roman"/>
                <w:sz w:val="24"/>
                <w:szCs w:val="24"/>
              </w:rPr>
            </w:pPr>
          </w:p>
        </w:tc>
      </w:tr>
      <w:tr w:rsidR="00C26678" w:rsidRPr="005B1623" w:rsidTr="00C26678">
        <w:trPr>
          <w:trHeight w:val="640"/>
        </w:trPr>
        <w:tc>
          <w:tcPr>
            <w:tcW w:w="1526" w:type="dxa"/>
          </w:tcPr>
          <w:p w:rsidR="00C26678" w:rsidRPr="005B1623" w:rsidRDefault="00C26678" w:rsidP="00C26678">
            <w:pPr>
              <w:rPr>
                <w:rFonts w:ascii="Times New Roman" w:hAnsi="Times New Roman" w:cs="Times New Roman"/>
                <w:sz w:val="24"/>
                <w:szCs w:val="24"/>
              </w:rPr>
            </w:pPr>
            <w:r w:rsidRPr="005B1623">
              <w:rPr>
                <w:rFonts w:ascii="Times New Roman" w:hAnsi="Times New Roman" w:cs="Times New Roman"/>
                <w:sz w:val="24"/>
                <w:szCs w:val="24"/>
              </w:rPr>
              <w:t>Wages and salaries</w:t>
            </w:r>
          </w:p>
        </w:tc>
        <w:tc>
          <w:tcPr>
            <w:tcW w:w="2551" w:type="dxa"/>
          </w:tcPr>
          <w:p w:rsidR="00C26678" w:rsidRPr="005B1623" w:rsidRDefault="00C26678" w:rsidP="00C26678">
            <w:pPr>
              <w:rPr>
                <w:rFonts w:ascii="Times New Roman" w:hAnsi="Times New Roman" w:cs="Times New Roman"/>
                <w:sz w:val="24"/>
                <w:szCs w:val="24"/>
              </w:rPr>
            </w:pPr>
            <w:r w:rsidRPr="005B1623">
              <w:rPr>
                <w:rFonts w:ascii="Times New Roman" w:hAnsi="Times New Roman" w:cs="Times New Roman"/>
                <w:sz w:val="24"/>
                <w:szCs w:val="24"/>
              </w:rPr>
              <w:t>19296.269</w:t>
            </w:r>
          </w:p>
          <w:p w:rsidR="00C26678" w:rsidRPr="005B1623" w:rsidRDefault="00C26678" w:rsidP="00C26678">
            <w:pPr>
              <w:rPr>
                <w:rFonts w:ascii="Times New Roman" w:hAnsi="Times New Roman" w:cs="Times New Roman"/>
                <w:sz w:val="24"/>
                <w:szCs w:val="24"/>
              </w:rPr>
            </w:pPr>
          </w:p>
        </w:tc>
        <w:tc>
          <w:tcPr>
            <w:tcW w:w="5499" w:type="dxa"/>
          </w:tcPr>
          <w:p w:rsidR="00C26678" w:rsidRPr="005B1623" w:rsidRDefault="00C26678" w:rsidP="00C26678">
            <w:pPr>
              <w:rPr>
                <w:rFonts w:ascii="Times New Roman" w:hAnsi="Times New Roman" w:cs="Times New Roman"/>
                <w:sz w:val="24"/>
                <w:szCs w:val="24"/>
              </w:rPr>
            </w:pPr>
            <w:r w:rsidRPr="005B1623">
              <w:rPr>
                <w:rFonts w:ascii="Times New Roman" w:hAnsi="Times New Roman" w:cs="Times New Roman"/>
                <w:sz w:val="24"/>
                <w:szCs w:val="24"/>
              </w:rPr>
              <w:t>26153.174</w:t>
            </w:r>
          </w:p>
        </w:tc>
      </w:tr>
    </w:tbl>
    <w:p w:rsidR="00C26678" w:rsidRPr="005B1623" w:rsidRDefault="00C26678" w:rsidP="000F4CAB">
      <w:pPr>
        <w:rPr>
          <w:rFonts w:ascii="Times New Roman" w:hAnsi="Times New Roman" w:cs="Times New Roman"/>
          <w:sz w:val="24"/>
          <w:szCs w:val="24"/>
        </w:rPr>
      </w:pPr>
    </w:p>
    <w:p w:rsidR="00C26678" w:rsidRPr="005B1623" w:rsidRDefault="00C26678" w:rsidP="000F4CAB">
      <w:pPr>
        <w:rPr>
          <w:rFonts w:ascii="Times New Roman" w:hAnsi="Times New Roman" w:cs="Times New Roman"/>
          <w:sz w:val="24"/>
          <w:szCs w:val="24"/>
        </w:rPr>
      </w:pPr>
      <w:r w:rsidRPr="005B1623">
        <w:rPr>
          <w:rFonts w:ascii="Times New Roman" w:hAnsi="Times New Roman" w:cs="Times New Roman"/>
          <w:noProof/>
          <w:sz w:val="24"/>
          <w:szCs w:val="24"/>
          <w:lang w:eastAsia="en-CA"/>
        </w:rPr>
        <w:drawing>
          <wp:inline distT="0" distB="0" distL="0" distR="0" wp14:anchorId="1D072EB8" wp14:editId="37981067">
            <wp:extent cx="6600825" cy="27432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26678" w:rsidRPr="005B1623" w:rsidRDefault="00C26678" w:rsidP="000F4CAB">
      <w:pPr>
        <w:rPr>
          <w:rFonts w:ascii="Times New Roman" w:hAnsi="Times New Roman" w:cs="Times New Roman"/>
          <w:sz w:val="24"/>
          <w:szCs w:val="24"/>
        </w:rPr>
      </w:pPr>
    </w:p>
    <w:p w:rsidR="00C26678" w:rsidRPr="005B1623" w:rsidRDefault="00C26678" w:rsidP="000F4CAB">
      <w:pPr>
        <w:rPr>
          <w:rFonts w:ascii="Times New Roman" w:hAnsi="Times New Roman" w:cs="Times New Roman"/>
          <w:sz w:val="24"/>
          <w:szCs w:val="24"/>
        </w:rPr>
      </w:pPr>
    </w:p>
    <w:p w:rsidR="00C26678" w:rsidRPr="005B1623" w:rsidRDefault="00C26678" w:rsidP="000F4CAB">
      <w:pPr>
        <w:rPr>
          <w:rFonts w:ascii="Times New Roman" w:hAnsi="Times New Roman" w:cs="Times New Roman"/>
          <w:sz w:val="24"/>
          <w:szCs w:val="24"/>
        </w:rPr>
      </w:pPr>
    </w:p>
    <w:p w:rsidR="00C26678" w:rsidRPr="005B1623" w:rsidRDefault="00C26678" w:rsidP="000F4CAB">
      <w:pPr>
        <w:rPr>
          <w:rFonts w:ascii="Times New Roman" w:hAnsi="Times New Roman" w:cs="Times New Roman"/>
          <w:sz w:val="24"/>
          <w:szCs w:val="24"/>
        </w:rPr>
      </w:pPr>
    </w:p>
    <w:p w:rsidR="00C26678" w:rsidRPr="005B1623" w:rsidRDefault="00C26678" w:rsidP="000F4CAB">
      <w:pPr>
        <w:rPr>
          <w:rFonts w:ascii="Times New Roman" w:hAnsi="Times New Roman" w:cs="Times New Roman"/>
          <w:sz w:val="24"/>
          <w:szCs w:val="24"/>
        </w:rPr>
      </w:pPr>
    </w:p>
    <w:p w:rsidR="00C26678" w:rsidRPr="005B1623" w:rsidRDefault="00C26678" w:rsidP="000F4CAB">
      <w:pPr>
        <w:rPr>
          <w:rFonts w:ascii="Times New Roman" w:hAnsi="Times New Roman" w:cs="Times New Roman"/>
          <w:sz w:val="24"/>
          <w:szCs w:val="24"/>
        </w:rPr>
      </w:pPr>
    </w:p>
    <w:p w:rsidR="00EB62DE" w:rsidRPr="005B1623" w:rsidRDefault="00C26678" w:rsidP="000F4CAB">
      <w:pPr>
        <w:rPr>
          <w:rFonts w:ascii="Times New Roman" w:hAnsi="Times New Roman" w:cs="Times New Roman"/>
          <w:sz w:val="24"/>
          <w:szCs w:val="24"/>
        </w:rPr>
      </w:pPr>
      <w:r w:rsidRPr="005B1623">
        <w:rPr>
          <w:rFonts w:ascii="Times New Roman" w:hAnsi="Times New Roman" w:cs="Times New Roman"/>
          <w:noProof/>
          <w:sz w:val="24"/>
          <w:szCs w:val="24"/>
          <w:lang w:eastAsia="en-CA"/>
        </w:rPr>
        <w:lastRenderedPageBreak/>
        <w:drawing>
          <wp:inline distT="0" distB="0" distL="0" distR="0" wp14:anchorId="5FBA104D" wp14:editId="00104A12">
            <wp:extent cx="6600825" cy="37814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5B1623">
        <w:rPr>
          <w:rFonts w:ascii="Times New Roman" w:hAnsi="Times New Roman" w:cs="Times New Roman"/>
          <w:noProof/>
          <w:sz w:val="24"/>
          <w:szCs w:val="24"/>
          <w:lang w:eastAsia="en-CA"/>
        </w:rPr>
        <w:drawing>
          <wp:inline distT="0" distB="0" distL="0" distR="0" wp14:anchorId="0BF63DD4" wp14:editId="00AEA4B8">
            <wp:extent cx="6524625" cy="30194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5B1623">
        <w:rPr>
          <w:rFonts w:ascii="Times New Roman" w:hAnsi="Times New Roman" w:cs="Times New Roman"/>
          <w:noProof/>
          <w:sz w:val="24"/>
          <w:szCs w:val="24"/>
          <w:lang w:eastAsia="en-CA"/>
        </w:rPr>
        <w:lastRenderedPageBreak/>
        <w:drawing>
          <wp:inline distT="0" distB="0" distL="0" distR="0" wp14:anchorId="46F1D88A" wp14:editId="470D0889">
            <wp:extent cx="6524625" cy="396240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51971" w:rsidRPr="005B1623" w:rsidRDefault="00C26678" w:rsidP="000F4CAB">
      <w:pPr>
        <w:rPr>
          <w:rFonts w:ascii="Times New Roman" w:hAnsi="Times New Roman" w:cs="Times New Roman"/>
          <w:sz w:val="24"/>
          <w:szCs w:val="24"/>
        </w:rPr>
      </w:pPr>
      <w:r w:rsidRPr="005B1623">
        <w:rPr>
          <w:rFonts w:ascii="Times New Roman" w:hAnsi="Times New Roman" w:cs="Times New Roman"/>
          <w:noProof/>
          <w:sz w:val="24"/>
          <w:szCs w:val="24"/>
          <w:lang w:eastAsia="en-CA"/>
        </w:rPr>
        <w:drawing>
          <wp:inline distT="0" distB="0" distL="0" distR="0" wp14:anchorId="5A0D39DF" wp14:editId="48721281">
            <wp:extent cx="6600825" cy="2743200"/>
            <wp:effectExtent l="0" t="0" r="952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51971" w:rsidRPr="005B1623" w:rsidRDefault="003C6E60" w:rsidP="000F4CAB">
      <w:pPr>
        <w:rPr>
          <w:rFonts w:ascii="Times New Roman" w:hAnsi="Times New Roman" w:cs="Times New Roman"/>
          <w:sz w:val="24"/>
          <w:szCs w:val="24"/>
        </w:rPr>
      </w:pPr>
      <w:r w:rsidRPr="005B1623">
        <w:rPr>
          <w:rFonts w:ascii="Times New Roman" w:hAnsi="Times New Roman" w:cs="Times New Roman"/>
          <w:noProof/>
          <w:sz w:val="24"/>
          <w:szCs w:val="24"/>
          <w:lang w:eastAsia="en-CA"/>
        </w:rPr>
        <w:lastRenderedPageBreak/>
        <w:drawing>
          <wp:inline distT="0" distB="0" distL="0" distR="0" wp14:anchorId="5B3CA751" wp14:editId="40EBC111">
            <wp:extent cx="6600825" cy="3276600"/>
            <wp:effectExtent l="0" t="0" r="95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C6E60" w:rsidRPr="005B1623" w:rsidRDefault="003C6E60" w:rsidP="000F4CAB">
      <w:pPr>
        <w:rPr>
          <w:rFonts w:ascii="Times New Roman" w:hAnsi="Times New Roman" w:cs="Times New Roman"/>
          <w:sz w:val="24"/>
          <w:szCs w:val="24"/>
        </w:rPr>
      </w:pPr>
      <w:r w:rsidRPr="005B1623">
        <w:rPr>
          <w:rFonts w:ascii="Times New Roman" w:hAnsi="Times New Roman" w:cs="Times New Roman"/>
          <w:noProof/>
          <w:sz w:val="24"/>
          <w:szCs w:val="24"/>
          <w:lang w:eastAsia="en-CA"/>
        </w:rPr>
        <w:drawing>
          <wp:inline distT="0" distB="0" distL="0" distR="0" wp14:anchorId="2F5A7F92" wp14:editId="3DDCC813">
            <wp:extent cx="6667500" cy="32385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B8E" w:rsidRPr="005B1623" w:rsidRDefault="00075B8E" w:rsidP="000F4CAB">
      <w:pPr>
        <w:rPr>
          <w:rFonts w:ascii="Times New Roman" w:hAnsi="Times New Roman" w:cs="Times New Roman"/>
          <w:sz w:val="24"/>
          <w:szCs w:val="24"/>
        </w:rPr>
      </w:pPr>
      <w:r w:rsidRPr="005B1623">
        <w:rPr>
          <w:rFonts w:ascii="Times New Roman" w:hAnsi="Times New Roman" w:cs="Times New Roman"/>
          <w:sz w:val="24"/>
          <w:szCs w:val="24"/>
        </w:rPr>
        <w:t>Frequency distribution of nominal and ordinal variables:</w:t>
      </w:r>
    </w:p>
    <w:p w:rsidR="00075B8E" w:rsidRPr="005B1623" w:rsidRDefault="00075B8E" w:rsidP="000F4CAB">
      <w:pPr>
        <w:rPr>
          <w:rFonts w:ascii="Times New Roman" w:hAnsi="Times New Roman" w:cs="Times New Roman"/>
          <w:sz w:val="24"/>
          <w:szCs w:val="24"/>
        </w:rPr>
      </w:pPr>
      <w:r w:rsidRPr="005B1623">
        <w:rPr>
          <w:rFonts w:ascii="Times New Roman" w:hAnsi="Times New Roman" w:cs="Times New Roman"/>
          <w:noProof/>
          <w:sz w:val="24"/>
          <w:szCs w:val="24"/>
          <w:lang w:eastAsia="en-CA"/>
        </w:rPr>
        <w:lastRenderedPageBreak/>
        <w:drawing>
          <wp:inline distT="0" distB="0" distL="0" distR="0" wp14:anchorId="59F4580B" wp14:editId="0DE2815B">
            <wp:extent cx="53721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26678" w:rsidRPr="005B1623" w:rsidRDefault="00C26678" w:rsidP="000F4CAB">
      <w:pPr>
        <w:rPr>
          <w:rFonts w:ascii="Times New Roman" w:hAnsi="Times New Roman" w:cs="Times New Roman"/>
          <w:sz w:val="24"/>
          <w:szCs w:val="24"/>
        </w:rPr>
      </w:pPr>
      <w:r w:rsidRPr="005B1623">
        <w:rPr>
          <w:rFonts w:ascii="Times New Roman" w:hAnsi="Times New Roman" w:cs="Times New Roman"/>
          <w:noProof/>
          <w:sz w:val="24"/>
          <w:szCs w:val="24"/>
          <w:lang w:eastAsia="en-CA"/>
        </w:rPr>
        <w:drawing>
          <wp:inline distT="0" distB="0" distL="0" distR="0" wp14:anchorId="45892DFD" wp14:editId="3AB62A03">
            <wp:extent cx="5295900" cy="287655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86CC9" w:rsidRPr="005B1623" w:rsidRDefault="00386CC9" w:rsidP="000F4CAB">
      <w:pPr>
        <w:rPr>
          <w:rFonts w:ascii="Times New Roman" w:hAnsi="Times New Roman" w:cs="Times New Roman"/>
          <w:sz w:val="24"/>
          <w:szCs w:val="24"/>
        </w:rPr>
      </w:pPr>
      <w:r w:rsidRPr="005B1623">
        <w:rPr>
          <w:rFonts w:ascii="Times New Roman" w:hAnsi="Times New Roman" w:cs="Times New Roman"/>
          <w:sz w:val="24"/>
          <w:szCs w:val="24"/>
        </w:rPr>
        <w:t>Explanation:</w:t>
      </w:r>
    </w:p>
    <w:tbl>
      <w:tblPr>
        <w:tblpPr w:leftFromText="180" w:rightFromText="180" w:vertAnchor="text" w:horzAnchor="margin" w:tblpXSpec="center" w:tblpY="102"/>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4"/>
        <w:gridCol w:w="6472"/>
      </w:tblGrid>
      <w:tr w:rsidR="00386CC9" w:rsidRPr="005B1623" w:rsidTr="00386CC9">
        <w:trPr>
          <w:trHeight w:val="315"/>
        </w:trPr>
        <w:tc>
          <w:tcPr>
            <w:tcW w:w="3984"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1: Less than Grade 5</w:t>
            </w:r>
          </w:p>
        </w:tc>
        <w:tc>
          <w:tcPr>
            <w:tcW w:w="6472"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8: With college certificate or diploma</w:t>
            </w:r>
          </w:p>
        </w:tc>
      </w:tr>
      <w:tr w:rsidR="00386CC9" w:rsidRPr="005B1623" w:rsidTr="00386CC9">
        <w:trPr>
          <w:trHeight w:val="315"/>
        </w:trPr>
        <w:tc>
          <w:tcPr>
            <w:tcW w:w="3984"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2: Grades 5 to 8</w:t>
            </w:r>
          </w:p>
        </w:tc>
        <w:tc>
          <w:tcPr>
            <w:tcW w:w="6472"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9: University: Without certificate, diploma or degree</w:t>
            </w:r>
          </w:p>
        </w:tc>
      </w:tr>
      <w:tr w:rsidR="00386CC9" w:rsidRPr="005B1623" w:rsidTr="00386CC9">
        <w:trPr>
          <w:trHeight w:val="315"/>
        </w:trPr>
        <w:tc>
          <w:tcPr>
            <w:tcW w:w="3984"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3: Grades 9 to 13</w:t>
            </w:r>
          </w:p>
        </w:tc>
        <w:tc>
          <w:tcPr>
            <w:tcW w:w="6472"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10: University: With university or college certificate or diploma</w:t>
            </w:r>
          </w:p>
        </w:tc>
      </w:tr>
      <w:tr w:rsidR="00386CC9" w:rsidRPr="005B1623" w:rsidTr="00386CC9">
        <w:trPr>
          <w:trHeight w:val="315"/>
        </w:trPr>
        <w:tc>
          <w:tcPr>
            <w:tcW w:w="3984"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4: Secondary (high) school graduation certificate</w:t>
            </w:r>
          </w:p>
        </w:tc>
        <w:tc>
          <w:tcPr>
            <w:tcW w:w="6472"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 xml:space="preserve">11: University: With bachelor or first professional </w:t>
            </w:r>
          </w:p>
        </w:tc>
      </w:tr>
      <w:tr w:rsidR="00386CC9" w:rsidRPr="005B1623" w:rsidTr="00386CC9">
        <w:trPr>
          <w:trHeight w:val="315"/>
        </w:trPr>
        <w:tc>
          <w:tcPr>
            <w:tcW w:w="3984"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lastRenderedPageBreak/>
              <w:t>5: Trades certificate or diploma</w:t>
            </w:r>
          </w:p>
        </w:tc>
        <w:tc>
          <w:tcPr>
            <w:tcW w:w="6472"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12: University: With certificate or diploma above bachelor level</w:t>
            </w:r>
          </w:p>
        </w:tc>
      </w:tr>
      <w:tr w:rsidR="00386CC9" w:rsidRPr="005B1623" w:rsidTr="00386CC9">
        <w:trPr>
          <w:trHeight w:val="315"/>
        </w:trPr>
        <w:tc>
          <w:tcPr>
            <w:tcW w:w="3984"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6: College: Without trades or college certificate or diploma</w:t>
            </w:r>
          </w:p>
        </w:tc>
        <w:tc>
          <w:tcPr>
            <w:tcW w:w="6472"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13: University: With master degree(s)</w:t>
            </w:r>
          </w:p>
        </w:tc>
      </w:tr>
      <w:tr w:rsidR="00386CC9" w:rsidRPr="005B1623" w:rsidTr="00386CC9">
        <w:trPr>
          <w:trHeight w:val="315"/>
        </w:trPr>
        <w:tc>
          <w:tcPr>
            <w:tcW w:w="3984"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7: College: With trades certificate or diploma</w:t>
            </w:r>
          </w:p>
        </w:tc>
        <w:tc>
          <w:tcPr>
            <w:tcW w:w="6472"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14: University: With earned doctorate</w:t>
            </w:r>
          </w:p>
        </w:tc>
      </w:tr>
      <w:tr w:rsidR="00386CC9" w:rsidRPr="005B1623" w:rsidTr="00386CC9">
        <w:trPr>
          <w:trHeight w:val="315"/>
        </w:trPr>
        <w:tc>
          <w:tcPr>
            <w:tcW w:w="3984"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p>
        </w:tc>
        <w:tc>
          <w:tcPr>
            <w:tcW w:w="6472" w:type="dxa"/>
            <w:shd w:val="clear" w:color="auto" w:fill="auto"/>
            <w:noWrap/>
            <w:vAlign w:val="bottom"/>
            <w:hideMark/>
          </w:tcPr>
          <w:p w:rsidR="00386CC9" w:rsidRPr="005B1623" w:rsidRDefault="00386CC9" w:rsidP="00386CC9">
            <w:pPr>
              <w:rPr>
                <w:rFonts w:ascii="Times New Roman" w:hAnsi="Times New Roman" w:cs="Times New Roman"/>
                <w:color w:val="000000"/>
                <w:sz w:val="24"/>
                <w:szCs w:val="24"/>
              </w:rPr>
            </w:pPr>
            <w:r w:rsidRPr="005B1623">
              <w:rPr>
                <w:rFonts w:ascii="Times New Roman" w:hAnsi="Times New Roman" w:cs="Times New Roman"/>
                <w:color w:val="000000"/>
                <w:sz w:val="24"/>
                <w:szCs w:val="24"/>
              </w:rPr>
              <w:t>15: Not applicable</w:t>
            </w:r>
          </w:p>
        </w:tc>
      </w:tr>
    </w:tbl>
    <w:p w:rsidR="00386CC9" w:rsidRPr="005B1623" w:rsidRDefault="00776EF1" w:rsidP="000F4CAB">
      <w:pPr>
        <w:rPr>
          <w:rFonts w:ascii="Times New Roman" w:hAnsi="Times New Roman" w:cs="Times New Roman"/>
          <w:sz w:val="24"/>
          <w:szCs w:val="24"/>
        </w:rPr>
      </w:pPr>
      <w:r w:rsidRPr="005B1623">
        <w:rPr>
          <w:rFonts w:ascii="Times New Roman" w:hAnsi="Times New Roman" w:cs="Times New Roman"/>
          <w:noProof/>
          <w:sz w:val="24"/>
          <w:szCs w:val="24"/>
          <w:lang w:eastAsia="en-CA"/>
        </w:rPr>
        <w:drawing>
          <wp:inline distT="0" distB="0" distL="0" distR="0" wp14:anchorId="79768C87" wp14:editId="53FA1645">
            <wp:extent cx="5734050" cy="348615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8126A" w:rsidRPr="005B1623" w:rsidRDefault="00F8126A" w:rsidP="000F4CAB">
      <w:pPr>
        <w:rPr>
          <w:rFonts w:ascii="Times New Roman" w:hAnsi="Times New Roman" w:cs="Times New Roman"/>
          <w:sz w:val="24"/>
          <w:szCs w:val="24"/>
        </w:rPr>
      </w:pPr>
      <w:r w:rsidRPr="005B1623">
        <w:rPr>
          <w:rFonts w:ascii="Times New Roman" w:hAnsi="Times New Roman" w:cs="Times New Roman"/>
          <w:sz w:val="24"/>
          <w:szCs w:val="24"/>
        </w:rPr>
        <w:t>Explanation:</w:t>
      </w:r>
    </w:p>
    <w:tbl>
      <w:tblPr>
        <w:tblpPr w:leftFromText="180" w:rightFromText="180" w:vertAnchor="text" w:horzAnchor="margin" w:tblpXSpec="center" w:tblpY="470"/>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678"/>
      </w:tblGrid>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1: Newfoundland and Labrador</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17: Portugal</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2: Nova Scotia</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19: Greece</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3: New Brunswick</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20: USSR, former (European component)</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4: Quebec</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21: Yugoslavia, former</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5: Ontario</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22: Other Europe</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6: Manitoba</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23: West Central Asia and the Middle East</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7: Saskatchewan</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24: India</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8: Alberta</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26: China, People's Republic of</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9: British Columbia</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27: Hong Kong, Special Administrative Region</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lastRenderedPageBreak/>
              <w:t>10: Other province or territory</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28: Philippines</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11: United States</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29: Vietnam</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12: United Kingdom</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30: Other Eastern and South-East Asia</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13: Germany</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33: Central America, South America, Caribbean and Bermuda</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14: Italy</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34: Oceania</w:t>
            </w: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15: Netherlands</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p>
        </w:tc>
      </w:tr>
      <w:tr w:rsidR="00F8126A" w:rsidRPr="005B1623" w:rsidTr="00F8126A">
        <w:trPr>
          <w:trHeight w:val="315"/>
        </w:trPr>
        <w:tc>
          <w:tcPr>
            <w:tcW w:w="4077"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r w:rsidRPr="00776EF1">
              <w:rPr>
                <w:rFonts w:ascii="Times New Roman" w:eastAsia="Times New Roman" w:hAnsi="Times New Roman" w:cs="Times New Roman"/>
                <w:color w:val="000000"/>
                <w:sz w:val="24"/>
                <w:szCs w:val="24"/>
                <w:lang w:eastAsia="en-CA"/>
              </w:rPr>
              <w:t>16: Poland</w:t>
            </w:r>
          </w:p>
        </w:tc>
        <w:tc>
          <w:tcPr>
            <w:tcW w:w="4678" w:type="dxa"/>
            <w:shd w:val="clear" w:color="auto" w:fill="auto"/>
            <w:noWrap/>
            <w:vAlign w:val="bottom"/>
            <w:hideMark/>
          </w:tcPr>
          <w:p w:rsidR="00F8126A" w:rsidRPr="00776EF1" w:rsidRDefault="00F8126A" w:rsidP="00F8126A">
            <w:pPr>
              <w:spacing w:after="0" w:line="240" w:lineRule="auto"/>
              <w:rPr>
                <w:rFonts w:ascii="Times New Roman" w:eastAsia="Times New Roman" w:hAnsi="Times New Roman" w:cs="Times New Roman"/>
                <w:color w:val="000000"/>
                <w:sz w:val="24"/>
                <w:szCs w:val="24"/>
                <w:lang w:eastAsia="en-CA"/>
              </w:rPr>
            </w:pPr>
          </w:p>
        </w:tc>
      </w:tr>
    </w:tbl>
    <w:p w:rsidR="00386CC9" w:rsidRPr="005B1623" w:rsidRDefault="00386CC9" w:rsidP="000F4CAB">
      <w:pPr>
        <w:rPr>
          <w:rFonts w:ascii="Times New Roman" w:hAnsi="Times New Roman" w:cs="Times New Roman"/>
          <w:sz w:val="24"/>
          <w:szCs w:val="24"/>
        </w:rPr>
      </w:pPr>
    </w:p>
    <w:p w:rsidR="00776EF1" w:rsidRPr="005B1623" w:rsidRDefault="00852420" w:rsidP="000F4CAB">
      <w:pPr>
        <w:rPr>
          <w:rFonts w:ascii="Times New Roman" w:hAnsi="Times New Roman" w:cs="Times New Roman"/>
          <w:sz w:val="24"/>
          <w:szCs w:val="24"/>
        </w:rPr>
      </w:pPr>
      <w:r w:rsidRPr="005B1623">
        <w:rPr>
          <w:rFonts w:ascii="Times New Roman" w:hAnsi="Times New Roman" w:cs="Times New Roman"/>
          <w:noProof/>
          <w:sz w:val="24"/>
          <w:szCs w:val="24"/>
          <w:lang w:eastAsia="en-CA"/>
        </w:rPr>
        <w:drawing>
          <wp:inline distT="0" distB="0" distL="0" distR="0" wp14:anchorId="3C353F64" wp14:editId="61CDAF80">
            <wp:extent cx="5829300" cy="32670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86CC9" w:rsidRPr="005B1623" w:rsidRDefault="00386CC9" w:rsidP="000F4CAB">
      <w:pPr>
        <w:rPr>
          <w:rFonts w:ascii="Times New Roman" w:hAnsi="Times New Roman" w:cs="Times New Roman"/>
          <w:sz w:val="24"/>
          <w:szCs w:val="24"/>
        </w:rPr>
      </w:pPr>
      <w:r w:rsidRPr="005B1623">
        <w:rPr>
          <w:rFonts w:ascii="Times New Roman" w:hAnsi="Times New Roman" w:cs="Times New Roman"/>
          <w:sz w:val="24"/>
          <w:szCs w:val="24"/>
        </w:rPr>
        <w:t>Explanation:</w:t>
      </w:r>
    </w:p>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5"/>
        <w:gridCol w:w="4235"/>
      </w:tblGrid>
      <w:tr w:rsidR="00386CC9" w:rsidRPr="00386CC9" w:rsidTr="00386CC9">
        <w:trPr>
          <w:trHeight w:val="315"/>
        </w:trPr>
        <w:tc>
          <w:tcPr>
            <w:tcW w:w="515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 Agricultural, biological, nutritional, and food sciences</w:t>
            </w:r>
          </w:p>
        </w:tc>
        <w:tc>
          <w:tcPr>
            <w:tcW w:w="423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11: Commerce, management and business administration: Office administration, secretarial and clerical</w:t>
            </w:r>
          </w:p>
        </w:tc>
      </w:tr>
      <w:tr w:rsidR="00386CC9" w:rsidRPr="00386CC9" w:rsidTr="00386CC9">
        <w:trPr>
          <w:trHeight w:val="315"/>
        </w:trPr>
        <w:tc>
          <w:tcPr>
            <w:tcW w:w="515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2: All other</w:t>
            </w:r>
          </w:p>
        </w:tc>
        <w:tc>
          <w:tcPr>
            <w:tcW w:w="423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12: Educational, recreational and counselling services</w:t>
            </w:r>
          </w:p>
        </w:tc>
      </w:tr>
      <w:tr w:rsidR="00386CC9" w:rsidRPr="00386CC9" w:rsidTr="00386CC9">
        <w:trPr>
          <w:trHeight w:val="315"/>
        </w:trPr>
        <w:tc>
          <w:tcPr>
            <w:tcW w:w="515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3: Applied science technologies and trades: Building technologies</w:t>
            </w:r>
          </w:p>
        </w:tc>
        <w:tc>
          <w:tcPr>
            <w:tcW w:w="423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13: Engineering and applied sciences</w:t>
            </w:r>
          </w:p>
        </w:tc>
      </w:tr>
      <w:tr w:rsidR="00386CC9" w:rsidRPr="00386CC9" w:rsidTr="00386CC9">
        <w:trPr>
          <w:trHeight w:val="315"/>
        </w:trPr>
        <w:tc>
          <w:tcPr>
            <w:tcW w:w="515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4: Applied science technologies and trades: Data processing and computer technologies</w:t>
            </w:r>
          </w:p>
        </w:tc>
        <w:tc>
          <w:tcPr>
            <w:tcW w:w="423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14: Fine and applied arts</w:t>
            </w:r>
          </w:p>
        </w:tc>
      </w:tr>
      <w:tr w:rsidR="00386CC9" w:rsidRPr="00386CC9" w:rsidTr="00386CC9">
        <w:trPr>
          <w:trHeight w:val="315"/>
        </w:trPr>
        <w:tc>
          <w:tcPr>
            <w:tcW w:w="515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5: Applied science technologies and trades: Electronic and electrical technologies</w:t>
            </w:r>
          </w:p>
        </w:tc>
        <w:tc>
          <w:tcPr>
            <w:tcW w:w="423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15: Health professions and related technologies: Alternative medicine and other health sciences</w:t>
            </w:r>
          </w:p>
        </w:tc>
      </w:tr>
      <w:tr w:rsidR="00386CC9" w:rsidRPr="00386CC9" w:rsidTr="00386CC9">
        <w:trPr>
          <w:trHeight w:val="315"/>
        </w:trPr>
        <w:tc>
          <w:tcPr>
            <w:tcW w:w="515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 xml:space="preserve">6: Applied science technologies and trades: Other engineering technologies, </w:t>
            </w:r>
            <w:proofErr w:type="spellStart"/>
            <w:r w:rsidRPr="00386CC9">
              <w:rPr>
                <w:rFonts w:ascii="Times New Roman" w:eastAsia="Times New Roman" w:hAnsi="Times New Roman" w:cs="Times New Roman"/>
                <w:sz w:val="24"/>
                <w:szCs w:val="24"/>
                <w:lang w:eastAsia="en-CA"/>
              </w:rPr>
              <w:t>n.e.c</w:t>
            </w:r>
            <w:proofErr w:type="spellEnd"/>
            <w:r w:rsidRPr="00386CC9">
              <w:rPr>
                <w:rFonts w:ascii="Times New Roman" w:eastAsia="Times New Roman" w:hAnsi="Times New Roman" w:cs="Times New Roman"/>
                <w:sz w:val="24"/>
                <w:szCs w:val="24"/>
                <w:lang w:eastAsia="en-CA"/>
              </w:rPr>
              <w:t>.</w:t>
            </w:r>
          </w:p>
        </w:tc>
        <w:tc>
          <w:tcPr>
            <w:tcW w:w="423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16: Health professions and related technologies: Nursing</w:t>
            </w:r>
          </w:p>
        </w:tc>
      </w:tr>
      <w:tr w:rsidR="00386CC9" w:rsidRPr="00386CC9" w:rsidTr="00386CC9">
        <w:trPr>
          <w:trHeight w:val="315"/>
        </w:trPr>
        <w:tc>
          <w:tcPr>
            <w:tcW w:w="515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lastRenderedPageBreak/>
              <w:t>7: Commerce, management and business administration: Business and commerce</w:t>
            </w:r>
          </w:p>
        </w:tc>
        <w:tc>
          <w:tcPr>
            <w:tcW w:w="423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17: Humanities and related fields</w:t>
            </w:r>
          </w:p>
        </w:tc>
      </w:tr>
      <w:tr w:rsidR="00386CC9" w:rsidRPr="00386CC9" w:rsidTr="00386CC9">
        <w:trPr>
          <w:trHeight w:val="315"/>
        </w:trPr>
        <w:tc>
          <w:tcPr>
            <w:tcW w:w="515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8: Commerce, management and business administration: Financial management</w:t>
            </w:r>
          </w:p>
        </w:tc>
        <w:tc>
          <w:tcPr>
            <w:tcW w:w="423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18: Mathematics, computer and physical sciences</w:t>
            </w:r>
          </w:p>
        </w:tc>
      </w:tr>
      <w:tr w:rsidR="00386CC9" w:rsidRPr="00386CC9" w:rsidTr="00386CC9">
        <w:trPr>
          <w:trHeight w:val="315"/>
        </w:trPr>
        <w:tc>
          <w:tcPr>
            <w:tcW w:w="515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9: Commerce, management and business administration: Industrial and institutional management and administration</w:t>
            </w:r>
          </w:p>
        </w:tc>
        <w:tc>
          <w:tcPr>
            <w:tcW w:w="423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19: No postsecondary qualifications</w:t>
            </w:r>
          </w:p>
        </w:tc>
      </w:tr>
      <w:tr w:rsidR="00386CC9" w:rsidRPr="00386CC9" w:rsidTr="00386CC9">
        <w:trPr>
          <w:trHeight w:val="315"/>
        </w:trPr>
        <w:tc>
          <w:tcPr>
            <w:tcW w:w="515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10: Commerce, management and business administration: Marketing, merchandising, retailing and sales</w:t>
            </w:r>
          </w:p>
        </w:tc>
        <w:tc>
          <w:tcPr>
            <w:tcW w:w="423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20: Social sciences and related fields</w:t>
            </w:r>
          </w:p>
        </w:tc>
      </w:tr>
      <w:tr w:rsidR="00386CC9" w:rsidRPr="00386CC9" w:rsidTr="00386CC9">
        <w:trPr>
          <w:trHeight w:val="300"/>
        </w:trPr>
        <w:tc>
          <w:tcPr>
            <w:tcW w:w="5155" w:type="dxa"/>
            <w:shd w:val="clear" w:color="auto" w:fill="auto"/>
            <w:noWrap/>
            <w:vAlign w:val="bottom"/>
            <w:hideMark/>
          </w:tcPr>
          <w:p w:rsidR="00386CC9" w:rsidRPr="00386CC9" w:rsidRDefault="00386CC9" w:rsidP="00386CC9">
            <w:pPr>
              <w:spacing w:after="0" w:line="240" w:lineRule="auto"/>
              <w:jc w:val="center"/>
              <w:rPr>
                <w:rFonts w:ascii="Times New Roman" w:eastAsia="Times New Roman" w:hAnsi="Times New Roman" w:cs="Times New Roman"/>
                <w:color w:val="000000"/>
                <w:sz w:val="24"/>
                <w:szCs w:val="24"/>
                <w:lang w:eastAsia="en-CA"/>
              </w:rPr>
            </w:pPr>
          </w:p>
        </w:tc>
        <w:tc>
          <w:tcPr>
            <w:tcW w:w="4235"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color w:val="000000"/>
                <w:sz w:val="24"/>
                <w:szCs w:val="24"/>
                <w:lang w:eastAsia="en-CA"/>
              </w:rPr>
            </w:pPr>
            <w:r w:rsidRPr="00386CC9">
              <w:rPr>
                <w:rFonts w:ascii="Times New Roman" w:eastAsia="Times New Roman" w:hAnsi="Times New Roman" w:cs="Times New Roman"/>
                <w:color w:val="000000"/>
                <w:sz w:val="24"/>
                <w:szCs w:val="24"/>
                <w:lang w:eastAsia="en-CA"/>
              </w:rPr>
              <w:t>N/A: Not available</w:t>
            </w:r>
          </w:p>
        </w:tc>
      </w:tr>
    </w:tbl>
    <w:p w:rsidR="00386CC9" w:rsidRPr="005B1623" w:rsidRDefault="00386CC9" w:rsidP="000F4CAB">
      <w:pPr>
        <w:rPr>
          <w:rFonts w:ascii="Times New Roman" w:hAnsi="Times New Roman" w:cs="Times New Roman"/>
          <w:sz w:val="24"/>
          <w:szCs w:val="24"/>
        </w:rPr>
      </w:pPr>
      <w:r w:rsidRPr="005B1623">
        <w:rPr>
          <w:rFonts w:ascii="Times New Roman" w:hAnsi="Times New Roman" w:cs="Times New Roman"/>
          <w:noProof/>
          <w:sz w:val="24"/>
          <w:szCs w:val="24"/>
          <w:lang w:eastAsia="en-CA"/>
        </w:rPr>
        <w:drawing>
          <wp:inline distT="0" distB="0" distL="0" distR="0" wp14:anchorId="2AD2A8FA" wp14:editId="6EA952BD">
            <wp:extent cx="5972175" cy="3810000"/>
            <wp:effectExtent l="0" t="0" r="9525"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86CC9" w:rsidRPr="005B1623" w:rsidRDefault="00386CC9" w:rsidP="000F4CAB">
      <w:pPr>
        <w:rPr>
          <w:rFonts w:ascii="Times New Roman" w:hAnsi="Times New Roman" w:cs="Times New Roman"/>
          <w:sz w:val="24"/>
          <w:szCs w:val="24"/>
        </w:rPr>
      </w:pPr>
      <w:r w:rsidRPr="005B1623">
        <w:rPr>
          <w:rFonts w:ascii="Times New Roman" w:hAnsi="Times New Roman" w:cs="Times New Roman"/>
          <w:sz w:val="24"/>
          <w:szCs w:val="24"/>
        </w:rPr>
        <w:t>Explanation:</w:t>
      </w:r>
    </w:p>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8"/>
        <w:gridCol w:w="3702"/>
      </w:tblGrid>
      <w:tr w:rsidR="00386CC9" w:rsidRPr="00386CC9" w:rsidTr="00386CC9">
        <w:trPr>
          <w:trHeight w:val="315"/>
        </w:trPr>
        <w:tc>
          <w:tcPr>
            <w:tcW w:w="5688"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 Accommodation and food services</w:t>
            </w:r>
          </w:p>
        </w:tc>
        <w:tc>
          <w:tcPr>
            <w:tcW w:w="3702"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11: Mining and oil and gas extraction</w:t>
            </w:r>
          </w:p>
        </w:tc>
      </w:tr>
      <w:tr w:rsidR="00386CC9" w:rsidRPr="00386CC9" w:rsidTr="00386CC9">
        <w:trPr>
          <w:trHeight w:val="315"/>
        </w:trPr>
        <w:tc>
          <w:tcPr>
            <w:tcW w:w="5688"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2: Administrative and support, waste management and remediation services</w:t>
            </w:r>
          </w:p>
        </w:tc>
        <w:tc>
          <w:tcPr>
            <w:tcW w:w="3702"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12: Other services (except public administration)</w:t>
            </w:r>
          </w:p>
        </w:tc>
      </w:tr>
      <w:tr w:rsidR="00386CC9" w:rsidRPr="00386CC9" w:rsidTr="00386CC9">
        <w:trPr>
          <w:trHeight w:val="315"/>
        </w:trPr>
        <w:tc>
          <w:tcPr>
            <w:tcW w:w="5688"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3:Agriculture, forestry, fishing and hunting</w:t>
            </w:r>
          </w:p>
        </w:tc>
        <w:tc>
          <w:tcPr>
            <w:tcW w:w="3702"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13: Professional, scientific and technical services</w:t>
            </w:r>
          </w:p>
        </w:tc>
      </w:tr>
      <w:tr w:rsidR="00386CC9" w:rsidRPr="00386CC9" w:rsidTr="00386CC9">
        <w:trPr>
          <w:trHeight w:val="315"/>
        </w:trPr>
        <w:tc>
          <w:tcPr>
            <w:tcW w:w="5688"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4: Arts, entertainment and recreation</w:t>
            </w:r>
          </w:p>
        </w:tc>
        <w:tc>
          <w:tcPr>
            <w:tcW w:w="3702"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14: Public administration</w:t>
            </w:r>
          </w:p>
        </w:tc>
      </w:tr>
      <w:tr w:rsidR="00386CC9" w:rsidRPr="00386CC9" w:rsidTr="00386CC9">
        <w:trPr>
          <w:trHeight w:val="315"/>
        </w:trPr>
        <w:tc>
          <w:tcPr>
            <w:tcW w:w="5688"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5: Construction</w:t>
            </w:r>
          </w:p>
        </w:tc>
        <w:tc>
          <w:tcPr>
            <w:tcW w:w="3702"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15: Real estate and rental and leasing</w:t>
            </w:r>
          </w:p>
        </w:tc>
      </w:tr>
      <w:tr w:rsidR="00386CC9" w:rsidRPr="00386CC9" w:rsidTr="00386CC9">
        <w:trPr>
          <w:trHeight w:val="315"/>
        </w:trPr>
        <w:tc>
          <w:tcPr>
            <w:tcW w:w="5688"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6: Educational services</w:t>
            </w:r>
          </w:p>
        </w:tc>
        <w:tc>
          <w:tcPr>
            <w:tcW w:w="3702"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16: Retail trade</w:t>
            </w:r>
          </w:p>
        </w:tc>
      </w:tr>
      <w:tr w:rsidR="00386CC9" w:rsidRPr="00386CC9" w:rsidTr="00386CC9">
        <w:trPr>
          <w:trHeight w:val="315"/>
        </w:trPr>
        <w:tc>
          <w:tcPr>
            <w:tcW w:w="5688"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lastRenderedPageBreak/>
              <w:t>7: Finance and insurance</w:t>
            </w:r>
          </w:p>
        </w:tc>
        <w:tc>
          <w:tcPr>
            <w:tcW w:w="3702"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17: Transportation and warehousing</w:t>
            </w:r>
          </w:p>
        </w:tc>
      </w:tr>
      <w:tr w:rsidR="00386CC9" w:rsidRPr="00386CC9" w:rsidTr="00386CC9">
        <w:trPr>
          <w:trHeight w:val="315"/>
        </w:trPr>
        <w:tc>
          <w:tcPr>
            <w:tcW w:w="5688"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8: Health care and social assistance</w:t>
            </w:r>
          </w:p>
        </w:tc>
        <w:tc>
          <w:tcPr>
            <w:tcW w:w="3702"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18: Utilities</w:t>
            </w:r>
          </w:p>
        </w:tc>
      </w:tr>
      <w:tr w:rsidR="00386CC9" w:rsidRPr="00386CC9" w:rsidTr="00386CC9">
        <w:trPr>
          <w:trHeight w:val="315"/>
        </w:trPr>
        <w:tc>
          <w:tcPr>
            <w:tcW w:w="5688"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9: Information and cultural industries</w:t>
            </w:r>
          </w:p>
        </w:tc>
        <w:tc>
          <w:tcPr>
            <w:tcW w:w="3702"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19: Wholesale trade</w:t>
            </w:r>
          </w:p>
        </w:tc>
      </w:tr>
      <w:tr w:rsidR="00386CC9" w:rsidRPr="00386CC9" w:rsidTr="00386CC9">
        <w:trPr>
          <w:trHeight w:val="315"/>
        </w:trPr>
        <w:tc>
          <w:tcPr>
            <w:tcW w:w="5688"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sz w:val="24"/>
                <w:szCs w:val="24"/>
                <w:lang w:eastAsia="en-CA"/>
              </w:rPr>
            </w:pPr>
            <w:r w:rsidRPr="00386CC9">
              <w:rPr>
                <w:rFonts w:ascii="Times New Roman" w:eastAsia="Times New Roman" w:hAnsi="Times New Roman" w:cs="Times New Roman"/>
                <w:sz w:val="24"/>
                <w:szCs w:val="24"/>
                <w:lang w:eastAsia="en-CA"/>
              </w:rPr>
              <w:t>10: Manufacturing</w:t>
            </w:r>
          </w:p>
        </w:tc>
        <w:tc>
          <w:tcPr>
            <w:tcW w:w="3702" w:type="dxa"/>
            <w:shd w:val="clear" w:color="auto" w:fill="auto"/>
            <w:noWrap/>
            <w:vAlign w:val="bottom"/>
            <w:hideMark/>
          </w:tcPr>
          <w:p w:rsidR="00386CC9" w:rsidRPr="00386CC9" w:rsidRDefault="00386CC9" w:rsidP="00386CC9">
            <w:pPr>
              <w:spacing w:after="0" w:line="240" w:lineRule="auto"/>
              <w:rPr>
                <w:rFonts w:ascii="Times New Roman" w:eastAsia="Times New Roman" w:hAnsi="Times New Roman" w:cs="Times New Roman"/>
                <w:color w:val="000000"/>
                <w:sz w:val="24"/>
                <w:szCs w:val="24"/>
                <w:lang w:eastAsia="en-CA"/>
              </w:rPr>
            </w:pPr>
            <w:r w:rsidRPr="00386CC9">
              <w:rPr>
                <w:rFonts w:ascii="Times New Roman" w:eastAsia="Times New Roman" w:hAnsi="Times New Roman" w:cs="Times New Roman"/>
                <w:color w:val="000000"/>
                <w:sz w:val="24"/>
                <w:szCs w:val="24"/>
                <w:lang w:eastAsia="en-CA"/>
              </w:rPr>
              <w:t>N/A: Not Available</w:t>
            </w:r>
          </w:p>
        </w:tc>
      </w:tr>
    </w:tbl>
    <w:p w:rsidR="005B1623" w:rsidRPr="005B1623" w:rsidRDefault="005B1623" w:rsidP="005B1623">
      <w:pPr>
        <w:spacing w:after="0" w:line="240" w:lineRule="auto"/>
        <w:rPr>
          <w:rFonts w:ascii="Calibri" w:eastAsia="Times New Roman" w:hAnsi="Calibri" w:cs="Calibri"/>
          <w:color w:val="000000"/>
          <w:lang w:eastAsia="en-CA"/>
        </w:rPr>
      </w:pPr>
    </w:p>
    <w:p w:rsidR="00386CC9" w:rsidRPr="005B1623" w:rsidRDefault="005B1623" w:rsidP="000F4CAB">
      <w:pPr>
        <w:rPr>
          <w:rFonts w:ascii="Times New Roman" w:hAnsi="Times New Roman" w:cs="Times New Roman"/>
          <w:sz w:val="24"/>
          <w:szCs w:val="24"/>
        </w:rPr>
      </w:pPr>
      <w:r>
        <w:rPr>
          <w:noProof/>
          <w:lang w:eastAsia="en-CA"/>
        </w:rPr>
        <w:drawing>
          <wp:inline distT="0" distB="0" distL="0" distR="0" wp14:anchorId="5BFAA443" wp14:editId="792C3695">
            <wp:extent cx="5953125" cy="2743200"/>
            <wp:effectExtent l="0" t="0" r="9525"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12717" w:rsidRPr="005B1623" w:rsidRDefault="00812717" w:rsidP="000F4CAB">
      <w:pPr>
        <w:rPr>
          <w:rFonts w:ascii="Times New Roman" w:hAnsi="Times New Roman" w:cs="Times New Roman"/>
          <w:sz w:val="24"/>
          <w:szCs w:val="24"/>
        </w:rPr>
      </w:pPr>
      <w:r w:rsidRPr="005B1623">
        <w:rPr>
          <w:rFonts w:ascii="Times New Roman" w:hAnsi="Times New Roman" w:cs="Times New Roman"/>
          <w:sz w:val="24"/>
          <w:szCs w:val="24"/>
        </w:rPr>
        <w:t>Explanation:</w:t>
      </w:r>
    </w:p>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8"/>
        <w:gridCol w:w="5002"/>
      </w:tblGrid>
      <w:tr w:rsidR="00812717" w:rsidRPr="00812717" w:rsidTr="00812717">
        <w:trPr>
          <w:trHeight w:val="315"/>
        </w:trPr>
        <w:tc>
          <w:tcPr>
            <w:tcW w:w="4388" w:type="dxa"/>
            <w:shd w:val="clear" w:color="auto" w:fill="auto"/>
            <w:noWrap/>
            <w:hideMark/>
          </w:tcPr>
          <w:p w:rsidR="00812717" w:rsidRPr="00812717" w:rsidRDefault="00812717" w:rsidP="00812717">
            <w:pPr>
              <w:spacing w:after="0" w:line="240" w:lineRule="auto"/>
              <w:rPr>
                <w:rFonts w:ascii="Times New Roman" w:eastAsia="Times New Roman" w:hAnsi="Times New Roman" w:cs="Times New Roman"/>
                <w:sz w:val="24"/>
                <w:szCs w:val="24"/>
                <w:lang w:eastAsia="en-CA"/>
              </w:rPr>
            </w:pPr>
            <w:r w:rsidRPr="00812717">
              <w:rPr>
                <w:rFonts w:ascii="Times New Roman" w:eastAsia="Times New Roman" w:hAnsi="Times New Roman" w:cs="Times New Roman"/>
                <w:sz w:val="24"/>
                <w:szCs w:val="24"/>
                <w:lang w:eastAsia="en-CA"/>
              </w:rPr>
              <w:t>1: Employed - Absent</w:t>
            </w:r>
          </w:p>
        </w:tc>
        <w:tc>
          <w:tcPr>
            <w:tcW w:w="5002" w:type="dxa"/>
            <w:shd w:val="clear" w:color="auto" w:fill="auto"/>
            <w:noWrap/>
            <w:hideMark/>
          </w:tcPr>
          <w:p w:rsidR="00812717" w:rsidRPr="00812717" w:rsidRDefault="00812717" w:rsidP="00812717">
            <w:pPr>
              <w:spacing w:after="0" w:line="240" w:lineRule="auto"/>
              <w:rPr>
                <w:rFonts w:ascii="Times New Roman" w:eastAsia="Times New Roman" w:hAnsi="Times New Roman" w:cs="Times New Roman"/>
                <w:sz w:val="24"/>
                <w:szCs w:val="24"/>
                <w:lang w:eastAsia="en-CA"/>
              </w:rPr>
            </w:pPr>
            <w:r w:rsidRPr="00812717">
              <w:rPr>
                <w:rFonts w:ascii="Times New Roman" w:eastAsia="Times New Roman" w:hAnsi="Times New Roman" w:cs="Times New Roman"/>
                <w:sz w:val="24"/>
                <w:szCs w:val="24"/>
                <w:lang w:eastAsia="en-CA"/>
              </w:rPr>
              <w:t>8: Unemployed - Lay-off - Looked for full-time work</w:t>
            </w:r>
          </w:p>
        </w:tc>
      </w:tr>
      <w:tr w:rsidR="00812717" w:rsidRPr="00812717" w:rsidTr="00812717">
        <w:trPr>
          <w:trHeight w:val="315"/>
        </w:trPr>
        <w:tc>
          <w:tcPr>
            <w:tcW w:w="4388" w:type="dxa"/>
            <w:shd w:val="clear" w:color="auto" w:fill="auto"/>
            <w:noWrap/>
            <w:hideMark/>
          </w:tcPr>
          <w:p w:rsidR="00812717" w:rsidRPr="00812717" w:rsidRDefault="00812717" w:rsidP="00812717">
            <w:pPr>
              <w:spacing w:after="0" w:line="240" w:lineRule="auto"/>
              <w:rPr>
                <w:rFonts w:ascii="Times New Roman" w:eastAsia="Times New Roman" w:hAnsi="Times New Roman" w:cs="Times New Roman"/>
                <w:sz w:val="24"/>
                <w:szCs w:val="24"/>
                <w:lang w:eastAsia="en-CA"/>
              </w:rPr>
            </w:pPr>
            <w:r w:rsidRPr="00812717">
              <w:rPr>
                <w:rFonts w:ascii="Times New Roman" w:eastAsia="Times New Roman" w:hAnsi="Times New Roman" w:cs="Times New Roman"/>
                <w:sz w:val="24"/>
                <w:szCs w:val="24"/>
                <w:lang w:eastAsia="en-CA"/>
              </w:rPr>
              <w:t>2: Employed - Worked</w:t>
            </w:r>
          </w:p>
        </w:tc>
        <w:tc>
          <w:tcPr>
            <w:tcW w:w="5002" w:type="dxa"/>
            <w:shd w:val="clear" w:color="auto" w:fill="auto"/>
            <w:noWrap/>
            <w:hideMark/>
          </w:tcPr>
          <w:p w:rsidR="00812717" w:rsidRPr="00812717" w:rsidRDefault="00812717" w:rsidP="00812717">
            <w:pPr>
              <w:spacing w:after="0" w:line="240" w:lineRule="auto"/>
              <w:rPr>
                <w:rFonts w:ascii="Times New Roman" w:eastAsia="Times New Roman" w:hAnsi="Times New Roman" w:cs="Times New Roman"/>
                <w:sz w:val="24"/>
                <w:szCs w:val="24"/>
                <w:lang w:eastAsia="en-CA"/>
              </w:rPr>
            </w:pPr>
            <w:r w:rsidRPr="00812717">
              <w:rPr>
                <w:rFonts w:ascii="Times New Roman" w:eastAsia="Times New Roman" w:hAnsi="Times New Roman" w:cs="Times New Roman"/>
                <w:sz w:val="24"/>
                <w:szCs w:val="24"/>
                <w:lang w:eastAsia="en-CA"/>
              </w:rPr>
              <w:t>9: Unemployed - Looked for full-time work</w:t>
            </w:r>
          </w:p>
        </w:tc>
      </w:tr>
      <w:tr w:rsidR="00812717" w:rsidRPr="00812717" w:rsidTr="00812717">
        <w:trPr>
          <w:trHeight w:val="315"/>
        </w:trPr>
        <w:tc>
          <w:tcPr>
            <w:tcW w:w="4388" w:type="dxa"/>
            <w:shd w:val="clear" w:color="auto" w:fill="auto"/>
            <w:noWrap/>
            <w:hideMark/>
          </w:tcPr>
          <w:p w:rsidR="00812717" w:rsidRPr="00812717" w:rsidRDefault="00812717" w:rsidP="00812717">
            <w:pPr>
              <w:spacing w:after="0" w:line="240" w:lineRule="auto"/>
              <w:rPr>
                <w:rFonts w:ascii="Times New Roman" w:eastAsia="Times New Roman" w:hAnsi="Times New Roman" w:cs="Times New Roman"/>
                <w:sz w:val="24"/>
                <w:szCs w:val="24"/>
                <w:lang w:eastAsia="en-CA"/>
              </w:rPr>
            </w:pPr>
            <w:r w:rsidRPr="00812717">
              <w:rPr>
                <w:rFonts w:ascii="Times New Roman" w:eastAsia="Times New Roman" w:hAnsi="Times New Roman" w:cs="Times New Roman"/>
                <w:sz w:val="24"/>
                <w:szCs w:val="24"/>
                <w:lang w:eastAsia="en-CA"/>
              </w:rPr>
              <w:t>3: Not in the labour force - Last worked before 2</w:t>
            </w:r>
          </w:p>
        </w:tc>
        <w:tc>
          <w:tcPr>
            <w:tcW w:w="5002" w:type="dxa"/>
            <w:shd w:val="clear" w:color="auto" w:fill="auto"/>
            <w:noWrap/>
            <w:hideMark/>
          </w:tcPr>
          <w:p w:rsidR="00812717" w:rsidRPr="00812717" w:rsidRDefault="00812717" w:rsidP="00812717">
            <w:pPr>
              <w:spacing w:after="0" w:line="240" w:lineRule="auto"/>
              <w:rPr>
                <w:rFonts w:ascii="Times New Roman" w:eastAsia="Times New Roman" w:hAnsi="Times New Roman" w:cs="Times New Roman"/>
                <w:sz w:val="24"/>
                <w:szCs w:val="24"/>
                <w:lang w:eastAsia="en-CA"/>
              </w:rPr>
            </w:pPr>
            <w:r w:rsidRPr="00812717">
              <w:rPr>
                <w:rFonts w:ascii="Times New Roman" w:eastAsia="Times New Roman" w:hAnsi="Times New Roman" w:cs="Times New Roman"/>
                <w:sz w:val="24"/>
                <w:szCs w:val="24"/>
                <w:lang w:eastAsia="en-CA"/>
              </w:rPr>
              <w:t>10: Unemployed - Looked for part-time work</w:t>
            </w:r>
          </w:p>
        </w:tc>
      </w:tr>
      <w:tr w:rsidR="00812717" w:rsidRPr="00812717" w:rsidTr="00812717">
        <w:trPr>
          <w:trHeight w:val="315"/>
        </w:trPr>
        <w:tc>
          <w:tcPr>
            <w:tcW w:w="4388" w:type="dxa"/>
            <w:shd w:val="clear" w:color="auto" w:fill="auto"/>
            <w:noWrap/>
            <w:hideMark/>
          </w:tcPr>
          <w:p w:rsidR="00812717" w:rsidRPr="00812717" w:rsidRDefault="00812717" w:rsidP="00812717">
            <w:pPr>
              <w:spacing w:after="0" w:line="240" w:lineRule="auto"/>
              <w:rPr>
                <w:rFonts w:ascii="Times New Roman" w:eastAsia="Times New Roman" w:hAnsi="Times New Roman" w:cs="Times New Roman"/>
                <w:sz w:val="24"/>
                <w:szCs w:val="24"/>
                <w:lang w:eastAsia="en-CA"/>
              </w:rPr>
            </w:pPr>
            <w:r w:rsidRPr="00812717">
              <w:rPr>
                <w:rFonts w:ascii="Times New Roman" w:eastAsia="Times New Roman" w:hAnsi="Times New Roman" w:cs="Times New Roman"/>
                <w:sz w:val="24"/>
                <w:szCs w:val="24"/>
                <w:lang w:eastAsia="en-CA"/>
              </w:rPr>
              <w:t>4: Not in the labour force - Last worked in 2</w:t>
            </w:r>
          </w:p>
        </w:tc>
        <w:tc>
          <w:tcPr>
            <w:tcW w:w="5002" w:type="dxa"/>
            <w:shd w:val="clear" w:color="auto" w:fill="auto"/>
            <w:noWrap/>
            <w:hideMark/>
          </w:tcPr>
          <w:p w:rsidR="00812717" w:rsidRPr="00812717" w:rsidRDefault="00812717" w:rsidP="00812717">
            <w:pPr>
              <w:spacing w:after="0" w:line="240" w:lineRule="auto"/>
              <w:rPr>
                <w:rFonts w:ascii="Times New Roman" w:eastAsia="Times New Roman" w:hAnsi="Times New Roman" w:cs="Times New Roman"/>
                <w:sz w:val="24"/>
                <w:szCs w:val="24"/>
                <w:lang w:eastAsia="en-CA"/>
              </w:rPr>
            </w:pPr>
            <w:r w:rsidRPr="00812717">
              <w:rPr>
                <w:rFonts w:ascii="Times New Roman" w:eastAsia="Times New Roman" w:hAnsi="Times New Roman" w:cs="Times New Roman"/>
                <w:sz w:val="24"/>
                <w:szCs w:val="24"/>
                <w:lang w:eastAsia="en-CA"/>
              </w:rPr>
              <w:t>11: Unemployed - New job - Did not look for work</w:t>
            </w:r>
          </w:p>
        </w:tc>
      </w:tr>
      <w:tr w:rsidR="00812717" w:rsidRPr="00812717" w:rsidTr="00812717">
        <w:trPr>
          <w:trHeight w:val="315"/>
        </w:trPr>
        <w:tc>
          <w:tcPr>
            <w:tcW w:w="4388" w:type="dxa"/>
            <w:shd w:val="clear" w:color="auto" w:fill="auto"/>
            <w:noWrap/>
            <w:hideMark/>
          </w:tcPr>
          <w:p w:rsidR="00812717" w:rsidRPr="00812717" w:rsidRDefault="00812717" w:rsidP="00812717">
            <w:pPr>
              <w:spacing w:after="0" w:line="240" w:lineRule="auto"/>
              <w:rPr>
                <w:rFonts w:ascii="Times New Roman" w:eastAsia="Times New Roman" w:hAnsi="Times New Roman" w:cs="Times New Roman"/>
                <w:sz w:val="24"/>
                <w:szCs w:val="24"/>
                <w:lang w:eastAsia="en-CA"/>
              </w:rPr>
            </w:pPr>
            <w:r w:rsidRPr="00812717">
              <w:rPr>
                <w:rFonts w:ascii="Times New Roman" w:eastAsia="Times New Roman" w:hAnsi="Times New Roman" w:cs="Times New Roman"/>
                <w:sz w:val="24"/>
                <w:szCs w:val="24"/>
                <w:lang w:eastAsia="en-CA"/>
              </w:rPr>
              <w:t>5: Not in the labour force - Last worked in 21</w:t>
            </w:r>
          </w:p>
        </w:tc>
        <w:tc>
          <w:tcPr>
            <w:tcW w:w="5002" w:type="dxa"/>
            <w:shd w:val="clear" w:color="auto" w:fill="auto"/>
            <w:noWrap/>
            <w:hideMark/>
          </w:tcPr>
          <w:p w:rsidR="00812717" w:rsidRPr="00812717" w:rsidRDefault="00812717" w:rsidP="00812717">
            <w:pPr>
              <w:spacing w:after="0" w:line="240" w:lineRule="auto"/>
              <w:rPr>
                <w:rFonts w:ascii="Times New Roman" w:eastAsia="Times New Roman" w:hAnsi="Times New Roman" w:cs="Times New Roman"/>
                <w:sz w:val="24"/>
                <w:szCs w:val="24"/>
                <w:lang w:eastAsia="en-CA"/>
              </w:rPr>
            </w:pPr>
            <w:r w:rsidRPr="00812717">
              <w:rPr>
                <w:rFonts w:ascii="Times New Roman" w:eastAsia="Times New Roman" w:hAnsi="Times New Roman" w:cs="Times New Roman"/>
                <w:sz w:val="24"/>
                <w:szCs w:val="24"/>
                <w:lang w:eastAsia="en-CA"/>
              </w:rPr>
              <w:t>12: Unemployed - New job - Looked for full-time work</w:t>
            </w:r>
          </w:p>
        </w:tc>
      </w:tr>
      <w:tr w:rsidR="00812717" w:rsidRPr="00812717" w:rsidTr="00812717">
        <w:trPr>
          <w:trHeight w:val="315"/>
        </w:trPr>
        <w:tc>
          <w:tcPr>
            <w:tcW w:w="4388" w:type="dxa"/>
            <w:shd w:val="clear" w:color="auto" w:fill="auto"/>
            <w:noWrap/>
            <w:hideMark/>
          </w:tcPr>
          <w:p w:rsidR="00812717" w:rsidRPr="00812717" w:rsidRDefault="00812717" w:rsidP="00812717">
            <w:pPr>
              <w:spacing w:after="0" w:line="240" w:lineRule="auto"/>
              <w:rPr>
                <w:rFonts w:ascii="Times New Roman" w:eastAsia="Times New Roman" w:hAnsi="Times New Roman" w:cs="Times New Roman"/>
                <w:sz w:val="24"/>
                <w:szCs w:val="24"/>
                <w:lang w:eastAsia="en-CA"/>
              </w:rPr>
            </w:pPr>
            <w:r w:rsidRPr="00812717">
              <w:rPr>
                <w:rFonts w:ascii="Times New Roman" w:eastAsia="Times New Roman" w:hAnsi="Times New Roman" w:cs="Times New Roman"/>
                <w:sz w:val="24"/>
                <w:szCs w:val="24"/>
                <w:lang w:eastAsia="en-CA"/>
              </w:rPr>
              <w:t>6: Not in the labour force - Never worked</w:t>
            </w:r>
          </w:p>
        </w:tc>
        <w:tc>
          <w:tcPr>
            <w:tcW w:w="5002" w:type="dxa"/>
            <w:shd w:val="clear" w:color="auto" w:fill="auto"/>
            <w:noWrap/>
            <w:hideMark/>
          </w:tcPr>
          <w:p w:rsidR="00812717" w:rsidRPr="00812717" w:rsidRDefault="00812717" w:rsidP="00812717">
            <w:pPr>
              <w:spacing w:after="0" w:line="240" w:lineRule="auto"/>
              <w:rPr>
                <w:rFonts w:ascii="Times New Roman" w:eastAsia="Times New Roman" w:hAnsi="Times New Roman" w:cs="Times New Roman"/>
                <w:sz w:val="24"/>
                <w:szCs w:val="24"/>
                <w:lang w:eastAsia="en-CA"/>
              </w:rPr>
            </w:pPr>
            <w:r w:rsidRPr="00812717">
              <w:rPr>
                <w:rFonts w:ascii="Times New Roman" w:eastAsia="Times New Roman" w:hAnsi="Times New Roman" w:cs="Times New Roman"/>
                <w:sz w:val="24"/>
                <w:szCs w:val="24"/>
                <w:lang w:eastAsia="en-CA"/>
              </w:rPr>
              <w:t>13: Unemployed - New job - Looked for part-time work</w:t>
            </w:r>
          </w:p>
        </w:tc>
      </w:tr>
      <w:tr w:rsidR="00812717" w:rsidRPr="00812717" w:rsidTr="00812717">
        <w:trPr>
          <w:trHeight w:val="315"/>
        </w:trPr>
        <w:tc>
          <w:tcPr>
            <w:tcW w:w="4388" w:type="dxa"/>
            <w:shd w:val="clear" w:color="auto" w:fill="auto"/>
            <w:noWrap/>
            <w:hideMark/>
          </w:tcPr>
          <w:p w:rsidR="00812717" w:rsidRPr="00812717" w:rsidRDefault="00812717" w:rsidP="00812717">
            <w:pPr>
              <w:spacing w:after="0" w:line="240" w:lineRule="auto"/>
              <w:rPr>
                <w:rFonts w:ascii="Times New Roman" w:eastAsia="Times New Roman" w:hAnsi="Times New Roman" w:cs="Times New Roman"/>
                <w:sz w:val="24"/>
                <w:szCs w:val="24"/>
                <w:lang w:eastAsia="en-CA"/>
              </w:rPr>
            </w:pPr>
            <w:r w:rsidRPr="00812717">
              <w:rPr>
                <w:rFonts w:ascii="Times New Roman" w:eastAsia="Times New Roman" w:hAnsi="Times New Roman" w:cs="Times New Roman"/>
                <w:sz w:val="24"/>
                <w:szCs w:val="24"/>
                <w:lang w:eastAsia="en-CA"/>
              </w:rPr>
              <w:t>7: Unemployed - Lay-off - Did not look for work</w:t>
            </w:r>
          </w:p>
        </w:tc>
        <w:tc>
          <w:tcPr>
            <w:tcW w:w="5002" w:type="dxa"/>
            <w:shd w:val="clear" w:color="auto" w:fill="auto"/>
            <w:noWrap/>
            <w:vAlign w:val="bottom"/>
            <w:hideMark/>
          </w:tcPr>
          <w:p w:rsidR="00812717" w:rsidRPr="00812717" w:rsidRDefault="00812717" w:rsidP="00812717">
            <w:pPr>
              <w:spacing w:after="0" w:line="240" w:lineRule="auto"/>
              <w:rPr>
                <w:rFonts w:ascii="Times New Roman" w:eastAsia="Times New Roman" w:hAnsi="Times New Roman" w:cs="Times New Roman"/>
                <w:color w:val="000000"/>
                <w:sz w:val="24"/>
                <w:szCs w:val="24"/>
                <w:lang w:eastAsia="en-CA"/>
              </w:rPr>
            </w:pPr>
            <w:r w:rsidRPr="00812717">
              <w:rPr>
                <w:rFonts w:ascii="Times New Roman" w:eastAsia="Times New Roman" w:hAnsi="Times New Roman" w:cs="Times New Roman"/>
                <w:color w:val="000000"/>
                <w:sz w:val="24"/>
                <w:szCs w:val="24"/>
                <w:lang w:eastAsia="en-CA"/>
              </w:rPr>
              <w:t>N/A: Not available</w:t>
            </w:r>
          </w:p>
        </w:tc>
      </w:tr>
    </w:tbl>
    <w:p w:rsidR="00812717" w:rsidRPr="005B1623" w:rsidRDefault="00812717" w:rsidP="000F4CAB">
      <w:pPr>
        <w:rPr>
          <w:rFonts w:ascii="Times New Roman" w:hAnsi="Times New Roman" w:cs="Times New Roman"/>
          <w:sz w:val="24"/>
          <w:szCs w:val="24"/>
        </w:rPr>
      </w:pPr>
    </w:p>
    <w:p w:rsidR="005B1623" w:rsidRPr="005B1623" w:rsidRDefault="005B1623" w:rsidP="000F4CAB">
      <w:pPr>
        <w:rPr>
          <w:rFonts w:ascii="Times New Roman" w:hAnsi="Times New Roman" w:cs="Times New Roman"/>
          <w:sz w:val="24"/>
          <w:szCs w:val="24"/>
        </w:rPr>
      </w:pPr>
    </w:p>
    <w:p w:rsidR="005B1623" w:rsidRPr="005B1623" w:rsidRDefault="005B1623" w:rsidP="000F4CAB">
      <w:pPr>
        <w:rPr>
          <w:rFonts w:ascii="Times New Roman" w:hAnsi="Times New Roman" w:cs="Times New Roman"/>
          <w:sz w:val="24"/>
          <w:szCs w:val="24"/>
        </w:rPr>
      </w:pPr>
    </w:p>
    <w:p w:rsidR="005B1623" w:rsidRPr="005B1623" w:rsidRDefault="005B1623" w:rsidP="000F4CAB">
      <w:pPr>
        <w:rPr>
          <w:rFonts w:ascii="Times New Roman" w:hAnsi="Times New Roman" w:cs="Times New Roman"/>
          <w:sz w:val="24"/>
          <w:szCs w:val="24"/>
        </w:rPr>
      </w:pPr>
    </w:p>
    <w:p w:rsidR="005B1623" w:rsidRDefault="005B1623" w:rsidP="000F4CAB">
      <w:pPr>
        <w:rPr>
          <w:rFonts w:ascii="Times New Roman" w:hAnsi="Times New Roman" w:cs="Times New Roman"/>
          <w:sz w:val="24"/>
          <w:szCs w:val="24"/>
        </w:rPr>
      </w:pPr>
    </w:p>
    <w:p w:rsidR="005B1623" w:rsidRPr="005B1623" w:rsidRDefault="005B1623" w:rsidP="000F4CAB">
      <w:pPr>
        <w:rPr>
          <w:rFonts w:ascii="Times New Roman" w:hAnsi="Times New Roman" w:cs="Times New Roman"/>
          <w:sz w:val="24"/>
          <w:szCs w:val="24"/>
        </w:rPr>
      </w:pPr>
      <w:r w:rsidRPr="005B1623">
        <w:rPr>
          <w:rFonts w:ascii="Times New Roman" w:hAnsi="Times New Roman" w:cs="Times New Roman"/>
          <w:sz w:val="24"/>
          <w:szCs w:val="24"/>
        </w:rPr>
        <w:lastRenderedPageBreak/>
        <w:t>Works cited:</w:t>
      </w:r>
    </w:p>
    <w:p w:rsidR="005B1623" w:rsidRPr="005B1623" w:rsidRDefault="005B1623" w:rsidP="005B1623">
      <w:pPr>
        <w:pStyle w:val="xmsonormal"/>
        <w:rPr>
          <w:color w:val="000000"/>
        </w:rPr>
      </w:pPr>
      <w:r>
        <w:rPr>
          <w:color w:val="000000"/>
        </w:rPr>
        <w:tab/>
      </w:r>
      <w:r w:rsidRPr="005B1623">
        <w:rPr>
          <w:color w:val="000000"/>
        </w:rPr>
        <w:t xml:space="preserve">Statistics </w:t>
      </w:r>
      <w:proofErr w:type="gramStart"/>
      <w:r w:rsidRPr="005B1623">
        <w:rPr>
          <w:color w:val="000000"/>
        </w:rPr>
        <w:t>Canada .</w:t>
      </w:r>
      <w:r w:rsidRPr="005B1623">
        <w:rPr>
          <w:rStyle w:val="apple-converted-space"/>
          <w:color w:val="000000"/>
        </w:rPr>
        <w:t> </w:t>
      </w:r>
      <w:r w:rsidRPr="005B1623">
        <w:rPr>
          <w:color w:val="000000"/>
          <w:u w:val="single"/>
        </w:rPr>
        <w:t>Statistics Canada</w:t>
      </w:r>
      <w:r>
        <w:rPr>
          <w:color w:val="000000"/>
        </w:rPr>
        <w:t>.</w:t>
      </w:r>
      <w:proofErr w:type="gramEnd"/>
      <w:r>
        <w:rPr>
          <w:color w:val="000000"/>
        </w:rPr>
        <w:t xml:space="preserve"> 2001. 7 </w:t>
      </w:r>
      <w:proofErr w:type="spellStart"/>
      <w:r>
        <w:rPr>
          <w:color w:val="000000"/>
        </w:rPr>
        <w:t>Feburary</w:t>
      </w:r>
      <w:proofErr w:type="spellEnd"/>
      <w:r>
        <w:rPr>
          <w:color w:val="000000"/>
        </w:rPr>
        <w:t xml:space="preserve"> 2012 </w:t>
      </w:r>
      <w:hyperlink w:history="1">
        <w:r w:rsidRPr="002A4257">
          <w:rPr>
            <w:rStyle w:val="Hyperlink"/>
          </w:rPr>
          <w:t>http://www.statcan .gc.ca/</w:t>
        </w:r>
        <w:proofErr w:type="spellStart"/>
        <w:r w:rsidRPr="002A4257">
          <w:rPr>
            <w:rStyle w:val="Hyperlink"/>
          </w:rPr>
          <w:t>edu</w:t>
        </w:r>
        <w:proofErr w:type="spellEnd"/>
        <w:r w:rsidRPr="002A4257">
          <w:rPr>
            <w:rStyle w:val="Hyperlink"/>
          </w:rPr>
          <w:t xml:space="preserve"> /edu06_0003-eng.htm</w:t>
        </w:r>
      </w:hyperlink>
      <w:r w:rsidRPr="005B1623">
        <w:rPr>
          <w:color w:val="000000"/>
        </w:rPr>
        <w:t>.</w:t>
      </w:r>
    </w:p>
    <w:p w:rsidR="005B1623" w:rsidRPr="005B1623" w:rsidRDefault="005B1623" w:rsidP="005B1623">
      <w:pPr>
        <w:pStyle w:val="xmsonormal"/>
        <w:rPr>
          <w:color w:val="000000"/>
        </w:rPr>
      </w:pPr>
      <w:r>
        <w:rPr>
          <w:b/>
          <w:bCs/>
          <w:color w:val="000000"/>
        </w:rPr>
        <w:tab/>
      </w:r>
      <w:r w:rsidRPr="005B1623">
        <w:rPr>
          <w:color w:val="000000"/>
        </w:rPr>
        <w:t xml:space="preserve">Statistics </w:t>
      </w:r>
      <w:proofErr w:type="gramStart"/>
      <w:r w:rsidRPr="005B1623">
        <w:rPr>
          <w:color w:val="000000"/>
        </w:rPr>
        <w:t>Canada .</w:t>
      </w:r>
      <w:r w:rsidRPr="005B1623">
        <w:rPr>
          <w:rStyle w:val="apple-converted-space"/>
          <w:color w:val="000000"/>
        </w:rPr>
        <w:t> </w:t>
      </w:r>
      <w:r w:rsidRPr="005B1623">
        <w:rPr>
          <w:color w:val="000000"/>
          <w:u w:val="single"/>
        </w:rPr>
        <w:t>Statistics Canada</w:t>
      </w:r>
      <w:r w:rsidRPr="005B1623">
        <w:rPr>
          <w:color w:val="000000"/>
        </w:rPr>
        <w:t>.</w:t>
      </w:r>
      <w:proofErr w:type="gramEnd"/>
      <w:r w:rsidRPr="005B1623">
        <w:rPr>
          <w:color w:val="000000"/>
        </w:rPr>
        <w:t xml:space="preserve"> 2001. 7 February 2012 &lt;</w:t>
      </w:r>
      <w:r w:rsidRPr="005B1623">
        <w:rPr>
          <w:rStyle w:val="apple-converted-space"/>
          <w:color w:val="000000"/>
        </w:rPr>
        <w:t> </w:t>
      </w:r>
      <w:hyperlink r:id="rId20" w:history="1">
        <w:r w:rsidRPr="002A4257">
          <w:rPr>
            <w:rStyle w:val="Hyperlink"/>
          </w:rPr>
          <w:t>http://www.statcan.gc.ca/k its-trousses/microdata-microdonnees/ce nsus-recensement2001/edu06g1_0001-eng.htm</w:t>
        </w:r>
      </w:hyperlink>
      <w:r w:rsidRPr="005B1623">
        <w:rPr>
          <w:color w:val="000000"/>
        </w:rPr>
        <w:t>&gt;.</w:t>
      </w:r>
    </w:p>
    <w:p w:rsidR="005B1623" w:rsidRPr="005B1623" w:rsidRDefault="005B1623" w:rsidP="000F4CAB">
      <w:pPr>
        <w:rPr>
          <w:rFonts w:ascii="Times New Roman" w:hAnsi="Times New Roman" w:cs="Times New Roman"/>
          <w:sz w:val="24"/>
          <w:szCs w:val="24"/>
        </w:rPr>
      </w:pPr>
      <w:bookmarkStart w:id="0" w:name="_GoBack"/>
      <w:bookmarkEnd w:id="0"/>
    </w:p>
    <w:sectPr w:rsidR="005B1623" w:rsidRPr="005B1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69"/>
    <w:rsid w:val="00075B8E"/>
    <w:rsid w:val="000F4CAB"/>
    <w:rsid w:val="001F0E31"/>
    <w:rsid w:val="002445F4"/>
    <w:rsid w:val="002D2483"/>
    <w:rsid w:val="00386CC9"/>
    <w:rsid w:val="003C6E60"/>
    <w:rsid w:val="0042225B"/>
    <w:rsid w:val="00464A1B"/>
    <w:rsid w:val="004764F3"/>
    <w:rsid w:val="005B1623"/>
    <w:rsid w:val="00632590"/>
    <w:rsid w:val="00776EF1"/>
    <w:rsid w:val="00812717"/>
    <w:rsid w:val="00851D69"/>
    <w:rsid w:val="00852420"/>
    <w:rsid w:val="00A51971"/>
    <w:rsid w:val="00AC218F"/>
    <w:rsid w:val="00AC7DE4"/>
    <w:rsid w:val="00B44473"/>
    <w:rsid w:val="00BB16A0"/>
    <w:rsid w:val="00C26678"/>
    <w:rsid w:val="00F8126A"/>
    <w:rsid w:val="00FD19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D69"/>
    <w:rPr>
      <w:color w:val="0000FF"/>
      <w:u w:val="single"/>
    </w:rPr>
  </w:style>
  <w:style w:type="table" w:styleId="TableGrid">
    <w:name w:val="Table Grid"/>
    <w:basedOn w:val="TableNormal"/>
    <w:uiPriority w:val="59"/>
    <w:rsid w:val="00B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4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CAB"/>
    <w:rPr>
      <w:rFonts w:ascii="Tahoma" w:hAnsi="Tahoma" w:cs="Tahoma"/>
      <w:sz w:val="16"/>
      <w:szCs w:val="16"/>
    </w:rPr>
  </w:style>
  <w:style w:type="paragraph" w:customStyle="1" w:styleId="xmsonormal">
    <w:name w:val="x_msonormal"/>
    <w:basedOn w:val="Normal"/>
    <w:rsid w:val="005B16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5B16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D69"/>
    <w:rPr>
      <w:color w:val="0000FF"/>
      <w:u w:val="single"/>
    </w:rPr>
  </w:style>
  <w:style w:type="table" w:styleId="TableGrid">
    <w:name w:val="Table Grid"/>
    <w:basedOn w:val="TableNormal"/>
    <w:uiPriority w:val="59"/>
    <w:rsid w:val="00B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4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CAB"/>
    <w:rPr>
      <w:rFonts w:ascii="Tahoma" w:hAnsi="Tahoma" w:cs="Tahoma"/>
      <w:sz w:val="16"/>
      <w:szCs w:val="16"/>
    </w:rPr>
  </w:style>
  <w:style w:type="paragraph" w:customStyle="1" w:styleId="xmsonormal">
    <w:name w:val="x_msonormal"/>
    <w:basedOn w:val="Normal"/>
    <w:rsid w:val="005B16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5B1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87407">
      <w:bodyDiv w:val="1"/>
      <w:marLeft w:val="0"/>
      <w:marRight w:val="0"/>
      <w:marTop w:val="0"/>
      <w:marBottom w:val="0"/>
      <w:divBdr>
        <w:top w:val="none" w:sz="0" w:space="0" w:color="auto"/>
        <w:left w:val="none" w:sz="0" w:space="0" w:color="auto"/>
        <w:bottom w:val="none" w:sz="0" w:space="0" w:color="auto"/>
        <w:right w:val="none" w:sz="0" w:space="0" w:color="auto"/>
      </w:divBdr>
    </w:div>
    <w:div w:id="290088743">
      <w:bodyDiv w:val="1"/>
      <w:marLeft w:val="0"/>
      <w:marRight w:val="0"/>
      <w:marTop w:val="0"/>
      <w:marBottom w:val="0"/>
      <w:divBdr>
        <w:top w:val="none" w:sz="0" w:space="0" w:color="auto"/>
        <w:left w:val="none" w:sz="0" w:space="0" w:color="auto"/>
        <w:bottom w:val="none" w:sz="0" w:space="0" w:color="auto"/>
        <w:right w:val="none" w:sz="0" w:space="0" w:color="auto"/>
      </w:divBdr>
    </w:div>
    <w:div w:id="324358201">
      <w:bodyDiv w:val="1"/>
      <w:marLeft w:val="0"/>
      <w:marRight w:val="0"/>
      <w:marTop w:val="0"/>
      <w:marBottom w:val="0"/>
      <w:divBdr>
        <w:top w:val="none" w:sz="0" w:space="0" w:color="auto"/>
        <w:left w:val="none" w:sz="0" w:space="0" w:color="auto"/>
        <w:bottom w:val="none" w:sz="0" w:space="0" w:color="auto"/>
        <w:right w:val="none" w:sz="0" w:space="0" w:color="auto"/>
      </w:divBdr>
    </w:div>
    <w:div w:id="339938625">
      <w:bodyDiv w:val="1"/>
      <w:marLeft w:val="0"/>
      <w:marRight w:val="0"/>
      <w:marTop w:val="0"/>
      <w:marBottom w:val="0"/>
      <w:divBdr>
        <w:top w:val="none" w:sz="0" w:space="0" w:color="auto"/>
        <w:left w:val="none" w:sz="0" w:space="0" w:color="auto"/>
        <w:bottom w:val="none" w:sz="0" w:space="0" w:color="auto"/>
        <w:right w:val="none" w:sz="0" w:space="0" w:color="auto"/>
      </w:divBdr>
    </w:div>
    <w:div w:id="412705674">
      <w:bodyDiv w:val="1"/>
      <w:marLeft w:val="0"/>
      <w:marRight w:val="0"/>
      <w:marTop w:val="0"/>
      <w:marBottom w:val="0"/>
      <w:divBdr>
        <w:top w:val="none" w:sz="0" w:space="0" w:color="auto"/>
        <w:left w:val="none" w:sz="0" w:space="0" w:color="auto"/>
        <w:bottom w:val="none" w:sz="0" w:space="0" w:color="auto"/>
        <w:right w:val="none" w:sz="0" w:space="0" w:color="auto"/>
      </w:divBdr>
    </w:div>
    <w:div w:id="500435079">
      <w:bodyDiv w:val="1"/>
      <w:marLeft w:val="0"/>
      <w:marRight w:val="0"/>
      <w:marTop w:val="0"/>
      <w:marBottom w:val="0"/>
      <w:divBdr>
        <w:top w:val="none" w:sz="0" w:space="0" w:color="auto"/>
        <w:left w:val="none" w:sz="0" w:space="0" w:color="auto"/>
        <w:bottom w:val="none" w:sz="0" w:space="0" w:color="auto"/>
        <w:right w:val="none" w:sz="0" w:space="0" w:color="auto"/>
      </w:divBdr>
    </w:div>
    <w:div w:id="580994590">
      <w:bodyDiv w:val="1"/>
      <w:marLeft w:val="0"/>
      <w:marRight w:val="0"/>
      <w:marTop w:val="0"/>
      <w:marBottom w:val="0"/>
      <w:divBdr>
        <w:top w:val="none" w:sz="0" w:space="0" w:color="auto"/>
        <w:left w:val="none" w:sz="0" w:space="0" w:color="auto"/>
        <w:bottom w:val="none" w:sz="0" w:space="0" w:color="auto"/>
        <w:right w:val="none" w:sz="0" w:space="0" w:color="auto"/>
      </w:divBdr>
    </w:div>
    <w:div w:id="709955443">
      <w:bodyDiv w:val="1"/>
      <w:marLeft w:val="0"/>
      <w:marRight w:val="0"/>
      <w:marTop w:val="0"/>
      <w:marBottom w:val="0"/>
      <w:divBdr>
        <w:top w:val="none" w:sz="0" w:space="0" w:color="auto"/>
        <w:left w:val="none" w:sz="0" w:space="0" w:color="auto"/>
        <w:bottom w:val="none" w:sz="0" w:space="0" w:color="auto"/>
        <w:right w:val="none" w:sz="0" w:space="0" w:color="auto"/>
      </w:divBdr>
    </w:div>
    <w:div w:id="730811904">
      <w:bodyDiv w:val="1"/>
      <w:marLeft w:val="0"/>
      <w:marRight w:val="0"/>
      <w:marTop w:val="0"/>
      <w:marBottom w:val="0"/>
      <w:divBdr>
        <w:top w:val="none" w:sz="0" w:space="0" w:color="auto"/>
        <w:left w:val="none" w:sz="0" w:space="0" w:color="auto"/>
        <w:bottom w:val="none" w:sz="0" w:space="0" w:color="auto"/>
        <w:right w:val="none" w:sz="0" w:space="0" w:color="auto"/>
      </w:divBdr>
    </w:div>
    <w:div w:id="744105004">
      <w:bodyDiv w:val="1"/>
      <w:marLeft w:val="0"/>
      <w:marRight w:val="0"/>
      <w:marTop w:val="0"/>
      <w:marBottom w:val="0"/>
      <w:divBdr>
        <w:top w:val="none" w:sz="0" w:space="0" w:color="auto"/>
        <w:left w:val="none" w:sz="0" w:space="0" w:color="auto"/>
        <w:bottom w:val="none" w:sz="0" w:space="0" w:color="auto"/>
        <w:right w:val="none" w:sz="0" w:space="0" w:color="auto"/>
      </w:divBdr>
    </w:div>
    <w:div w:id="808742472">
      <w:bodyDiv w:val="1"/>
      <w:marLeft w:val="0"/>
      <w:marRight w:val="0"/>
      <w:marTop w:val="0"/>
      <w:marBottom w:val="0"/>
      <w:divBdr>
        <w:top w:val="none" w:sz="0" w:space="0" w:color="auto"/>
        <w:left w:val="none" w:sz="0" w:space="0" w:color="auto"/>
        <w:bottom w:val="none" w:sz="0" w:space="0" w:color="auto"/>
        <w:right w:val="none" w:sz="0" w:space="0" w:color="auto"/>
      </w:divBdr>
    </w:div>
    <w:div w:id="977339914">
      <w:bodyDiv w:val="1"/>
      <w:marLeft w:val="0"/>
      <w:marRight w:val="0"/>
      <w:marTop w:val="0"/>
      <w:marBottom w:val="0"/>
      <w:divBdr>
        <w:top w:val="none" w:sz="0" w:space="0" w:color="auto"/>
        <w:left w:val="none" w:sz="0" w:space="0" w:color="auto"/>
        <w:bottom w:val="none" w:sz="0" w:space="0" w:color="auto"/>
        <w:right w:val="none" w:sz="0" w:space="0" w:color="auto"/>
      </w:divBdr>
    </w:div>
    <w:div w:id="987057337">
      <w:bodyDiv w:val="1"/>
      <w:marLeft w:val="0"/>
      <w:marRight w:val="0"/>
      <w:marTop w:val="0"/>
      <w:marBottom w:val="0"/>
      <w:divBdr>
        <w:top w:val="none" w:sz="0" w:space="0" w:color="auto"/>
        <w:left w:val="none" w:sz="0" w:space="0" w:color="auto"/>
        <w:bottom w:val="none" w:sz="0" w:space="0" w:color="auto"/>
        <w:right w:val="none" w:sz="0" w:space="0" w:color="auto"/>
      </w:divBdr>
    </w:div>
    <w:div w:id="1111432949">
      <w:bodyDiv w:val="1"/>
      <w:marLeft w:val="0"/>
      <w:marRight w:val="0"/>
      <w:marTop w:val="0"/>
      <w:marBottom w:val="0"/>
      <w:divBdr>
        <w:top w:val="none" w:sz="0" w:space="0" w:color="auto"/>
        <w:left w:val="none" w:sz="0" w:space="0" w:color="auto"/>
        <w:bottom w:val="none" w:sz="0" w:space="0" w:color="auto"/>
        <w:right w:val="none" w:sz="0" w:space="0" w:color="auto"/>
      </w:divBdr>
    </w:div>
    <w:div w:id="1170372834">
      <w:bodyDiv w:val="1"/>
      <w:marLeft w:val="0"/>
      <w:marRight w:val="0"/>
      <w:marTop w:val="0"/>
      <w:marBottom w:val="0"/>
      <w:divBdr>
        <w:top w:val="none" w:sz="0" w:space="0" w:color="auto"/>
        <w:left w:val="none" w:sz="0" w:space="0" w:color="auto"/>
        <w:bottom w:val="none" w:sz="0" w:space="0" w:color="auto"/>
        <w:right w:val="none" w:sz="0" w:space="0" w:color="auto"/>
      </w:divBdr>
    </w:div>
    <w:div w:id="1309048343">
      <w:bodyDiv w:val="1"/>
      <w:marLeft w:val="0"/>
      <w:marRight w:val="0"/>
      <w:marTop w:val="0"/>
      <w:marBottom w:val="0"/>
      <w:divBdr>
        <w:top w:val="none" w:sz="0" w:space="0" w:color="auto"/>
        <w:left w:val="none" w:sz="0" w:space="0" w:color="auto"/>
        <w:bottom w:val="none" w:sz="0" w:space="0" w:color="auto"/>
        <w:right w:val="none" w:sz="0" w:space="0" w:color="auto"/>
      </w:divBdr>
    </w:div>
    <w:div w:id="1334340599">
      <w:bodyDiv w:val="1"/>
      <w:marLeft w:val="0"/>
      <w:marRight w:val="0"/>
      <w:marTop w:val="0"/>
      <w:marBottom w:val="0"/>
      <w:divBdr>
        <w:top w:val="none" w:sz="0" w:space="0" w:color="auto"/>
        <w:left w:val="none" w:sz="0" w:space="0" w:color="auto"/>
        <w:bottom w:val="none" w:sz="0" w:space="0" w:color="auto"/>
        <w:right w:val="none" w:sz="0" w:space="0" w:color="auto"/>
      </w:divBdr>
    </w:div>
    <w:div w:id="1398897361">
      <w:bodyDiv w:val="1"/>
      <w:marLeft w:val="0"/>
      <w:marRight w:val="0"/>
      <w:marTop w:val="0"/>
      <w:marBottom w:val="0"/>
      <w:divBdr>
        <w:top w:val="none" w:sz="0" w:space="0" w:color="auto"/>
        <w:left w:val="none" w:sz="0" w:space="0" w:color="auto"/>
        <w:bottom w:val="none" w:sz="0" w:space="0" w:color="auto"/>
        <w:right w:val="none" w:sz="0" w:space="0" w:color="auto"/>
      </w:divBdr>
    </w:div>
    <w:div w:id="1471090826">
      <w:bodyDiv w:val="1"/>
      <w:marLeft w:val="0"/>
      <w:marRight w:val="0"/>
      <w:marTop w:val="0"/>
      <w:marBottom w:val="0"/>
      <w:divBdr>
        <w:top w:val="none" w:sz="0" w:space="0" w:color="auto"/>
        <w:left w:val="none" w:sz="0" w:space="0" w:color="auto"/>
        <w:bottom w:val="none" w:sz="0" w:space="0" w:color="auto"/>
        <w:right w:val="none" w:sz="0" w:space="0" w:color="auto"/>
      </w:divBdr>
    </w:div>
    <w:div w:id="1515727388">
      <w:bodyDiv w:val="1"/>
      <w:marLeft w:val="0"/>
      <w:marRight w:val="0"/>
      <w:marTop w:val="0"/>
      <w:marBottom w:val="0"/>
      <w:divBdr>
        <w:top w:val="none" w:sz="0" w:space="0" w:color="auto"/>
        <w:left w:val="none" w:sz="0" w:space="0" w:color="auto"/>
        <w:bottom w:val="none" w:sz="0" w:space="0" w:color="auto"/>
        <w:right w:val="none" w:sz="0" w:space="0" w:color="auto"/>
      </w:divBdr>
    </w:div>
    <w:div w:id="1537162603">
      <w:bodyDiv w:val="1"/>
      <w:marLeft w:val="0"/>
      <w:marRight w:val="0"/>
      <w:marTop w:val="0"/>
      <w:marBottom w:val="0"/>
      <w:divBdr>
        <w:top w:val="none" w:sz="0" w:space="0" w:color="auto"/>
        <w:left w:val="none" w:sz="0" w:space="0" w:color="auto"/>
        <w:bottom w:val="none" w:sz="0" w:space="0" w:color="auto"/>
        <w:right w:val="none" w:sz="0" w:space="0" w:color="auto"/>
      </w:divBdr>
    </w:div>
    <w:div w:id="1633708178">
      <w:bodyDiv w:val="1"/>
      <w:marLeft w:val="0"/>
      <w:marRight w:val="0"/>
      <w:marTop w:val="0"/>
      <w:marBottom w:val="0"/>
      <w:divBdr>
        <w:top w:val="none" w:sz="0" w:space="0" w:color="auto"/>
        <w:left w:val="none" w:sz="0" w:space="0" w:color="auto"/>
        <w:bottom w:val="none" w:sz="0" w:space="0" w:color="auto"/>
        <w:right w:val="none" w:sz="0" w:space="0" w:color="auto"/>
      </w:divBdr>
    </w:div>
    <w:div w:id="1687559381">
      <w:bodyDiv w:val="1"/>
      <w:marLeft w:val="0"/>
      <w:marRight w:val="0"/>
      <w:marTop w:val="0"/>
      <w:marBottom w:val="0"/>
      <w:divBdr>
        <w:top w:val="none" w:sz="0" w:space="0" w:color="auto"/>
        <w:left w:val="none" w:sz="0" w:space="0" w:color="auto"/>
        <w:bottom w:val="none" w:sz="0" w:space="0" w:color="auto"/>
        <w:right w:val="none" w:sz="0" w:space="0" w:color="auto"/>
      </w:divBdr>
    </w:div>
    <w:div w:id="1779565581">
      <w:bodyDiv w:val="1"/>
      <w:marLeft w:val="0"/>
      <w:marRight w:val="0"/>
      <w:marTop w:val="0"/>
      <w:marBottom w:val="0"/>
      <w:divBdr>
        <w:top w:val="none" w:sz="0" w:space="0" w:color="auto"/>
        <w:left w:val="none" w:sz="0" w:space="0" w:color="auto"/>
        <w:bottom w:val="none" w:sz="0" w:space="0" w:color="auto"/>
        <w:right w:val="none" w:sz="0" w:space="0" w:color="auto"/>
      </w:divBdr>
    </w:div>
    <w:div w:id="1873375124">
      <w:bodyDiv w:val="1"/>
      <w:marLeft w:val="0"/>
      <w:marRight w:val="0"/>
      <w:marTop w:val="0"/>
      <w:marBottom w:val="0"/>
      <w:divBdr>
        <w:top w:val="none" w:sz="0" w:space="0" w:color="auto"/>
        <w:left w:val="none" w:sz="0" w:space="0" w:color="auto"/>
        <w:bottom w:val="none" w:sz="0" w:space="0" w:color="auto"/>
        <w:right w:val="none" w:sz="0" w:space="0" w:color="auto"/>
      </w:divBdr>
    </w:div>
    <w:div w:id="208405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microsoft.com/office/2007/relationships/stylesWithEffects" Target="stylesWithEffects.xml"/><Relationship Id="rId16" Type="http://schemas.openxmlformats.org/officeDocument/2006/relationships/chart" Target="charts/chart10.xml"/><Relationship Id="rId20" Type="http://schemas.openxmlformats.org/officeDocument/2006/relationships/hyperlink" Target="http://www.statcan.gc.ca/k%20its-trousses/microdata-microdonnees/ce%20nsus-recensement2001/edu06g1_0001-eng.htm" TargetMode="External"/><Relationship Id="rId1" Type="http://schemas.openxmlformats.org/officeDocument/2006/relationships/styles" Target="styles.xml"/><Relationship Id="rId6" Type="http://schemas.openxmlformats.org/officeDocument/2006/relationships/hyperlink" Target="http://www.statcan.gc.ca/edu/edu06_0003-eng.htm" TargetMode="External"/><Relationship Id="rId11" Type="http://schemas.openxmlformats.org/officeDocument/2006/relationships/chart" Target="charts/chart5.xml"/><Relationship Id="rId5" Type="http://schemas.openxmlformats.org/officeDocument/2006/relationships/hyperlink" Target="http://www.statcan.gc.ca/kits-trousses/microdata-microdonnees/census-recensement2001/edu06g1_0001-eng.htm" TargetMode="Externa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y\Desktop\stats\Shogo.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ay\Desktop\stats\Albe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ay\Desktop\stats\Shogo.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y\Desktop\stats\Shogo.xls"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Jay\Desktop\stats\Shogo.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ay\Desktop\stats\Shogo.xls"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Jay\Desktop\stats\Shogo.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ay\Desktop\stats\Shogo.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ay\Desktop\stats\Shogo.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ay\Desktop\stats\Albe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Calibri"/>
                <a:ea typeface="Calibri"/>
                <a:cs typeface="Calibri"/>
              </a:defRPr>
            </a:pPr>
            <a:r>
              <a:rPr lang="en-CA"/>
              <a:t>Age: Histogram</a:t>
            </a:r>
          </a:p>
        </c:rich>
      </c:tx>
      <c:overlay val="0"/>
    </c:title>
    <c:autoTitleDeleted val="0"/>
    <c:plotArea>
      <c:layout/>
      <c:barChart>
        <c:barDir val="col"/>
        <c:grouping val="clustered"/>
        <c:varyColors val="0"/>
        <c:ser>
          <c:idx val="0"/>
          <c:order val="0"/>
          <c:tx>
            <c:strRef>
              <c:f>[Shogo.xls]Sheet2!$O$3:$O$4</c:f>
              <c:strCache>
                <c:ptCount val="1"/>
                <c:pt idx="0">
                  <c:v>Age Freqency</c:v>
                </c:pt>
              </c:strCache>
            </c:strRef>
          </c:tx>
          <c:spPr>
            <a:ln>
              <a:solidFill>
                <a:schemeClr val="tx1"/>
              </a:solidFill>
            </a:ln>
          </c:spPr>
          <c:invertIfNegative val="0"/>
          <c:cat>
            <c:strRef>
              <c:f>[Shogo.xls]Sheet2!$N$5:$N$14</c:f>
              <c:strCache>
                <c:ptCount val="10"/>
                <c:pt idx="0">
                  <c:v>0&lt;= and &lt;=9</c:v>
                </c:pt>
                <c:pt idx="1">
                  <c:v>10&lt;= and &lt;=18</c:v>
                </c:pt>
                <c:pt idx="2">
                  <c:v>19&lt;= and &lt;=27</c:v>
                </c:pt>
                <c:pt idx="3">
                  <c:v>28&lt;= amd &lt;=36</c:v>
                </c:pt>
                <c:pt idx="4">
                  <c:v>37&lt;= and &lt;=45</c:v>
                </c:pt>
                <c:pt idx="5">
                  <c:v>46&lt;= and &lt;=54</c:v>
                </c:pt>
                <c:pt idx="6">
                  <c:v>55&lt;= and &lt;=63</c:v>
                </c:pt>
                <c:pt idx="7">
                  <c:v>64&lt;= and &lt;=72</c:v>
                </c:pt>
                <c:pt idx="8">
                  <c:v>73&lt;= and &lt;=81</c:v>
                </c:pt>
                <c:pt idx="9">
                  <c:v>82&lt;=</c:v>
                </c:pt>
              </c:strCache>
            </c:strRef>
          </c:cat>
          <c:val>
            <c:numRef>
              <c:f>[Shogo.xls]Sheet2!$O$5:$O$14</c:f>
              <c:numCache>
                <c:formatCode>General</c:formatCode>
                <c:ptCount val="10"/>
                <c:pt idx="0">
                  <c:v>116</c:v>
                </c:pt>
                <c:pt idx="1">
                  <c:v>118</c:v>
                </c:pt>
                <c:pt idx="2">
                  <c:v>119</c:v>
                </c:pt>
                <c:pt idx="3">
                  <c:v>121</c:v>
                </c:pt>
                <c:pt idx="4">
                  <c:v>157</c:v>
                </c:pt>
                <c:pt idx="5">
                  <c:v>133</c:v>
                </c:pt>
                <c:pt idx="6">
                  <c:v>98</c:v>
                </c:pt>
                <c:pt idx="7">
                  <c:v>62</c:v>
                </c:pt>
                <c:pt idx="8">
                  <c:v>59</c:v>
                </c:pt>
                <c:pt idx="9">
                  <c:v>17</c:v>
                </c:pt>
              </c:numCache>
            </c:numRef>
          </c:val>
        </c:ser>
        <c:dLbls>
          <c:showLegendKey val="0"/>
          <c:showVal val="0"/>
          <c:showCatName val="0"/>
          <c:showSerName val="0"/>
          <c:showPercent val="0"/>
          <c:showBubbleSize val="0"/>
        </c:dLbls>
        <c:gapWidth val="0"/>
        <c:axId val="227823616"/>
        <c:axId val="229053504"/>
      </c:barChart>
      <c:catAx>
        <c:axId val="227823616"/>
        <c:scaling>
          <c:orientation val="minMax"/>
        </c:scaling>
        <c:delete val="0"/>
        <c:axPos val="b"/>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29053504"/>
        <c:crosses val="autoZero"/>
        <c:auto val="1"/>
        <c:lblAlgn val="ctr"/>
        <c:lblOffset val="100"/>
        <c:noMultiLvlLbl val="0"/>
      </c:catAx>
      <c:valAx>
        <c:axId val="229053504"/>
        <c:scaling>
          <c:orientation val="minMax"/>
        </c:scaling>
        <c:delete val="0"/>
        <c:axPos val="l"/>
        <c:majorGridlines/>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27823616"/>
        <c:crosses val="autoZero"/>
        <c:crossBetween val="between"/>
      </c:valAx>
    </c:plotArea>
    <c:legend>
      <c:legendPos val="r"/>
      <c:overlay val="0"/>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ln>
      <a:solidFill>
        <a:schemeClr val="accent1"/>
      </a:solidFill>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CA"/>
              <a:t>Place of Birth: Frequency </a:t>
            </a:r>
          </a:p>
        </c:rich>
      </c:tx>
      <c:overlay val="0"/>
    </c:title>
    <c:autoTitleDeleted val="0"/>
    <c:plotArea>
      <c:layout/>
      <c:barChart>
        <c:barDir val="col"/>
        <c:grouping val="clustered"/>
        <c:varyColors val="0"/>
        <c:ser>
          <c:idx val="0"/>
          <c:order val="0"/>
          <c:tx>
            <c:v>Place of Birth Frequency Distribution</c:v>
          </c:tx>
          <c:spPr>
            <a:ln>
              <a:solidFill>
                <a:schemeClr val="tx1"/>
              </a:solidFill>
            </a:ln>
          </c:spPr>
          <c:invertIfNegative val="0"/>
          <c:val>
            <c:numRef>
              <c:f>[Albee.xlsx]Sheet1!$AD$2:$AD$35</c:f>
              <c:numCache>
                <c:formatCode>General</c:formatCode>
                <c:ptCount val="34"/>
                <c:pt idx="0">
                  <c:v>5</c:v>
                </c:pt>
                <c:pt idx="1">
                  <c:v>7</c:v>
                </c:pt>
                <c:pt idx="2">
                  <c:v>3</c:v>
                </c:pt>
                <c:pt idx="3">
                  <c:v>21</c:v>
                </c:pt>
                <c:pt idx="4">
                  <c:v>59</c:v>
                </c:pt>
                <c:pt idx="5">
                  <c:v>26</c:v>
                </c:pt>
                <c:pt idx="6">
                  <c:v>46</c:v>
                </c:pt>
                <c:pt idx="7">
                  <c:v>61</c:v>
                </c:pt>
                <c:pt idx="8">
                  <c:v>497</c:v>
                </c:pt>
                <c:pt idx="9">
                  <c:v>5</c:v>
                </c:pt>
                <c:pt idx="10">
                  <c:v>14</c:v>
                </c:pt>
                <c:pt idx="11">
                  <c:v>42</c:v>
                </c:pt>
                <c:pt idx="12">
                  <c:v>14</c:v>
                </c:pt>
                <c:pt idx="13">
                  <c:v>9</c:v>
                </c:pt>
                <c:pt idx="14">
                  <c:v>4</c:v>
                </c:pt>
                <c:pt idx="15">
                  <c:v>6</c:v>
                </c:pt>
                <c:pt idx="16">
                  <c:v>1</c:v>
                </c:pt>
                <c:pt idx="17">
                  <c:v>0</c:v>
                </c:pt>
                <c:pt idx="18">
                  <c:v>1</c:v>
                </c:pt>
                <c:pt idx="19">
                  <c:v>3</c:v>
                </c:pt>
                <c:pt idx="20">
                  <c:v>4</c:v>
                </c:pt>
                <c:pt idx="21">
                  <c:v>23</c:v>
                </c:pt>
                <c:pt idx="22">
                  <c:v>13</c:v>
                </c:pt>
                <c:pt idx="23">
                  <c:v>25</c:v>
                </c:pt>
                <c:pt idx="24">
                  <c:v>0</c:v>
                </c:pt>
                <c:pt idx="25">
                  <c:v>23</c:v>
                </c:pt>
                <c:pt idx="26">
                  <c:v>22</c:v>
                </c:pt>
                <c:pt idx="27">
                  <c:v>12</c:v>
                </c:pt>
                <c:pt idx="28">
                  <c:v>8</c:v>
                </c:pt>
                <c:pt idx="29">
                  <c:v>23</c:v>
                </c:pt>
                <c:pt idx="30">
                  <c:v>4</c:v>
                </c:pt>
                <c:pt idx="31">
                  <c:v>3</c:v>
                </c:pt>
                <c:pt idx="32">
                  <c:v>10</c:v>
                </c:pt>
                <c:pt idx="33">
                  <c:v>6</c:v>
                </c:pt>
              </c:numCache>
            </c:numRef>
          </c:val>
        </c:ser>
        <c:dLbls>
          <c:showLegendKey val="0"/>
          <c:showVal val="0"/>
          <c:showCatName val="0"/>
          <c:showSerName val="0"/>
          <c:showPercent val="0"/>
          <c:showBubbleSize val="0"/>
        </c:dLbls>
        <c:gapWidth val="0"/>
        <c:axId val="222320128"/>
        <c:axId val="229082240"/>
      </c:barChart>
      <c:catAx>
        <c:axId val="222320128"/>
        <c:scaling>
          <c:orientation val="minMax"/>
        </c:scaling>
        <c:delete val="0"/>
        <c:axPos val="b"/>
        <c:majorTickMark val="out"/>
        <c:minorTickMark val="none"/>
        <c:tickLblPos val="nextTo"/>
        <c:crossAx val="229082240"/>
        <c:crosses val="autoZero"/>
        <c:auto val="1"/>
        <c:lblAlgn val="ctr"/>
        <c:lblOffset val="100"/>
        <c:noMultiLvlLbl val="0"/>
      </c:catAx>
      <c:valAx>
        <c:axId val="229082240"/>
        <c:scaling>
          <c:orientation val="minMax"/>
        </c:scaling>
        <c:delete val="0"/>
        <c:axPos val="l"/>
        <c:majorGridlines/>
        <c:numFmt formatCode="General" sourceLinked="1"/>
        <c:majorTickMark val="out"/>
        <c:minorTickMark val="none"/>
        <c:tickLblPos val="nextTo"/>
        <c:crossAx val="222320128"/>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Major field of study: Frequency</a:t>
            </a:r>
          </a:p>
        </c:rich>
      </c:tx>
      <c:overlay val="0"/>
    </c:title>
    <c:autoTitleDeleted val="0"/>
    <c:plotArea>
      <c:layout/>
      <c:barChart>
        <c:barDir val="col"/>
        <c:grouping val="clustered"/>
        <c:varyColors val="0"/>
        <c:ser>
          <c:idx val="0"/>
          <c:order val="0"/>
          <c:tx>
            <c:v>Major field of study</c:v>
          </c:tx>
          <c:spPr>
            <a:ln>
              <a:solidFill>
                <a:schemeClr val="accent1"/>
              </a:solidFill>
            </a:ln>
          </c:spPr>
          <c:invertIfNegative val="0"/>
          <c:cat>
            <c:strRef>
              <c:f>Sheet1!$G$6:$G$26</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N/A</c:v>
                </c:pt>
              </c:strCache>
            </c:strRef>
          </c:cat>
          <c:val>
            <c:numRef>
              <c:f>Sheet1!$H$6:$H$26</c:f>
              <c:numCache>
                <c:formatCode>General</c:formatCode>
                <c:ptCount val="21"/>
                <c:pt idx="0">
                  <c:v>15</c:v>
                </c:pt>
                <c:pt idx="1">
                  <c:v>2</c:v>
                </c:pt>
                <c:pt idx="2">
                  <c:v>25</c:v>
                </c:pt>
                <c:pt idx="3">
                  <c:v>11</c:v>
                </c:pt>
                <c:pt idx="4">
                  <c:v>6</c:v>
                </c:pt>
                <c:pt idx="5">
                  <c:v>36</c:v>
                </c:pt>
                <c:pt idx="6">
                  <c:v>19</c:v>
                </c:pt>
                <c:pt idx="7">
                  <c:v>17</c:v>
                </c:pt>
                <c:pt idx="8">
                  <c:v>9</c:v>
                </c:pt>
                <c:pt idx="9">
                  <c:v>6</c:v>
                </c:pt>
                <c:pt idx="10">
                  <c:v>31</c:v>
                </c:pt>
                <c:pt idx="11">
                  <c:v>49</c:v>
                </c:pt>
                <c:pt idx="12">
                  <c:v>32</c:v>
                </c:pt>
                <c:pt idx="13">
                  <c:v>15</c:v>
                </c:pt>
                <c:pt idx="14">
                  <c:v>35</c:v>
                </c:pt>
                <c:pt idx="15">
                  <c:v>15</c:v>
                </c:pt>
                <c:pt idx="16">
                  <c:v>22</c:v>
                </c:pt>
                <c:pt idx="17">
                  <c:v>14</c:v>
                </c:pt>
                <c:pt idx="18">
                  <c:v>432</c:v>
                </c:pt>
                <c:pt idx="19">
                  <c:v>28</c:v>
                </c:pt>
                <c:pt idx="20">
                  <c:v>181</c:v>
                </c:pt>
              </c:numCache>
            </c:numRef>
          </c:val>
        </c:ser>
        <c:dLbls>
          <c:showLegendKey val="0"/>
          <c:showVal val="0"/>
          <c:showCatName val="0"/>
          <c:showSerName val="0"/>
          <c:showPercent val="0"/>
          <c:showBubbleSize val="0"/>
        </c:dLbls>
        <c:gapWidth val="0"/>
        <c:axId val="221916160"/>
        <c:axId val="229083968"/>
      </c:barChart>
      <c:catAx>
        <c:axId val="221916160"/>
        <c:scaling>
          <c:orientation val="minMax"/>
        </c:scaling>
        <c:delete val="0"/>
        <c:axPos val="b"/>
        <c:numFmt formatCode="General" sourceLinked="1"/>
        <c:majorTickMark val="out"/>
        <c:minorTickMark val="none"/>
        <c:tickLblPos val="nextTo"/>
        <c:crossAx val="229083968"/>
        <c:crosses val="autoZero"/>
        <c:auto val="1"/>
        <c:lblAlgn val="ctr"/>
        <c:lblOffset val="100"/>
        <c:noMultiLvlLbl val="0"/>
      </c:catAx>
      <c:valAx>
        <c:axId val="229083968"/>
        <c:scaling>
          <c:orientation val="minMax"/>
        </c:scaling>
        <c:delete val="0"/>
        <c:axPos val="l"/>
        <c:majorGridlines/>
        <c:numFmt formatCode="General" sourceLinked="1"/>
        <c:majorTickMark val="out"/>
        <c:minorTickMark val="none"/>
        <c:tickLblPos val="nextTo"/>
        <c:crossAx val="221916160"/>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Industry: Frequency</a:t>
            </a:r>
          </a:p>
        </c:rich>
      </c:tx>
      <c:overlay val="0"/>
    </c:title>
    <c:autoTitleDeleted val="0"/>
    <c:plotArea>
      <c:layout/>
      <c:barChart>
        <c:barDir val="col"/>
        <c:grouping val="clustered"/>
        <c:varyColors val="0"/>
        <c:ser>
          <c:idx val="0"/>
          <c:order val="0"/>
          <c:tx>
            <c:v>Industry</c:v>
          </c:tx>
          <c:spPr>
            <a:ln>
              <a:solidFill>
                <a:schemeClr val="tx1"/>
              </a:solidFill>
            </a:ln>
          </c:spPr>
          <c:invertIfNegative val="0"/>
          <c:cat>
            <c:strRef>
              <c:f>Sheet1!$W$6:$W$25</c:f>
              <c:strCach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N/A</c:v>
                </c:pt>
              </c:strCache>
            </c:strRef>
          </c:cat>
          <c:val>
            <c:numRef>
              <c:f>Sheet1!$X$6:$X$25</c:f>
              <c:numCache>
                <c:formatCode>General</c:formatCode>
                <c:ptCount val="20"/>
                <c:pt idx="0">
                  <c:v>43</c:v>
                </c:pt>
                <c:pt idx="1">
                  <c:v>22</c:v>
                </c:pt>
                <c:pt idx="2">
                  <c:v>31</c:v>
                </c:pt>
                <c:pt idx="3">
                  <c:v>11</c:v>
                </c:pt>
                <c:pt idx="4">
                  <c:v>34</c:v>
                </c:pt>
                <c:pt idx="5">
                  <c:v>40</c:v>
                </c:pt>
                <c:pt idx="6">
                  <c:v>27</c:v>
                </c:pt>
                <c:pt idx="7">
                  <c:v>50</c:v>
                </c:pt>
                <c:pt idx="8">
                  <c:v>16</c:v>
                </c:pt>
                <c:pt idx="9">
                  <c:v>48</c:v>
                </c:pt>
                <c:pt idx="10">
                  <c:v>3</c:v>
                </c:pt>
                <c:pt idx="11">
                  <c:v>33</c:v>
                </c:pt>
                <c:pt idx="12">
                  <c:v>43</c:v>
                </c:pt>
                <c:pt idx="13">
                  <c:v>29</c:v>
                </c:pt>
                <c:pt idx="14">
                  <c:v>11</c:v>
                </c:pt>
                <c:pt idx="15">
                  <c:v>75</c:v>
                </c:pt>
                <c:pt idx="16">
                  <c:v>32</c:v>
                </c:pt>
                <c:pt idx="17">
                  <c:v>4</c:v>
                </c:pt>
                <c:pt idx="18">
                  <c:v>18</c:v>
                </c:pt>
                <c:pt idx="19">
                  <c:v>430</c:v>
                </c:pt>
              </c:numCache>
            </c:numRef>
          </c:val>
        </c:ser>
        <c:dLbls>
          <c:showLegendKey val="0"/>
          <c:showVal val="0"/>
          <c:showCatName val="0"/>
          <c:showSerName val="0"/>
          <c:showPercent val="0"/>
          <c:showBubbleSize val="0"/>
        </c:dLbls>
        <c:gapWidth val="0"/>
        <c:axId val="221916672"/>
        <c:axId val="229086272"/>
      </c:barChart>
      <c:catAx>
        <c:axId val="221916672"/>
        <c:scaling>
          <c:orientation val="minMax"/>
        </c:scaling>
        <c:delete val="0"/>
        <c:axPos val="b"/>
        <c:numFmt formatCode="General" sourceLinked="1"/>
        <c:majorTickMark val="out"/>
        <c:minorTickMark val="none"/>
        <c:tickLblPos val="nextTo"/>
        <c:crossAx val="229086272"/>
        <c:crosses val="autoZero"/>
        <c:auto val="1"/>
        <c:lblAlgn val="ctr"/>
        <c:lblOffset val="100"/>
        <c:noMultiLvlLbl val="0"/>
      </c:catAx>
      <c:valAx>
        <c:axId val="229086272"/>
        <c:scaling>
          <c:orientation val="minMax"/>
        </c:scaling>
        <c:delete val="0"/>
        <c:axPos val="l"/>
        <c:majorGridlines/>
        <c:numFmt formatCode="General" sourceLinked="1"/>
        <c:majorTickMark val="out"/>
        <c:minorTickMark val="none"/>
        <c:tickLblPos val="nextTo"/>
        <c:crossAx val="221916672"/>
        <c:crosses val="autoZero"/>
        <c:crossBetween val="between"/>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Labour force activity</a:t>
            </a:r>
            <a:r>
              <a:rPr lang="en-US" baseline="0"/>
              <a:t> in week: frequency</a:t>
            </a:r>
            <a:endParaRPr lang="en-US"/>
          </a:p>
        </c:rich>
      </c:tx>
      <c:overlay val="0"/>
    </c:title>
    <c:autoTitleDeleted val="0"/>
    <c:plotArea>
      <c:layout/>
      <c:barChart>
        <c:barDir val="col"/>
        <c:grouping val="clustered"/>
        <c:varyColors val="0"/>
        <c:ser>
          <c:idx val="0"/>
          <c:order val="0"/>
          <c:tx>
            <c:strRef>
              <c:f>Sheet2!$J$4:$J$9</c:f>
              <c:strCache>
                <c:ptCount val="1"/>
                <c:pt idx="0">
                  <c:v>1 2 3 4 5 6</c:v>
                </c:pt>
              </c:strCache>
            </c:strRef>
          </c:tx>
          <c:spPr>
            <a:ln>
              <a:solidFill>
                <a:schemeClr val="tx1"/>
              </a:solidFill>
            </a:ln>
          </c:spPr>
          <c:invertIfNegative val="0"/>
          <c:cat>
            <c:strRef>
              <c:f>Sheet2!$J$4:$J$17</c:f>
              <c:strCach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N/A</c:v>
                </c:pt>
              </c:strCache>
            </c:strRef>
          </c:cat>
          <c:val>
            <c:numRef>
              <c:f>Sheet2!$K$4:$K$17</c:f>
              <c:numCache>
                <c:formatCode>General</c:formatCode>
                <c:ptCount val="14"/>
                <c:pt idx="0">
                  <c:v>23</c:v>
                </c:pt>
                <c:pt idx="1">
                  <c:v>469</c:v>
                </c:pt>
                <c:pt idx="2">
                  <c:v>183</c:v>
                </c:pt>
                <c:pt idx="3">
                  <c:v>21</c:v>
                </c:pt>
                <c:pt idx="4">
                  <c:v>28</c:v>
                </c:pt>
                <c:pt idx="5">
                  <c:v>54</c:v>
                </c:pt>
                <c:pt idx="6">
                  <c:v>3</c:v>
                </c:pt>
                <c:pt idx="7">
                  <c:v>7</c:v>
                </c:pt>
                <c:pt idx="8">
                  <c:v>19</c:v>
                </c:pt>
                <c:pt idx="9">
                  <c:v>8</c:v>
                </c:pt>
                <c:pt idx="10">
                  <c:v>1</c:v>
                </c:pt>
                <c:pt idx="11">
                  <c:v>2</c:v>
                </c:pt>
                <c:pt idx="12">
                  <c:v>1</c:v>
                </c:pt>
                <c:pt idx="13">
                  <c:v>181</c:v>
                </c:pt>
              </c:numCache>
            </c:numRef>
          </c:val>
        </c:ser>
        <c:dLbls>
          <c:showLegendKey val="0"/>
          <c:showVal val="0"/>
          <c:showCatName val="0"/>
          <c:showSerName val="0"/>
          <c:showPercent val="0"/>
          <c:showBubbleSize val="0"/>
        </c:dLbls>
        <c:gapWidth val="0"/>
        <c:axId val="222320640"/>
        <c:axId val="229088000"/>
      </c:barChart>
      <c:catAx>
        <c:axId val="222320640"/>
        <c:scaling>
          <c:orientation val="minMax"/>
        </c:scaling>
        <c:delete val="0"/>
        <c:axPos val="b"/>
        <c:majorTickMark val="out"/>
        <c:minorTickMark val="none"/>
        <c:tickLblPos val="nextTo"/>
        <c:crossAx val="229088000"/>
        <c:crosses val="autoZero"/>
        <c:auto val="1"/>
        <c:lblAlgn val="ctr"/>
        <c:lblOffset val="100"/>
        <c:noMultiLvlLbl val="0"/>
      </c:catAx>
      <c:valAx>
        <c:axId val="229088000"/>
        <c:scaling>
          <c:orientation val="minMax"/>
        </c:scaling>
        <c:delete val="0"/>
        <c:axPos val="l"/>
        <c:majorGridlines/>
        <c:numFmt formatCode="General" sourceLinked="1"/>
        <c:majorTickMark val="out"/>
        <c:minorTickMark val="none"/>
        <c:tickLblPos val="nextTo"/>
        <c:crossAx val="2223206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a:pPr>
            <a:r>
              <a:rPr lang="en-US" sz="1800" b="1"/>
              <a:t>Age: Box-plot</a:t>
            </a:r>
          </a:p>
        </c:rich>
      </c:tx>
      <c:overlay val="0"/>
    </c:title>
    <c:autoTitleDeleted val="0"/>
    <c:plotArea>
      <c:layout/>
      <c:barChart>
        <c:barDir val="bar"/>
        <c:grouping val="stacked"/>
        <c:varyColors val="0"/>
        <c:ser>
          <c:idx val="0"/>
          <c:order val="0"/>
          <c:tx>
            <c:strRef>
              <c:f>[Shogo.xls]Sheet2!$K$12</c:f>
              <c:strCache>
                <c:ptCount val="1"/>
                <c:pt idx="0">
                  <c:v>Lower Limit</c:v>
                </c:pt>
              </c:strCache>
            </c:strRef>
          </c:tx>
          <c:invertIfNegative val="0"/>
          <c:cat>
            <c:numRef>
              <c:f>[Shogo.xls]Sheet2!$L$11</c:f>
              <c:numCache>
                <c:formatCode>General</c:formatCode>
                <c:ptCount val="1"/>
                <c:pt idx="0">
                  <c:v>0</c:v>
                </c:pt>
              </c:numCache>
            </c:numRef>
          </c:cat>
          <c:val>
            <c:numRef>
              <c:f>[Shogo.xls]Sheet2!$L$12</c:f>
              <c:numCache>
                <c:formatCode>General</c:formatCode>
                <c:ptCount val="1"/>
                <c:pt idx="0">
                  <c:v>0</c:v>
                </c:pt>
              </c:numCache>
            </c:numRef>
          </c:val>
        </c:ser>
        <c:ser>
          <c:idx val="1"/>
          <c:order val="1"/>
          <c:tx>
            <c:strRef>
              <c:f>[Shogo.xls]Sheet2!$K$13</c:f>
              <c:strCache>
                <c:ptCount val="1"/>
                <c:pt idx="0">
                  <c:v>Quartile1</c:v>
                </c:pt>
              </c:strCache>
            </c:strRef>
          </c:tx>
          <c:spPr>
            <a:noFill/>
          </c:spPr>
          <c:invertIfNegative val="0"/>
          <c:cat>
            <c:numRef>
              <c:f>[Shogo.xls]Sheet2!$L$11</c:f>
              <c:numCache>
                <c:formatCode>General</c:formatCode>
                <c:ptCount val="1"/>
                <c:pt idx="0">
                  <c:v>0</c:v>
                </c:pt>
              </c:numCache>
            </c:numRef>
          </c:cat>
          <c:val>
            <c:numRef>
              <c:f>[Shogo.xls]Sheet2!$L$13</c:f>
              <c:numCache>
                <c:formatCode>General</c:formatCode>
                <c:ptCount val="1"/>
                <c:pt idx="0">
                  <c:v>19</c:v>
                </c:pt>
              </c:numCache>
            </c:numRef>
          </c:val>
        </c:ser>
        <c:ser>
          <c:idx val="2"/>
          <c:order val="2"/>
          <c:tx>
            <c:strRef>
              <c:f>[Shogo.xls]Sheet2!$K$14</c:f>
              <c:strCache>
                <c:ptCount val="1"/>
                <c:pt idx="0">
                  <c:v>Median</c:v>
                </c:pt>
              </c:strCache>
            </c:strRef>
          </c:tx>
          <c:invertIfNegative val="0"/>
          <c:cat>
            <c:numRef>
              <c:f>[Shogo.xls]Sheet2!$L$11</c:f>
              <c:numCache>
                <c:formatCode>General</c:formatCode>
                <c:ptCount val="1"/>
                <c:pt idx="0">
                  <c:v>0</c:v>
                </c:pt>
              </c:numCache>
            </c:numRef>
          </c:cat>
          <c:val>
            <c:numRef>
              <c:f>[Shogo.xls]Sheet2!$L$14</c:f>
              <c:numCache>
                <c:formatCode>General</c:formatCode>
                <c:ptCount val="1"/>
                <c:pt idx="0">
                  <c:v>19</c:v>
                </c:pt>
              </c:numCache>
            </c:numRef>
          </c:val>
        </c:ser>
        <c:ser>
          <c:idx val="3"/>
          <c:order val="3"/>
          <c:tx>
            <c:strRef>
              <c:f>[Shogo.xls]Sheet2!$K$15</c:f>
              <c:strCache>
                <c:ptCount val="1"/>
                <c:pt idx="0">
                  <c:v>Quartile3</c:v>
                </c:pt>
              </c:strCache>
            </c:strRef>
          </c:tx>
          <c:invertIfNegative val="0"/>
          <c:cat>
            <c:numRef>
              <c:f>[Shogo.xls]Sheet2!$L$11</c:f>
              <c:numCache>
                <c:formatCode>General</c:formatCode>
                <c:ptCount val="1"/>
                <c:pt idx="0">
                  <c:v>0</c:v>
                </c:pt>
              </c:numCache>
            </c:numRef>
          </c:cat>
          <c:val>
            <c:numRef>
              <c:f>[Shogo.xls]Sheet2!$L$15</c:f>
              <c:numCache>
                <c:formatCode>General</c:formatCode>
                <c:ptCount val="1"/>
                <c:pt idx="0">
                  <c:v>16</c:v>
                </c:pt>
              </c:numCache>
            </c:numRef>
          </c:val>
        </c:ser>
        <c:ser>
          <c:idx val="4"/>
          <c:order val="4"/>
          <c:tx>
            <c:strRef>
              <c:f>[Shogo.xls]Sheet2!$K$16</c:f>
              <c:strCache>
                <c:ptCount val="1"/>
                <c:pt idx="0">
                  <c:v>Higher Limit</c:v>
                </c:pt>
              </c:strCache>
            </c:strRef>
          </c:tx>
          <c:spPr>
            <a:noFill/>
          </c:spPr>
          <c:invertIfNegative val="0"/>
          <c:cat>
            <c:numRef>
              <c:f>[Shogo.xls]Sheet2!$L$11</c:f>
              <c:numCache>
                <c:formatCode>General</c:formatCode>
                <c:ptCount val="1"/>
                <c:pt idx="0">
                  <c:v>0</c:v>
                </c:pt>
              </c:numCache>
            </c:numRef>
          </c:cat>
          <c:val>
            <c:numRef>
              <c:f>[Shogo.xls]Sheet2!$L$16</c:f>
              <c:numCache>
                <c:formatCode>General</c:formatCode>
                <c:ptCount val="1"/>
                <c:pt idx="0">
                  <c:v>31</c:v>
                </c:pt>
              </c:numCache>
            </c:numRef>
          </c:val>
        </c:ser>
        <c:dLbls>
          <c:showLegendKey val="0"/>
          <c:showVal val="0"/>
          <c:showCatName val="0"/>
          <c:showSerName val="0"/>
          <c:showPercent val="0"/>
          <c:showBubbleSize val="0"/>
        </c:dLbls>
        <c:gapWidth val="55"/>
        <c:overlap val="100"/>
        <c:axId val="227824128"/>
        <c:axId val="229106240"/>
      </c:barChart>
      <c:catAx>
        <c:axId val="227824128"/>
        <c:scaling>
          <c:orientation val="minMax"/>
        </c:scaling>
        <c:delete val="0"/>
        <c:axPos val="l"/>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29106240"/>
        <c:crosses val="autoZero"/>
        <c:auto val="1"/>
        <c:lblAlgn val="ctr"/>
        <c:lblOffset val="100"/>
        <c:noMultiLvlLbl val="0"/>
      </c:catAx>
      <c:valAx>
        <c:axId val="229106240"/>
        <c:scaling>
          <c:orientation val="minMax"/>
        </c:scaling>
        <c:delete val="0"/>
        <c:axPos val="b"/>
        <c:majorGridlines/>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27824128"/>
        <c:crosses val="autoZero"/>
        <c:crossBetween val="between"/>
      </c:valAx>
    </c:plotArea>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Income: Histogram</a:t>
            </a:r>
          </a:p>
        </c:rich>
      </c:tx>
      <c:overlay val="0"/>
    </c:title>
    <c:autoTitleDeleted val="0"/>
    <c:plotArea>
      <c:layout/>
      <c:barChart>
        <c:barDir val="col"/>
        <c:grouping val="clustered"/>
        <c:varyColors val="0"/>
        <c:ser>
          <c:idx val="0"/>
          <c:order val="0"/>
          <c:tx>
            <c:strRef>
              <c:f>[Shogo.xls]Sheet2!$O$66:$O$67</c:f>
              <c:strCache>
                <c:ptCount val="1"/>
                <c:pt idx="0">
                  <c:v>Total Income Erequency</c:v>
                </c:pt>
              </c:strCache>
            </c:strRef>
          </c:tx>
          <c:spPr>
            <a:ln>
              <a:solidFill>
                <a:schemeClr val="tx1"/>
              </a:solidFill>
            </a:ln>
          </c:spPr>
          <c:invertIfNegative val="0"/>
          <c:cat>
            <c:strRef>
              <c:f>[Shogo.xls]Sheet2!$N$68:$N$79</c:f>
              <c:strCache>
                <c:ptCount val="12"/>
                <c:pt idx="0">
                  <c:v>$-</c:v>
                </c:pt>
                <c:pt idx="1">
                  <c:v>0-19999</c:v>
                </c:pt>
                <c:pt idx="2">
                  <c:v>20000-39999</c:v>
                </c:pt>
                <c:pt idx="3">
                  <c:v>40000-59999</c:v>
                </c:pt>
                <c:pt idx="4">
                  <c:v>60000-79999</c:v>
                </c:pt>
                <c:pt idx="5">
                  <c:v>80000-99999</c:v>
                </c:pt>
                <c:pt idx="6">
                  <c:v>100000-119999</c:v>
                </c:pt>
                <c:pt idx="7">
                  <c:v>120000-139999</c:v>
                </c:pt>
                <c:pt idx="8">
                  <c:v>140000-159999</c:v>
                </c:pt>
                <c:pt idx="9">
                  <c:v>160000-179999</c:v>
                </c:pt>
                <c:pt idx="10">
                  <c:v>180000-200000</c:v>
                </c:pt>
                <c:pt idx="11">
                  <c:v>N/A</c:v>
                </c:pt>
              </c:strCache>
            </c:strRef>
          </c:cat>
          <c:val>
            <c:numRef>
              <c:f>[Shogo.xls]Sheet2!$O$68:$O$79</c:f>
              <c:numCache>
                <c:formatCode>General</c:formatCode>
                <c:ptCount val="12"/>
                <c:pt idx="0">
                  <c:v>51</c:v>
                </c:pt>
                <c:pt idx="1">
                  <c:v>338</c:v>
                </c:pt>
                <c:pt idx="2">
                  <c:v>240</c:v>
                </c:pt>
                <c:pt idx="3">
                  <c:v>107</c:v>
                </c:pt>
                <c:pt idx="4">
                  <c:v>50</c:v>
                </c:pt>
                <c:pt idx="5">
                  <c:v>14</c:v>
                </c:pt>
                <c:pt idx="6">
                  <c:v>8</c:v>
                </c:pt>
                <c:pt idx="7">
                  <c:v>4</c:v>
                </c:pt>
                <c:pt idx="8">
                  <c:v>2</c:v>
                </c:pt>
                <c:pt idx="9">
                  <c:v>2</c:v>
                </c:pt>
                <c:pt idx="10">
                  <c:v>3</c:v>
                </c:pt>
                <c:pt idx="11">
                  <c:v>181</c:v>
                </c:pt>
              </c:numCache>
            </c:numRef>
          </c:val>
        </c:ser>
        <c:dLbls>
          <c:showLegendKey val="0"/>
          <c:showVal val="0"/>
          <c:showCatName val="0"/>
          <c:showSerName val="0"/>
          <c:showPercent val="0"/>
          <c:showBubbleSize val="0"/>
        </c:dLbls>
        <c:gapWidth val="0"/>
        <c:axId val="221913600"/>
        <c:axId val="229107968"/>
      </c:barChart>
      <c:catAx>
        <c:axId val="221913600"/>
        <c:scaling>
          <c:orientation val="minMax"/>
        </c:scaling>
        <c:delete val="0"/>
        <c:axPos val="b"/>
        <c:numFmt formatCode="General" sourceLinked="1"/>
        <c:majorTickMark val="out"/>
        <c:minorTickMark val="none"/>
        <c:tickLblPos val="nextTo"/>
        <c:crossAx val="229107968"/>
        <c:crosses val="autoZero"/>
        <c:auto val="1"/>
        <c:lblAlgn val="ctr"/>
        <c:lblOffset val="100"/>
        <c:noMultiLvlLbl val="0"/>
      </c:catAx>
      <c:valAx>
        <c:axId val="229107968"/>
        <c:scaling>
          <c:orientation val="minMax"/>
        </c:scaling>
        <c:delete val="0"/>
        <c:axPos val="l"/>
        <c:majorGridlines/>
        <c:numFmt formatCode="General" sourceLinked="1"/>
        <c:majorTickMark val="out"/>
        <c:minorTickMark val="none"/>
        <c:tickLblPos val="nextTo"/>
        <c:crossAx val="22191360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Total income: Box-plot</a:t>
            </a:r>
          </a:p>
        </c:rich>
      </c:tx>
      <c:overlay val="0"/>
    </c:title>
    <c:autoTitleDeleted val="0"/>
    <c:plotArea>
      <c:layout/>
      <c:barChart>
        <c:barDir val="bar"/>
        <c:grouping val="stacked"/>
        <c:varyColors val="0"/>
        <c:ser>
          <c:idx val="0"/>
          <c:order val="0"/>
          <c:tx>
            <c:strRef>
              <c:f>[Shogo.xls]Sheet2!$K$76</c:f>
              <c:strCache>
                <c:ptCount val="1"/>
                <c:pt idx="0">
                  <c:v>Lower Limit</c:v>
                </c:pt>
              </c:strCache>
            </c:strRef>
          </c:tx>
          <c:invertIfNegative val="0"/>
          <c:cat>
            <c:numRef>
              <c:f>[Shogo.xls]Sheet2!$L$75</c:f>
              <c:numCache>
                <c:formatCode>General</c:formatCode>
                <c:ptCount val="1"/>
                <c:pt idx="0">
                  <c:v>0</c:v>
                </c:pt>
              </c:numCache>
            </c:numRef>
          </c:cat>
          <c:val>
            <c:numRef>
              <c:f>[Shogo.xls]Sheet2!$L$76</c:f>
              <c:numCache>
                <c:formatCode>General</c:formatCode>
                <c:ptCount val="1"/>
                <c:pt idx="0">
                  <c:v>0</c:v>
                </c:pt>
              </c:numCache>
            </c:numRef>
          </c:val>
        </c:ser>
        <c:ser>
          <c:idx val="1"/>
          <c:order val="1"/>
          <c:tx>
            <c:strRef>
              <c:f>[Shogo.xls]Sheet2!$K$77</c:f>
              <c:strCache>
                <c:ptCount val="1"/>
                <c:pt idx="0">
                  <c:v>Quartile1</c:v>
                </c:pt>
              </c:strCache>
            </c:strRef>
          </c:tx>
          <c:spPr>
            <a:noFill/>
          </c:spPr>
          <c:invertIfNegative val="0"/>
          <c:cat>
            <c:numRef>
              <c:f>[Shogo.xls]Sheet2!$L$75</c:f>
              <c:numCache>
                <c:formatCode>General</c:formatCode>
                <c:ptCount val="1"/>
                <c:pt idx="0">
                  <c:v>0</c:v>
                </c:pt>
              </c:numCache>
            </c:numRef>
          </c:cat>
          <c:val>
            <c:numRef>
              <c:f>[Shogo.xls]Sheet2!$L$77</c:f>
              <c:numCache>
                <c:formatCode>General</c:formatCode>
                <c:ptCount val="1"/>
                <c:pt idx="0">
                  <c:v>10284</c:v>
                </c:pt>
              </c:numCache>
            </c:numRef>
          </c:val>
        </c:ser>
        <c:ser>
          <c:idx val="2"/>
          <c:order val="2"/>
          <c:tx>
            <c:strRef>
              <c:f>[Shogo.xls]Sheet2!$K$78</c:f>
              <c:strCache>
                <c:ptCount val="1"/>
                <c:pt idx="0">
                  <c:v>Median</c:v>
                </c:pt>
              </c:strCache>
            </c:strRef>
          </c:tx>
          <c:invertIfNegative val="0"/>
          <c:cat>
            <c:numRef>
              <c:f>[Shogo.xls]Sheet2!$L$75</c:f>
              <c:numCache>
                <c:formatCode>General</c:formatCode>
                <c:ptCount val="1"/>
                <c:pt idx="0">
                  <c:v>0</c:v>
                </c:pt>
              </c:numCache>
            </c:numRef>
          </c:cat>
          <c:val>
            <c:numRef>
              <c:f>[Shogo.xls]Sheet2!$L$78</c:f>
              <c:numCache>
                <c:formatCode>General</c:formatCode>
                <c:ptCount val="1"/>
                <c:pt idx="0">
                  <c:v>10648</c:v>
                </c:pt>
              </c:numCache>
            </c:numRef>
          </c:val>
        </c:ser>
        <c:ser>
          <c:idx val="3"/>
          <c:order val="3"/>
          <c:tx>
            <c:strRef>
              <c:f>[Shogo.xls]Sheet2!$K$79</c:f>
              <c:strCache>
                <c:ptCount val="1"/>
                <c:pt idx="0">
                  <c:v>Quartile3</c:v>
                </c:pt>
              </c:strCache>
            </c:strRef>
          </c:tx>
          <c:invertIfNegative val="0"/>
          <c:cat>
            <c:numRef>
              <c:f>[Shogo.xls]Sheet2!$L$75</c:f>
              <c:numCache>
                <c:formatCode>General</c:formatCode>
                <c:ptCount val="1"/>
                <c:pt idx="0">
                  <c:v>0</c:v>
                </c:pt>
              </c:numCache>
            </c:numRef>
          </c:cat>
          <c:val>
            <c:numRef>
              <c:f>[Shogo.xls]Sheet2!$L$79</c:f>
              <c:numCache>
                <c:formatCode>General</c:formatCode>
                <c:ptCount val="1"/>
                <c:pt idx="0">
                  <c:v>16716.5</c:v>
                </c:pt>
              </c:numCache>
            </c:numRef>
          </c:val>
        </c:ser>
        <c:ser>
          <c:idx val="4"/>
          <c:order val="4"/>
          <c:tx>
            <c:strRef>
              <c:f>[Shogo.xls]Sheet2!$K$80</c:f>
              <c:strCache>
                <c:ptCount val="1"/>
                <c:pt idx="0">
                  <c:v>Higher Limit</c:v>
                </c:pt>
              </c:strCache>
            </c:strRef>
          </c:tx>
          <c:spPr>
            <a:noFill/>
          </c:spPr>
          <c:invertIfNegative val="0"/>
          <c:cat>
            <c:numRef>
              <c:f>[Shogo.xls]Sheet2!$L$75</c:f>
              <c:numCache>
                <c:formatCode>General</c:formatCode>
                <c:ptCount val="1"/>
                <c:pt idx="0">
                  <c:v>0</c:v>
                </c:pt>
              </c:numCache>
            </c:numRef>
          </c:cat>
          <c:val>
            <c:numRef>
              <c:f>[Shogo.xls]Sheet2!$L$80</c:f>
              <c:numCache>
                <c:formatCode>General</c:formatCode>
                <c:ptCount val="1"/>
                <c:pt idx="0">
                  <c:v>41046.75</c:v>
                </c:pt>
              </c:numCache>
            </c:numRef>
          </c:val>
        </c:ser>
        <c:dLbls>
          <c:showLegendKey val="0"/>
          <c:showVal val="0"/>
          <c:showCatName val="0"/>
          <c:showSerName val="0"/>
          <c:showPercent val="0"/>
          <c:showBubbleSize val="0"/>
        </c:dLbls>
        <c:gapWidth val="55"/>
        <c:overlap val="100"/>
        <c:axId val="221914112"/>
        <c:axId val="229109696"/>
      </c:barChart>
      <c:catAx>
        <c:axId val="221914112"/>
        <c:scaling>
          <c:orientation val="minMax"/>
        </c:scaling>
        <c:delete val="0"/>
        <c:axPos val="l"/>
        <c:numFmt formatCode="General" sourceLinked="1"/>
        <c:majorTickMark val="none"/>
        <c:minorTickMark val="none"/>
        <c:tickLblPos val="nextTo"/>
        <c:crossAx val="229109696"/>
        <c:crosses val="autoZero"/>
        <c:auto val="1"/>
        <c:lblAlgn val="ctr"/>
        <c:lblOffset val="100"/>
        <c:noMultiLvlLbl val="0"/>
      </c:catAx>
      <c:valAx>
        <c:axId val="229109696"/>
        <c:scaling>
          <c:orientation val="minMax"/>
        </c:scaling>
        <c:delete val="0"/>
        <c:axPos val="b"/>
        <c:majorGridlines/>
        <c:numFmt formatCode="General" sourceLinked="1"/>
        <c:majorTickMark val="none"/>
        <c:minorTickMark val="none"/>
        <c:tickLblPos val="nextTo"/>
        <c:crossAx val="221914112"/>
        <c:crosses val="autoZero"/>
        <c:crossBetween val="between"/>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Wages and salaries:</a:t>
            </a:r>
            <a:r>
              <a:rPr lang="en-US" baseline="0"/>
              <a:t> Histogram</a:t>
            </a:r>
            <a:endParaRPr lang="en-US"/>
          </a:p>
        </c:rich>
      </c:tx>
      <c:overlay val="0"/>
    </c:title>
    <c:autoTitleDeleted val="0"/>
    <c:plotArea>
      <c:layout/>
      <c:barChart>
        <c:barDir val="col"/>
        <c:grouping val="clustered"/>
        <c:varyColors val="0"/>
        <c:ser>
          <c:idx val="0"/>
          <c:order val="0"/>
          <c:tx>
            <c:strRef>
              <c:f>[Shogo.xls]Sheet2!$O$102:$O$103</c:f>
              <c:strCache>
                <c:ptCount val="1"/>
                <c:pt idx="0">
                  <c:v>Wages and salaries Freqency</c:v>
                </c:pt>
              </c:strCache>
            </c:strRef>
          </c:tx>
          <c:spPr>
            <a:ln>
              <a:solidFill>
                <a:schemeClr val="tx1"/>
              </a:solidFill>
            </a:ln>
          </c:spPr>
          <c:invertIfNegative val="0"/>
          <c:cat>
            <c:strRef>
              <c:f>[Shogo.xls]Sheet2!$N$104:$N$114</c:f>
              <c:strCache>
                <c:ptCount val="11"/>
                <c:pt idx="0">
                  <c:v>0-19999</c:v>
                </c:pt>
                <c:pt idx="1">
                  <c:v>20000-39999</c:v>
                </c:pt>
                <c:pt idx="2">
                  <c:v>40000-59999</c:v>
                </c:pt>
                <c:pt idx="3">
                  <c:v>60000-79999</c:v>
                </c:pt>
                <c:pt idx="4">
                  <c:v>80000-99999</c:v>
                </c:pt>
                <c:pt idx="5">
                  <c:v>100000-119999</c:v>
                </c:pt>
                <c:pt idx="6">
                  <c:v>120000-139999</c:v>
                </c:pt>
                <c:pt idx="7">
                  <c:v>140000-159999</c:v>
                </c:pt>
                <c:pt idx="8">
                  <c:v>160000-179999</c:v>
                </c:pt>
                <c:pt idx="9">
                  <c:v>180000-200000</c:v>
                </c:pt>
                <c:pt idx="10">
                  <c:v>N/A</c:v>
                </c:pt>
              </c:strCache>
            </c:strRef>
          </c:cat>
          <c:val>
            <c:numRef>
              <c:f>[Shogo.xls]Sheet2!$O$104:$O$114</c:f>
              <c:numCache>
                <c:formatCode>General</c:formatCode>
                <c:ptCount val="11"/>
                <c:pt idx="0">
                  <c:v>506</c:v>
                </c:pt>
                <c:pt idx="1">
                  <c:v>169</c:v>
                </c:pt>
                <c:pt idx="2">
                  <c:v>86</c:v>
                </c:pt>
                <c:pt idx="3">
                  <c:v>32</c:v>
                </c:pt>
                <c:pt idx="4">
                  <c:v>11</c:v>
                </c:pt>
                <c:pt idx="5">
                  <c:v>8</c:v>
                </c:pt>
                <c:pt idx="6">
                  <c:v>3</c:v>
                </c:pt>
                <c:pt idx="7">
                  <c:v>1</c:v>
                </c:pt>
                <c:pt idx="8">
                  <c:v>0</c:v>
                </c:pt>
                <c:pt idx="9">
                  <c:v>3</c:v>
                </c:pt>
                <c:pt idx="10">
                  <c:v>181</c:v>
                </c:pt>
              </c:numCache>
            </c:numRef>
          </c:val>
        </c:ser>
        <c:dLbls>
          <c:showLegendKey val="0"/>
          <c:showVal val="0"/>
          <c:showCatName val="0"/>
          <c:showSerName val="0"/>
          <c:showPercent val="0"/>
          <c:showBubbleSize val="0"/>
        </c:dLbls>
        <c:gapWidth val="0"/>
        <c:axId val="221914624"/>
        <c:axId val="229111424"/>
      </c:barChart>
      <c:catAx>
        <c:axId val="221914624"/>
        <c:scaling>
          <c:orientation val="minMax"/>
        </c:scaling>
        <c:delete val="0"/>
        <c:axPos val="b"/>
        <c:numFmt formatCode="General" sourceLinked="1"/>
        <c:majorTickMark val="out"/>
        <c:minorTickMark val="none"/>
        <c:tickLblPos val="nextTo"/>
        <c:crossAx val="229111424"/>
        <c:crosses val="autoZero"/>
        <c:auto val="1"/>
        <c:lblAlgn val="ctr"/>
        <c:lblOffset val="100"/>
        <c:noMultiLvlLbl val="0"/>
      </c:catAx>
      <c:valAx>
        <c:axId val="229111424"/>
        <c:scaling>
          <c:orientation val="minMax"/>
        </c:scaling>
        <c:delete val="0"/>
        <c:axPos val="l"/>
        <c:majorGridlines/>
        <c:numFmt formatCode="General" sourceLinked="1"/>
        <c:majorTickMark val="out"/>
        <c:minorTickMark val="none"/>
        <c:tickLblPos val="nextTo"/>
        <c:crossAx val="22191462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Wages and salaries:</a:t>
            </a:r>
            <a:r>
              <a:rPr lang="en-CA" baseline="0"/>
              <a:t> Box-plot</a:t>
            </a:r>
            <a:endParaRPr lang="en-CA"/>
          </a:p>
        </c:rich>
      </c:tx>
      <c:overlay val="0"/>
    </c:title>
    <c:autoTitleDeleted val="0"/>
    <c:plotArea>
      <c:layout/>
      <c:barChart>
        <c:barDir val="bar"/>
        <c:grouping val="stacked"/>
        <c:varyColors val="0"/>
        <c:ser>
          <c:idx val="0"/>
          <c:order val="0"/>
          <c:tx>
            <c:strRef>
              <c:f>[Shogo.xls]Sheet2!$K$110</c:f>
              <c:strCache>
                <c:ptCount val="1"/>
                <c:pt idx="0">
                  <c:v>Lower Limit</c:v>
                </c:pt>
              </c:strCache>
            </c:strRef>
          </c:tx>
          <c:invertIfNegative val="0"/>
          <c:cat>
            <c:numRef>
              <c:f>[Shogo.xls]Sheet2!$L$109</c:f>
              <c:numCache>
                <c:formatCode>General</c:formatCode>
                <c:ptCount val="1"/>
                <c:pt idx="0">
                  <c:v>0</c:v>
                </c:pt>
              </c:numCache>
            </c:numRef>
          </c:cat>
          <c:val>
            <c:numRef>
              <c:f>[Shogo.xls]Sheet2!$L$110</c:f>
              <c:numCache>
                <c:formatCode>General</c:formatCode>
                <c:ptCount val="1"/>
                <c:pt idx="0">
                  <c:v>0</c:v>
                </c:pt>
              </c:numCache>
            </c:numRef>
          </c:val>
        </c:ser>
        <c:ser>
          <c:idx val="1"/>
          <c:order val="1"/>
          <c:tx>
            <c:strRef>
              <c:f>[Shogo.xls]Sheet2!$K$111</c:f>
              <c:strCache>
                <c:ptCount val="1"/>
                <c:pt idx="0">
                  <c:v>Quartile1</c:v>
                </c:pt>
              </c:strCache>
            </c:strRef>
          </c:tx>
          <c:invertIfNegative val="0"/>
          <c:cat>
            <c:numRef>
              <c:f>[Shogo.xls]Sheet2!$L$109</c:f>
              <c:numCache>
                <c:formatCode>General</c:formatCode>
                <c:ptCount val="1"/>
                <c:pt idx="0">
                  <c:v>0</c:v>
                </c:pt>
              </c:numCache>
            </c:numRef>
          </c:cat>
          <c:val>
            <c:numRef>
              <c:f>[Shogo.xls]Sheet2!$L$111</c:f>
              <c:numCache>
                <c:formatCode>General</c:formatCode>
                <c:ptCount val="1"/>
                <c:pt idx="0">
                  <c:v>0</c:v>
                </c:pt>
              </c:numCache>
            </c:numRef>
          </c:val>
        </c:ser>
        <c:ser>
          <c:idx val="2"/>
          <c:order val="2"/>
          <c:tx>
            <c:strRef>
              <c:f>[Shogo.xls]Sheet2!$K$112</c:f>
              <c:strCache>
                <c:ptCount val="1"/>
                <c:pt idx="0">
                  <c:v>Median</c:v>
                </c:pt>
              </c:strCache>
            </c:strRef>
          </c:tx>
          <c:invertIfNegative val="0"/>
          <c:cat>
            <c:numRef>
              <c:f>[Shogo.xls]Sheet2!$L$109</c:f>
              <c:numCache>
                <c:formatCode>General</c:formatCode>
                <c:ptCount val="1"/>
                <c:pt idx="0">
                  <c:v>0</c:v>
                </c:pt>
              </c:numCache>
            </c:numRef>
          </c:cat>
          <c:val>
            <c:numRef>
              <c:f>[Shogo.xls]Sheet2!$L$112</c:f>
              <c:numCache>
                <c:formatCode>General</c:formatCode>
                <c:ptCount val="1"/>
                <c:pt idx="0">
                  <c:v>9094</c:v>
                </c:pt>
              </c:numCache>
            </c:numRef>
          </c:val>
        </c:ser>
        <c:ser>
          <c:idx val="3"/>
          <c:order val="3"/>
          <c:tx>
            <c:strRef>
              <c:f>[Shogo.xls]Sheet2!$K$113</c:f>
              <c:strCache>
                <c:ptCount val="1"/>
                <c:pt idx="0">
                  <c:v>Quartile3</c:v>
                </c:pt>
              </c:strCache>
            </c:strRef>
          </c:tx>
          <c:invertIfNegative val="0"/>
          <c:cat>
            <c:numRef>
              <c:f>[Shogo.xls]Sheet2!$L$109</c:f>
              <c:numCache>
                <c:formatCode>General</c:formatCode>
                <c:ptCount val="1"/>
                <c:pt idx="0">
                  <c:v>0</c:v>
                </c:pt>
              </c:numCache>
            </c:numRef>
          </c:cat>
          <c:val>
            <c:numRef>
              <c:f>[Shogo.xls]Sheet2!$L$113</c:f>
              <c:numCache>
                <c:formatCode>General</c:formatCode>
                <c:ptCount val="1"/>
                <c:pt idx="0">
                  <c:v>20906</c:v>
                </c:pt>
              </c:numCache>
            </c:numRef>
          </c:val>
        </c:ser>
        <c:ser>
          <c:idx val="4"/>
          <c:order val="4"/>
          <c:tx>
            <c:strRef>
              <c:f>[Shogo.xls]Sheet2!$K$114</c:f>
              <c:strCache>
                <c:ptCount val="1"/>
                <c:pt idx="0">
                  <c:v>Higher Limit</c:v>
                </c:pt>
              </c:strCache>
            </c:strRef>
          </c:tx>
          <c:spPr>
            <a:noFill/>
          </c:spPr>
          <c:invertIfNegative val="0"/>
          <c:cat>
            <c:numRef>
              <c:f>[Shogo.xls]Sheet2!$L$109</c:f>
              <c:numCache>
                <c:formatCode>General</c:formatCode>
                <c:ptCount val="1"/>
                <c:pt idx="0">
                  <c:v>0</c:v>
                </c:pt>
              </c:numCache>
            </c:numRef>
          </c:cat>
          <c:val>
            <c:numRef>
              <c:f>[Shogo.xls]Sheet2!$L$114</c:f>
              <c:numCache>
                <c:formatCode>General</c:formatCode>
                <c:ptCount val="1"/>
                <c:pt idx="0">
                  <c:v>45000</c:v>
                </c:pt>
              </c:numCache>
            </c:numRef>
          </c:val>
        </c:ser>
        <c:dLbls>
          <c:showLegendKey val="0"/>
          <c:showVal val="0"/>
          <c:showCatName val="0"/>
          <c:showSerName val="0"/>
          <c:showPercent val="0"/>
          <c:showBubbleSize val="0"/>
        </c:dLbls>
        <c:gapWidth val="55"/>
        <c:overlap val="100"/>
        <c:axId val="221915136"/>
        <c:axId val="229113152"/>
      </c:barChart>
      <c:catAx>
        <c:axId val="221915136"/>
        <c:scaling>
          <c:orientation val="minMax"/>
        </c:scaling>
        <c:delete val="0"/>
        <c:axPos val="l"/>
        <c:numFmt formatCode="General" sourceLinked="1"/>
        <c:majorTickMark val="none"/>
        <c:minorTickMark val="none"/>
        <c:tickLblPos val="nextTo"/>
        <c:crossAx val="229113152"/>
        <c:crosses val="autoZero"/>
        <c:auto val="1"/>
        <c:lblAlgn val="ctr"/>
        <c:lblOffset val="100"/>
        <c:noMultiLvlLbl val="0"/>
      </c:catAx>
      <c:valAx>
        <c:axId val="229113152"/>
        <c:scaling>
          <c:orientation val="minMax"/>
        </c:scaling>
        <c:delete val="0"/>
        <c:axPos val="b"/>
        <c:majorGridlines/>
        <c:numFmt formatCode="General" sourceLinked="1"/>
        <c:majorTickMark val="none"/>
        <c:minorTickMark val="none"/>
        <c:tickLblPos val="nextTo"/>
        <c:crossAx val="221915136"/>
        <c:crosses val="autoZero"/>
        <c:crossBetween val="between"/>
      </c:valAx>
    </c:plotArea>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Selfemployment Income: Histogram</a:t>
            </a:r>
          </a:p>
        </c:rich>
      </c:tx>
      <c:overlay val="0"/>
    </c:title>
    <c:autoTitleDeleted val="0"/>
    <c:plotArea>
      <c:layout/>
      <c:barChart>
        <c:barDir val="col"/>
        <c:grouping val="clustered"/>
        <c:varyColors val="0"/>
        <c:ser>
          <c:idx val="0"/>
          <c:order val="0"/>
          <c:tx>
            <c:strRef>
              <c:f>[Shogo.xls]Sheet2!$O$136:$O$138</c:f>
              <c:strCache>
                <c:ptCount val="1"/>
                <c:pt idx="0">
                  <c:v>Selfemployment Income Freqency</c:v>
                </c:pt>
              </c:strCache>
            </c:strRef>
          </c:tx>
          <c:spPr>
            <a:ln>
              <a:solidFill>
                <a:schemeClr val="tx1"/>
              </a:solidFill>
            </a:ln>
          </c:spPr>
          <c:invertIfNegative val="0"/>
          <c:cat>
            <c:strRef>
              <c:f>[Shogo.xls]Sheet2!$N$139:$N$150</c:f>
              <c:strCache>
                <c:ptCount val="12"/>
                <c:pt idx="0">
                  <c:v>&lt;0</c:v>
                </c:pt>
                <c:pt idx="1">
                  <c:v>0</c:v>
                </c:pt>
                <c:pt idx="2">
                  <c:v>0&lt; and &lt;=15500</c:v>
                </c:pt>
                <c:pt idx="3">
                  <c:v>15500&lt; and &lt;=31000</c:v>
                </c:pt>
                <c:pt idx="4">
                  <c:v>31000&lt; and &lt;=46500</c:v>
                </c:pt>
                <c:pt idx="5">
                  <c:v>46500&lt; and &lt;=62000</c:v>
                </c:pt>
                <c:pt idx="6">
                  <c:v>62000&lt; and &lt;=77500</c:v>
                </c:pt>
                <c:pt idx="7">
                  <c:v>77500&lt; and &lt;=93000</c:v>
                </c:pt>
                <c:pt idx="8">
                  <c:v>93000&lt; and &lt;=108500</c:v>
                </c:pt>
                <c:pt idx="9">
                  <c:v>108500&lt; and &lt;=124000</c:v>
                </c:pt>
                <c:pt idx="10">
                  <c:v>124000&lt;</c:v>
                </c:pt>
                <c:pt idx="11">
                  <c:v>N/A</c:v>
                </c:pt>
              </c:strCache>
            </c:strRef>
          </c:cat>
          <c:val>
            <c:numRef>
              <c:f>[Shogo.xls]Sheet2!$O$139:$O$150</c:f>
              <c:numCache>
                <c:formatCode>General</c:formatCode>
                <c:ptCount val="12"/>
                <c:pt idx="0">
                  <c:v>7</c:v>
                </c:pt>
                <c:pt idx="1">
                  <c:v>762</c:v>
                </c:pt>
                <c:pt idx="2">
                  <c:v>26</c:v>
                </c:pt>
                <c:pt idx="3">
                  <c:v>17</c:v>
                </c:pt>
                <c:pt idx="4">
                  <c:v>2</c:v>
                </c:pt>
                <c:pt idx="5">
                  <c:v>1</c:v>
                </c:pt>
                <c:pt idx="6">
                  <c:v>2</c:v>
                </c:pt>
                <c:pt idx="7">
                  <c:v>0</c:v>
                </c:pt>
                <c:pt idx="8">
                  <c:v>1</c:v>
                </c:pt>
                <c:pt idx="9">
                  <c:v>0</c:v>
                </c:pt>
                <c:pt idx="10">
                  <c:v>1</c:v>
                </c:pt>
                <c:pt idx="11">
                  <c:v>181</c:v>
                </c:pt>
              </c:numCache>
            </c:numRef>
          </c:val>
        </c:ser>
        <c:dLbls>
          <c:showLegendKey val="0"/>
          <c:showVal val="0"/>
          <c:showCatName val="0"/>
          <c:showSerName val="0"/>
          <c:showPercent val="0"/>
          <c:showBubbleSize val="0"/>
        </c:dLbls>
        <c:gapWidth val="0"/>
        <c:axId val="221915648"/>
        <c:axId val="229452608"/>
      </c:barChart>
      <c:catAx>
        <c:axId val="221915648"/>
        <c:scaling>
          <c:orientation val="minMax"/>
        </c:scaling>
        <c:delete val="0"/>
        <c:axPos val="b"/>
        <c:numFmt formatCode="General" sourceLinked="1"/>
        <c:majorTickMark val="out"/>
        <c:minorTickMark val="none"/>
        <c:tickLblPos val="nextTo"/>
        <c:crossAx val="229452608"/>
        <c:crosses val="autoZero"/>
        <c:auto val="1"/>
        <c:lblAlgn val="ctr"/>
        <c:lblOffset val="100"/>
        <c:noMultiLvlLbl val="0"/>
      </c:catAx>
      <c:valAx>
        <c:axId val="229452608"/>
        <c:scaling>
          <c:orientation val="minMax"/>
        </c:scaling>
        <c:delete val="0"/>
        <c:axPos val="l"/>
        <c:majorGridlines/>
        <c:numFmt formatCode="General" sourceLinked="1"/>
        <c:majorTickMark val="out"/>
        <c:minorTickMark val="none"/>
        <c:tickLblPos val="nextTo"/>
        <c:crossAx val="22191564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a:t>Sex</a:t>
            </a:r>
            <a:r>
              <a:rPr lang="en-US"/>
              <a:t>: </a:t>
            </a:r>
            <a:r>
              <a:rPr lang="en-US" sz="1800" b="1"/>
              <a:t>Freqency</a:t>
            </a:r>
          </a:p>
        </c:rich>
      </c:tx>
      <c:layout>
        <c:manualLayout>
          <c:xMode val="edge"/>
          <c:yMode val="edge"/>
          <c:x val="0.38438524971612581"/>
          <c:y val="4.1666666666666664E-2"/>
        </c:manualLayout>
      </c:layout>
      <c:overlay val="0"/>
    </c:title>
    <c:autoTitleDeleted val="0"/>
    <c:plotArea>
      <c:layout/>
      <c:pieChart>
        <c:varyColors val="1"/>
        <c:ser>
          <c:idx val="0"/>
          <c:order val="0"/>
          <c:tx>
            <c:strRef>
              <c:f>[Shogo.xls]Sheet2!$I$42:$I$43</c:f>
              <c:strCache>
                <c:ptCount val="1"/>
                <c:pt idx="0">
                  <c:v>Sex Freqency</c:v>
                </c:pt>
              </c:strCache>
            </c:strRef>
          </c:tx>
          <c:dPt>
            <c:idx val="0"/>
            <c:bubble3D val="0"/>
          </c:dPt>
          <c:dPt>
            <c:idx val="1"/>
            <c:bubble3D val="0"/>
          </c:dPt>
          <c:dLbls>
            <c:txPr>
              <a:bodyPr/>
              <a:lstStyle/>
              <a:p>
                <a:pPr>
                  <a:defRPr sz="1000" b="0" i="0" u="none" strike="noStrike" baseline="0">
                    <a:solidFill>
                      <a:srgbClr val="000000"/>
                    </a:solidFill>
                    <a:latin typeface="Calibri"/>
                    <a:ea typeface="Calibri"/>
                    <a:cs typeface="Calibri"/>
                  </a:defRPr>
                </a:pPr>
                <a:endParaRPr lang="en-US"/>
              </a:p>
            </c:txPr>
            <c:showLegendKey val="0"/>
            <c:showVal val="0"/>
            <c:showCatName val="1"/>
            <c:showSerName val="0"/>
            <c:showPercent val="1"/>
            <c:showBubbleSize val="0"/>
            <c:showLeaderLines val="1"/>
          </c:dLbls>
          <c:cat>
            <c:strRef>
              <c:f>[Shogo.xls]Sheet2!$H$44:$H$45</c:f>
              <c:strCache>
                <c:ptCount val="2"/>
                <c:pt idx="0">
                  <c:v>Male</c:v>
                </c:pt>
                <c:pt idx="1">
                  <c:v>Female</c:v>
                </c:pt>
              </c:strCache>
            </c:strRef>
          </c:cat>
          <c:val>
            <c:numRef>
              <c:f>[Shogo.xls]Sheet2!$I$44:$I$45</c:f>
              <c:numCache>
                <c:formatCode>General</c:formatCode>
                <c:ptCount val="2"/>
                <c:pt idx="0">
                  <c:v>482</c:v>
                </c:pt>
                <c:pt idx="1">
                  <c:v>518</c:v>
                </c:pt>
              </c:numCache>
            </c:numRef>
          </c:val>
        </c:ser>
        <c:dLbls>
          <c:showLegendKey val="0"/>
          <c:showVal val="0"/>
          <c:showCatName val="1"/>
          <c:showSerName val="0"/>
          <c:showPercent val="1"/>
          <c:showBubbleSize val="0"/>
          <c:showLeaderLines val="1"/>
        </c:dLbls>
        <c:firstSliceAng val="0"/>
      </c:pieChart>
      <c:spPr>
        <a:noFill/>
        <a:ln w="25400">
          <a:noFill/>
        </a:ln>
      </c:spPr>
    </c:plotArea>
    <c:plotVisOnly val="1"/>
    <c:dispBlanksAs val="zero"/>
    <c:showDLblsOverMax val="0"/>
  </c:chart>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Highest level of schooling: Frequency</a:t>
            </a:r>
          </a:p>
        </c:rich>
      </c:tx>
      <c:overlay val="0"/>
    </c:title>
    <c:autoTitleDeleted val="0"/>
    <c:plotArea>
      <c:layout/>
      <c:barChart>
        <c:barDir val="col"/>
        <c:grouping val="clustered"/>
        <c:varyColors val="0"/>
        <c:ser>
          <c:idx val="0"/>
          <c:order val="0"/>
          <c:spPr>
            <a:ln>
              <a:solidFill>
                <a:schemeClr val="tx1"/>
              </a:solidFill>
            </a:ln>
          </c:spPr>
          <c:invertIfNegative val="0"/>
          <c:val>
            <c:numRef>
              <c:f>[Albee.xlsx]Sheet1!$E$2:$E$16</c:f>
              <c:numCache>
                <c:formatCode>General</c:formatCode>
                <c:ptCount val="15"/>
                <c:pt idx="0">
                  <c:v>22</c:v>
                </c:pt>
                <c:pt idx="1">
                  <c:v>33</c:v>
                </c:pt>
                <c:pt idx="2">
                  <c:v>174</c:v>
                </c:pt>
                <c:pt idx="3">
                  <c:v>94</c:v>
                </c:pt>
                <c:pt idx="4">
                  <c:v>30</c:v>
                </c:pt>
                <c:pt idx="5">
                  <c:v>59</c:v>
                </c:pt>
                <c:pt idx="6">
                  <c:v>74</c:v>
                </c:pt>
                <c:pt idx="7">
                  <c:v>109</c:v>
                </c:pt>
                <c:pt idx="8">
                  <c:v>50</c:v>
                </c:pt>
                <c:pt idx="9">
                  <c:v>43</c:v>
                </c:pt>
                <c:pt idx="10">
                  <c:v>90</c:v>
                </c:pt>
                <c:pt idx="11">
                  <c:v>9</c:v>
                </c:pt>
                <c:pt idx="12">
                  <c:v>27</c:v>
                </c:pt>
                <c:pt idx="13">
                  <c:v>5</c:v>
                </c:pt>
                <c:pt idx="14">
                  <c:v>181</c:v>
                </c:pt>
              </c:numCache>
            </c:numRef>
          </c:val>
        </c:ser>
        <c:dLbls>
          <c:showLegendKey val="0"/>
          <c:showVal val="0"/>
          <c:showCatName val="0"/>
          <c:showSerName val="0"/>
          <c:showPercent val="0"/>
          <c:showBubbleSize val="0"/>
        </c:dLbls>
        <c:gapWidth val="0"/>
        <c:axId val="222131200"/>
        <c:axId val="229457216"/>
      </c:barChart>
      <c:catAx>
        <c:axId val="222131200"/>
        <c:scaling>
          <c:orientation val="minMax"/>
        </c:scaling>
        <c:delete val="0"/>
        <c:axPos val="b"/>
        <c:majorTickMark val="none"/>
        <c:minorTickMark val="none"/>
        <c:tickLblPos val="nextTo"/>
        <c:crossAx val="229457216"/>
        <c:crosses val="autoZero"/>
        <c:auto val="1"/>
        <c:lblAlgn val="ctr"/>
        <c:lblOffset val="100"/>
        <c:noMultiLvlLbl val="0"/>
      </c:catAx>
      <c:valAx>
        <c:axId val="229457216"/>
        <c:scaling>
          <c:orientation val="minMax"/>
        </c:scaling>
        <c:delete val="0"/>
        <c:axPos val="l"/>
        <c:majorGridlines/>
        <c:numFmt formatCode="General" sourceLinked="1"/>
        <c:majorTickMark val="none"/>
        <c:minorTickMark val="none"/>
        <c:tickLblPos val="nextTo"/>
        <c:crossAx val="222131200"/>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0.0124</cdr:x>
      <cdr:y>0.34722</cdr:y>
    </cdr:from>
    <cdr:to>
      <cdr:x>0.2314</cdr:x>
      <cdr:y>0.43056</cdr:y>
    </cdr:to>
    <cdr:sp macro="" textlink="">
      <cdr:nvSpPr>
        <cdr:cNvPr id="2" name="Rectangle 1"/>
        <cdr:cNvSpPr/>
      </cdr:nvSpPr>
      <cdr:spPr>
        <a:xfrm xmlns:a="http://schemas.openxmlformats.org/drawingml/2006/main">
          <a:off x="57149" y="952500"/>
          <a:ext cx="1009651" cy="228600"/>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8EBE6C80-F7B2-4DD8-9CD6-53B3F99F4084}" type="TxLink">
            <a:rPr lang="en-US" sz="1000" b="0" i="0" u="none" strike="noStrike">
              <a:solidFill>
                <a:srgbClr val="000000"/>
              </a:solidFill>
              <a:latin typeface="Arial"/>
              <a:cs typeface="Arial"/>
            </a:rPr>
            <a:pPr/>
            <a:t>Lower Limit=0</a:t>
          </a:fld>
          <a:endParaRPr lang="en-US"/>
        </a:p>
      </cdr:txBody>
    </cdr:sp>
  </cdr:relSizeAnchor>
  <cdr:relSizeAnchor xmlns:cdr="http://schemas.openxmlformats.org/drawingml/2006/chartDrawing">
    <cdr:from>
      <cdr:x>0.10537</cdr:x>
      <cdr:y>0.19792</cdr:y>
    </cdr:from>
    <cdr:to>
      <cdr:x>0.31612</cdr:x>
      <cdr:y>0.26736</cdr:y>
    </cdr:to>
    <cdr:sp macro="" textlink="">
      <cdr:nvSpPr>
        <cdr:cNvPr id="3" name="Rectangle 2"/>
        <cdr:cNvSpPr/>
      </cdr:nvSpPr>
      <cdr:spPr>
        <a:xfrm xmlns:a="http://schemas.openxmlformats.org/drawingml/2006/main">
          <a:off x="485775" y="542924"/>
          <a:ext cx="971550" cy="190501"/>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95522D4D-2E8F-4A03-8389-4A68879ECFC3}" type="TxLink">
            <a:rPr lang="en-US" sz="1000" b="0" i="0" u="none" strike="noStrike">
              <a:solidFill>
                <a:srgbClr val="000000"/>
              </a:solidFill>
              <a:latin typeface="Arial"/>
              <a:cs typeface="Arial"/>
            </a:rPr>
            <a:pPr/>
            <a:t>Quartile1=19</a:t>
          </a:fld>
          <a:endParaRPr lang="en-US"/>
        </a:p>
      </cdr:txBody>
    </cdr:sp>
  </cdr:relSizeAnchor>
  <cdr:relSizeAnchor xmlns:cdr="http://schemas.openxmlformats.org/drawingml/2006/chartDrawing">
    <cdr:from>
      <cdr:x>0.28512</cdr:x>
      <cdr:y>0.09375</cdr:y>
    </cdr:from>
    <cdr:to>
      <cdr:x>0.47107</cdr:x>
      <cdr:y>0.18403</cdr:y>
    </cdr:to>
    <cdr:sp macro="" textlink="">
      <cdr:nvSpPr>
        <cdr:cNvPr id="4" name="Rectangle 3"/>
        <cdr:cNvSpPr/>
      </cdr:nvSpPr>
      <cdr:spPr>
        <a:xfrm xmlns:a="http://schemas.openxmlformats.org/drawingml/2006/main">
          <a:off x="1314450" y="257175"/>
          <a:ext cx="857250" cy="247650"/>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835EC08B-F510-4C3E-8369-8E55A5CE3BBF}" type="TxLink">
            <a:rPr lang="en-US" sz="1000" b="0" i="0" u="none" strike="noStrike">
              <a:solidFill>
                <a:srgbClr val="000000"/>
              </a:solidFill>
              <a:latin typeface="Arial"/>
              <a:cs typeface="Arial"/>
            </a:rPr>
            <a:pPr/>
            <a:t>Median=38</a:t>
          </a:fld>
          <a:endParaRPr lang="en-US"/>
        </a:p>
      </cdr:txBody>
    </cdr:sp>
  </cdr:relSizeAnchor>
  <cdr:relSizeAnchor xmlns:cdr="http://schemas.openxmlformats.org/drawingml/2006/chartDrawing">
    <cdr:from>
      <cdr:x>0.45455</cdr:x>
      <cdr:y>0.21181</cdr:y>
    </cdr:from>
    <cdr:to>
      <cdr:x>0.67149</cdr:x>
      <cdr:y>0.27778</cdr:y>
    </cdr:to>
    <cdr:sp macro="" textlink="">
      <cdr:nvSpPr>
        <cdr:cNvPr id="5" name="Rectangle 4"/>
        <cdr:cNvSpPr/>
      </cdr:nvSpPr>
      <cdr:spPr>
        <a:xfrm xmlns:a="http://schemas.openxmlformats.org/drawingml/2006/main">
          <a:off x="2095500" y="581025"/>
          <a:ext cx="1000125" cy="180975"/>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14E1F60D-33C8-474E-BDCF-371AC30A421E}" type="TxLink">
            <a:rPr lang="en-US" sz="1000" b="0" i="0" u="none" strike="noStrike">
              <a:solidFill>
                <a:srgbClr val="000000"/>
              </a:solidFill>
              <a:latin typeface="Arial"/>
              <a:cs typeface="Arial"/>
            </a:rPr>
            <a:pPr/>
            <a:t>Quartile3=54</a:t>
          </a:fld>
          <a:endParaRPr lang="en-US"/>
        </a:p>
      </cdr:txBody>
    </cdr:sp>
  </cdr:relSizeAnchor>
  <cdr:relSizeAnchor xmlns:cdr="http://schemas.openxmlformats.org/drawingml/2006/chartDrawing">
    <cdr:from>
      <cdr:x>0.66116</cdr:x>
      <cdr:y>0.33681</cdr:y>
    </cdr:from>
    <cdr:to>
      <cdr:x>0.90702</cdr:x>
      <cdr:y>0.41667</cdr:y>
    </cdr:to>
    <cdr:sp macro="" textlink="">
      <cdr:nvSpPr>
        <cdr:cNvPr id="6" name="Rectangle 5"/>
        <cdr:cNvSpPr/>
      </cdr:nvSpPr>
      <cdr:spPr>
        <a:xfrm xmlns:a="http://schemas.openxmlformats.org/drawingml/2006/main">
          <a:off x="3048000" y="923925"/>
          <a:ext cx="1133475" cy="219076"/>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9887DA86-B6C9-4B29-AEFA-630530E02137}" type="TxLink">
            <a:rPr lang="en-US" sz="1000" b="0" i="0" u="none" strike="noStrike">
              <a:solidFill>
                <a:srgbClr val="000000"/>
              </a:solidFill>
              <a:latin typeface="Arial"/>
              <a:cs typeface="Arial"/>
            </a:rPr>
            <a:pPr/>
            <a:t>Higher Limit=85</a:t>
          </a:fld>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0.60833</cdr:x>
      <cdr:y>0.31944</cdr:y>
    </cdr:from>
    <cdr:to>
      <cdr:x>0.94583</cdr:x>
      <cdr:y>0.41319</cdr:y>
    </cdr:to>
    <cdr:sp macro="" textlink="">
      <cdr:nvSpPr>
        <cdr:cNvPr id="2" name="Rectangle 1"/>
        <cdr:cNvSpPr/>
      </cdr:nvSpPr>
      <cdr:spPr>
        <a:xfrm xmlns:a="http://schemas.openxmlformats.org/drawingml/2006/main">
          <a:off x="2781300" y="876299"/>
          <a:ext cx="1543050" cy="257176"/>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CA7678C8-E61D-4BF0-8704-598BB533882C}" type="TxLink">
            <a:rPr lang="en-US" sz="1000" b="0" i="0" u="none" strike="noStrike">
              <a:solidFill>
                <a:srgbClr val="000000"/>
              </a:solidFill>
              <a:latin typeface="Arial"/>
              <a:cs typeface="Arial"/>
            </a:rPr>
            <a:pPr/>
            <a:t>Higher Limit=78695.25</a:t>
          </a:fld>
          <a:endParaRPr lang="en-US"/>
        </a:p>
      </cdr:txBody>
    </cdr:sp>
  </cdr:relSizeAnchor>
  <cdr:relSizeAnchor xmlns:cdr="http://schemas.openxmlformats.org/drawingml/2006/chartDrawing">
    <cdr:from>
      <cdr:x>0.35208</cdr:x>
      <cdr:y>0.20833</cdr:y>
    </cdr:from>
    <cdr:to>
      <cdr:x>0.60625</cdr:x>
      <cdr:y>0.28819</cdr:y>
    </cdr:to>
    <cdr:sp macro="" textlink="">
      <cdr:nvSpPr>
        <cdr:cNvPr id="3" name="Rectangle 2"/>
        <cdr:cNvSpPr/>
      </cdr:nvSpPr>
      <cdr:spPr>
        <a:xfrm xmlns:a="http://schemas.openxmlformats.org/drawingml/2006/main">
          <a:off x="1609725" y="571500"/>
          <a:ext cx="1162050" cy="219076"/>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045BC9C5-C631-42A5-8765-582325D504C3}" type="TxLink">
            <a:rPr lang="en-US" sz="1000" b="0" i="0" u="none" strike="noStrike">
              <a:solidFill>
                <a:srgbClr val="000000"/>
              </a:solidFill>
              <a:latin typeface="Arial"/>
              <a:cs typeface="Arial"/>
            </a:rPr>
            <a:pPr/>
            <a:t>Quartile3=37648.5</a:t>
          </a:fld>
          <a:endParaRPr lang="en-US"/>
        </a:p>
      </cdr:txBody>
    </cdr:sp>
  </cdr:relSizeAnchor>
  <cdr:relSizeAnchor xmlns:cdr="http://schemas.openxmlformats.org/drawingml/2006/chartDrawing">
    <cdr:from>
      <cdr:x>0.16458</cdr:x>
      <cdr:y>0.08333</cdr:y>
    </cdr:from>
    <cdr:to>
      <cdr:x>0.40417</cdr:x>
      <cdr:y>0.17014</cdr:y>
    </cdr:to>
    <cdr:sp macro="" textlink="">
      <cdr:nvSpPr>
        <cdr:cNvPr id="4" name="Rectangle 3"/>
        <cdr:cNvSpPr/>
      </cdr:nvSpPr>
      <cdr:spPr>
        <a:xfrm xmlns:a="http://schemas.openxmlformats.org/drawingml/2006/main">
          <a:off x="752475" y="228600"/>
          <a:ext cx="1095375" cy="238125"/>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F9634069-B57A-4138-BFD3-95DA6963C92F}" type="TxLink">
            <a:rPr lang="en-US" sz="1000" b="0" i="0" u="none" strike="noStrike">
              <a:solidFill>
                <a:srgbClr val="000000"/>
              </a:solidFill>
              <a:latin typeface="Arial"/>
              <a:cs typeface="Arial"/>
            </a:rPr>
            <a:pPr/>
            <a:t>Median=20932</a:t>
          </a:fld>
          <a:endParaRPr lang="en-US"/>
        </a:p>
      </cdr:txBody>
    </cdr:sp>
  </cdr:relSizeAnchor>
  <cdr:relSizeAnchor xmlns:cdr="http://schemas.openxmlformats.org/drawingml/2006/chartDrawing">
    <cdr:from>
      <cdr:x>0.05208</cdr:x>
      <cdr:y>0.20139</cdr:y>
    </cdr:from>
    <cdr:to>
      <cdr:x>0.28958</cdr:x>
      <cdr:y>0.28819</cdr:y>
    </cdr:to>
    <cdr:sp macro="" textlink="">
      <cdr:nvSpPr>
        <cdr:cNvPr id="5" name="Rectangle 4"/>
        <cdr:cNvSpPr/>
      </cdr:nvSpPr>
      <cdr:spPr>
        <a:xfrm xmlns:a="http://schemas.openxmlformats.org/drawingml/2006/main">
          <a:off x="238125" y="552449"/>
          <a:ext cx="1085850" cy="238125"/>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C2A4F08A-5FAA-4784-BB4B-9C288BE14860}" type="TxLink">
            <a:rPr lang="en-US" sz="1000" b="0" i="0" u="none" strike="noStrike">
              <a:solidFill>
                <a:srgbClr val="000000"/>
              </a:solidFill>
              <a:latin typeface="Arial"/>
              <a:cs typeface="Arial"/>
            </a:rPr>
            <a:pPr/>
            <a:t>Quartile1=10284</a:t>
          </a:fld>
          <a:endParaRPr lang="en-US"/>
        </a:p>
      </cdr:txBody>
    </cdr:sp>
  </cdr:relSizeAnchor>
  <cdr:relSizeAnchor xmlns:cdr="http://schemas.openxmlformats.org/drawingml/2006/chartDrawing">
    <cdr:from>
      <cdr:x>0.00417</cdr:x>
      <cdr:y>0.67708</cdr:y>
    </cdr:from>
    <cdr:to>
      <cdr:x>0.22917</cdr:x>
      <cdr:y>0.77083</cdr:y>
    </cdr:to>
    <cdr:sp macro="" textlink="">
      <cdr:nvSpPr>
        <cdr:cNvPr id="6" name="Rectangle 5"/>
        <cdr:cNvSpPr/>
      </cdr:nvSpPr>
      <cdr:spPr>
        <a:xfrm xmlns:a="http://schemas.openxmlformats.org/drawingml/2006/main">
          <a:off x="19050" y="1857374"/>
          <a:ext cx="1028700" cy="257175"/>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0D2F3B3E-A3F7-4106-8069-3D0841BD7C57}" type="TxLink">
            <a:rPr lang="en-US" sz="1000" b="0" i="0" u="none" strike="noStrike">
              <a:solidFill>
                <a:srgbClr val="000000"/>
              </a:solidFill>
              <a:latin typeface="Arial"/>
              <a:cs typeface="Arial"/>
            </a:rPr>
            <a:pPr/>
            <a:t>Lower Limit=0</a:t>
          </a:fld>
          <a:endParaRPr lang="en-US"/>
        </a:p>
      </cdr:txBody>
    </cdr:sp>
  </cdr:relSizeAnchor>
</c:userShapes>
</file>

<file path=word/drawings/drawing3.xml><?xml version="1.0" encoding="utf-8"?>
<c:userShapes xmlns:c="http://schemas.openxmlformats.org/drawingml/2006/chart">
  <cdr:relSizeAnchor xmlns:cdr="http://schemas.openxmlformats.org/drawingml/2006/chartDrawing">
    <cdr:from>
      <cdr:x>0.07917</cdr:x>
      <cdr:y>0.08333</cdr:y>
    </cdr:from>
    <cdr:to>
      <cdr:x>0.28125</cdr:x>
      <cdr:y>0.16319</cdr:y>
    </cdr:to>
    <cdr:sp macro="" textlink="">
      <cdr:nvSpPr>
        <cdr:cNvPr id="2" name="Rectangle 1"/>
        <cdr:cNvSpPr/>
      </cdr:nvSpPr>
      <cdr:spPr>
        <a:xfrm xmlns:a="http://schemas.openxmlformats.org/drawingml/2006/main">
          <a:off x="361950" y="228599"/>
          <a:ext cx="923925" cy="219075"/>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7E1066BA-FFC4-424D-A19E-FD4B17F18474}" type="TxLink">
            <a:rPr lang="en-US" sz="1000" b="0" i="0" u="none" strike="noStrike">
              <a:solidFill>
                <a:srgbClr val="000000"/>
              </a:solidFill>
              <a:latin typeface="Arial"/>
              <a:cs typeface="Arial"/>
            </a:rPr>
            <a:pPr/>
            <a:t>Median=9094</a:t>
          </a:fld>
          <a:endParaRPr lang="en-US"/>
        </a:p>
      </cdr:txBody>
    </cdr:sp>
  </cdr:relSizeAnchor>
  <cdr:relSizeAnchor xmlns:cdr="http://schemas.openxmlformats.org/drawingml/2006/chartDrawing">
    <cdr:from>
      <cdr:x>0.01667</cdr:x>
      <cdr:y>0.66319</cdr:y>
    </cdr:from>
    <cdr:to>
      <cdr:x>0.23333</cdr:x>
      <cdr:y>0.73958</cdr:y>
    </cdr:to>
    <cdr:sp macro="" textlink="">
      <cdr:nvSpPr>
        <cdr:cNvPr id="3" name="Rectangle 2"/>
        <cdr:cNvSpPr/>
      </cdr:nvSpPr>
      <cdr:spPr>
        <a:xfrm xmlns:a="http://schemas.openxmlformats.org/drawingml/2006/main">
          <a:off x="76201" y="1819275"/>
          <a:ext cx="990600" cy="209550"/>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B89C11BB-AF2E-47DD-8AFB-C23840F7AA72}" type="TxLink">
            <a:rPr lang="en-US" sz="1000" b="0" i="0" u="none" strike="noStrike">
              <a:solidFill>
                <a:srgbClr val="000000"/>
              </a:solidFill>
              <a:latin typeface="Arial"/>
              <a:cs typeface="Arial"/>
            </a:rPr>
            <a:pPr/>
            <a:t>Lower Limit=0</a:t>
          </a:fld>
          <a:endParaRPr lang="en-US"/>
        </a:p>
      </cdr:txBody>
    </cdr:sp>
  </cdr:relSizeAnchor>
  <cdr:relSizeAnchor xmlns:cdr="http://schemas.openxmlformats.org/drawingml/2006/chartDrawing">
    <cdr:from>
      <cdr:x>0.30417</cdr:x>
      <cdr:y>0.20139</cdr:y>
    </cdr:from>
    <cdr:to>
      <cdr:x>0.56875</cdr:x>
      <cdr:y>0.27431</cdr:y>
    </cdr:to>
    <cdr:sp macro="" textlink="">
      <cdr:nvSpPr>
        <cdr:cNvPr id="4" name="Rectangle 3"/>
        <cdr:cNvSpPr/>
      </cdr:nvSpPr>
      <cdr:spPr>
        <a:xfrm xmlns:a="http://schemas.openxmlformats.org/drawingml/2006/main">
          <a:off x="1390650" y="552449"/>
          <a:ext cx="1209675" cy="200025"/>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FAD52A78-C212-4BE1-8E5D-0EACEB10E6C7}" type="TxLink">
            <a:rPr lang="en-US" sz="1000" b="0" i="0" u="none" strike="noStrike">
              <a:solidFill>
                <a:srgbClr val="000000"/>
              </a:solidFill>
              <a:latin typeface="Arial"/>
              <a:cs typeface="Arial"/>
            </a:rPr>
            <a:pPr/>
            <a:t>Quartile3=30000</a:t>
          </a:fld>
          <a:endParaRPr lang="en-US"/>
        </a:p>
      </cdr:txBody>
    </cdr:sp>
  </cdr:relSizeAnchor>
  <cdr:relSizeAnchor xmlns:cdr="http://schemas.openxmlformats.org/drawingml/2006/chartDrawing">
    <cdr:from>
      <cdr:x>0.66458</cdr:x>
      <cdr:y>0.35764</cdr:y>
    </cdr:from>
    <cdr:to>
      <cdr:x>0.95417</cdr:x>
      <cdr:y>0.42708</cdr:y>
    </cdr:to>
    <cdr:sp macro="" textlink="">
      <cdr:nvSpPr>
        <cdr:cNvPr id="5" name="Rectangle 4"/>
        <cdr:cNvSpPr/>
      </cdr:nvSpPr>
      <cdr:spPr>
        <a:xfrm xmlns:a="http://schemas.openxmlformats.org/drawingml/2006/main">
          <a:off x="3038476" y="981075"/>
          <a:ext cx="1323974" cy="190500"/>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17A319FC-3153-4619-96AD-6CA07ABD07C2}" type="TxLink">
            <a:rPr lang="en-US" sz="1000" b="0" i="0" u="none" strike="noStrike">
              <a:solidFill>
                <a:srgbClr val="000000"/>
              </a:solidFill>
              <a:latin typeface="Arial"/>
              <a:cs typeface="Arial"/>
            </a:rPr>
            <a:pPr/>
            <a:t>Higher Limit=75000</a:t>
          </a:fld>
          <a:endParaRPr lang="en-US"/>
        </a:p>
      </cdr:txBody>
    </cdr:sp>
  </cdr:relSizeAnchor>
  <cdr:relSizeAnchor xmlns:cdr="http://schemas.openxmlformats.org/drawingml/2006/chartDrawing">
    <cdr:from>
      <cdr:x>0.0125</cdr:x>
      <cdr:y>0.19792</cdr:y>
    </cdr:from>
    <cdr:to>
      <cdr:x>0.21042</cdr:x>
      <cdr:y>0.27778</cdr:y>
    </cdr:to>
    <cdr:sp macro="" textlink="">
      <cdr:nvSpPr>
        <cdr:cNvPr id="6" name="Rectangle 5"/>
        <cdr:cNvSpPr/>
      </cdr:nvSpPr>
      <cdr:spPr>
        <a:xfrm xmlns:a="http://schemas.openxmlformats.org/drawingml/2006/main">
          <a:off x="57151" y="542924"/>
          <a:ext cx="904874" cy="219076"/>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497D3235-C2BF-4302-AFEA-03493260FE14}" type="TxLink">
            <a:rPr lang="en-US" sz="1000" b="0" i="0" u="none" strike="noStrike">
              <a:solidFill>
                <a:srgbClr val="000000"/>
              </a:solidFill>
              <a:latin typeface="Arial"/>
              <a:cs typeface="Arial"/>
            </a:rPr>
            <a:pPr/>
            <a:t>Quartile1=0</a:t>
          </a:fld>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12</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13</cp:revision>
  <dcterms:created xsi:type="dcterms:W3CDTF">2012-02-08T03:35:00Z</dcterms:created>
  <dcterms:modified xsi:type="dcterms:W3CDTF">2012-02-08T05:46:00Z</dcterms:modified>
</cp:coreProperties>
</file>