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keepLines/>
        <w:widowControl w:val="0"/>
        <w:jc w:val="center"/>
      </w:pPr>
      <w:r>
        <w:t>SEAN KASPAR</w:t>
      </w:r>
    </w:p>
    <w:p>
      <w:pPr>
        <w:pStyle w:val="ResumeTitle"/>
        <w:keepLines/>
        <w:widowControl w:val="0"/>
        <w:jc w:val="center"/>
      </w:pPr>
      <w:r>
        <w:t>PROGRAM &amp; OPERATIONS LEADERSHIP  |  ACTIVE SECRET CLEARANCE</w:t>
      </w:r>
    </w:p>
    <w:p>
      <w:pPr>
        <w:pStyle w:val="Small"/>
        <w:keepLines/>
        <w:widowControl w:val="0"/>
        <w:jc w:val="center"/>
      </w:pPr>
      <w:r>
        <w:t>SeanKaspar92@gmail.com  |  linkedin.com/in/sean-kaspar  |  seankaspar92.github.io/Portfolio/</w:t>
      </w:r>
    </w:p>
    <w:p>
      <w:pPr>
        <w:pStyle w:val="SectionHead"/>
        <w:spacing w:before="80" w:after="30"/>
        <w:keepLines/>
        <w:widowControl w:val="0"/>
        <w:pBdr>
          <w:bottom w:val="single" w:sz="6" w:space="1" w:color="2B74B9"/>
        </w:pBdr>
      </w:pPr>
      <w:r>
        <w:t>PROFESSIONAL SUMMARY</w:t>
      </w:r>
    </w:p>
    <w:p>
      <w:pPr>
        <w:keepLines/>
        <w:widowControl w:val="0"/>
        <w:spacing w:line="230" w:lineRule="auto"/>
      </w:pPr>
      <w:r>
        <w:t>Program and operations leader with 10+ years of progressively responsible experience leading teams, managing multimillion-dollar resources, and executing complex initiatives in high-accountability environments. Strengths include program execution, workforce planning, process improvement, resource allocation, risk management, performance reporting, training operations, and stakeholder coordination.</w:t>
      </w:r>
    </w:p>
    <w:p>
      <w:pPr>
        <w:pStyle w:val="SectionHead"/>
        <w:spacing w:before="80" w:after="30"/>
        <w:keepLines/>
        <w:widowControl w:val="0"/>
        <w:pBdr>
          <w:bottom w:val="single" w:sz="6" w:space="1" w:color="2B74B9"/>
        </w:pBdr>
      </w:pPr>
      <w:r>
        <w:t>CORE CAPABILITIES</w:t>
      </w:r>
    </w:p>
    <w:p>
      <w:pPr>
        <w:keepLines/>
        <w:widowControl w:val="0"/>
        <w:spacing w:line="228" w:lineRule="auto"/>
      </w:pPr>
      <w:r>
        <w:t>Program Management • Project Execution • Operations Management • Strategic Operations • Cross-Functional Leadership • Workforce Planning • Process Improvement • Resource Management • Risk &amp; Issue Management • Performance Analytics • Stakeholder Management • Change Management • Training Program Management • Executive Communication</w:t>
      </w:r>
    </w:p>
    <w:p>
      <w:pPr>
        <w:pStyle w:val="SectionHead"/>
        <w:spacing w:before="80" w:after="30"/>
        <w:keepLines/>
        <w:widowControl w:val="0"/>
        <w:pBdr>
          <w:bottom w:val="single" w:sz="6" w:space="1" w:color="2B74B9"/>
        </w:pBdr>
      </w:pPr>
      <w:r>
        <w:t>PROFESSIONAL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352"/>
        <w:gridCol w:w="1584"/>
      </w:tblGrid>
      <w:tr>
        <w:tc>
          <w:tcPr>
            <w:tcW w:type="dxa" w:w="551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Meta"/>
            </w:pPr>
            <w:r>
              <w:t>UNITED STATES ARMY</w:t>
            </w:r>
          </w:p>
        </w:tc>
        <w:tc>
          <w:tcPr>
            <w:tcW w:type="dxa" w:w="551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Meta"/>
              <w:jc w:val="right"/>
            </w:pPr>
            <w:r>
              <w:t>2024–Present</w:t>
            </w:r>
          </w:p>
        </w:tc>
      </w:tr>
    </w:tbl>
    <w:p>
      <w:pPr>
        <w:pStyle w:val="JobTitle"/>
        <w:keepLines/>
        <w:widowControl w:val="0"/>
        <w:spacing w:before="4"/>
      </w:pPr>
      <w:r>
        <w:t>Senior Operations / Program Operations Manager</w:t>
      </w:r>
      <w:r>
        <w:rPr>
          <w:b w:val="0"/>
          <w:i/>
          <w:color w:val="4E6478"/>
          <w:sz w:val="15"/>
        </w:rPr>
        <w:t xml:space="preserve">  |  Operations NCO / Platoon Sergeant</w:t>
      </w:r>
    </w:p>
    <w:p>
      <w:pPr>
        <w:keepLines/>
        <w:widowControl w:val="0"/>
        <w:spacing w:after="6" w:line="226" w:lineRule="auto"/>
        <w:ind w:left="173" w:hanging="130"/>
      </w:pPr>
      <w:r>
        <w:rPr>
          <w:b/>
          <w:color w:val="1F5E9C"/>
        </w:rPr>
        <w:t xml:space="preserve">• </w:t>
      </w:r>
      <w:r>
        <w:t>Manage concurrent workstreams across workforce readiness, training, communications, scheduling, and resources; translate leadership priorities into executable plans with ownership, timelines, dependencies, and follow-through.</w:t>
      </w:r>
    </w:p>
    <w:p>
      <w:pPr>
        <w:keepLines/>
        <w:widowControl w:val="0"/>
        <w:spacing w:after="6" w:line="226" w:lineRule="auto"/>
        <w:ind w:left="173" w:hanging="130"/>
      </w:pPr>
      <w:r>
        <w:rPr>
          <w:b/>
          <w:color w:val="1F5E9C"/>
        </w:rPr>
        <w:t xml:space="preserve">• </w:t>
      </w:r>
      <w:r>
        <w:t>Integrate people, equipment, communications, and operating information during large-scale activities while maintaining leadership decision visibility.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352"/>
        <w:gridCol w:w="1584"/>
      </w:tblGrid>
      <w:tr>
        <w:tc>
          <w:tcPr>
            <w:tcW w:type="dxa" w:w="551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Meta"/>
            </w:pPr>
            <w:r>
              <w:t>TRAINING PROGRAM MANAGEMENT</w:t>
            </w:r>
          </w:p>
        </w:tc>
        <w:tc>
          <w:tcPr>
            <w:tcW w:type="dxa" w:w="551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Meta"/>
              <w:jc w:val="right"/>
            </w:pPr>
            <w:r>
              <w:t>2024–2025</w:t>
            </w:r>
          </w:p>
        </w:tc>
      </w:tr>
    </w:tbl>
    <w:p>
      <w:pPr>
        <w:pStyle w:val="JobTitle"/>
        <w:keepLines/>
        <w:widowControl w:val="0"/>
        <w:spacing w:before="4"/>
      </w:pPr>
      <w:r>
        <w:t>Training Program Manager</w:t>
      </w:r>
      <w:r>
        <w:rPr>
          <w:b w:val="0"/>
          <w:i/>
          <w:color w:val="4E6478"/>
          <w:sz w:val="15"/>
        </w:rPr>
        <w:t xml:space="preserve">  |  Brigade Instructor / Technical Training Program Leader</w:t>
      </w:r>
    </w:p>
    <w:p>
      <w:pPr>
        <w:keepLines/>
        <w:widowControl w:val="0"/>
        <w:spacing w:after="6" w:line="226" w:lineRule="auto"/>
        <w:ind w:left="173" w:hanging="130"/>
      </w:pPr>
      <w:r>
        <w:rPr>
          <w:b/>
          <w:color w:val="1F5E9C"/>
        </w:rPr>
        <w:t xml:space="preserve">• </w:t>
      </w:r>
      <w:r>
        <w:t>Planned and executed 15 large-scale technical training programs serving ~4,800 personnel with zero accidents or injuries; delivered 800+ hours of instruction to 500+ learners and contributed to a 90%+ qualification pass rate.</w:t>
      </w:r>
    </w:p>
    <w:p>
      <w:pPr>
        <w:keepLines/>
        <w:widowControl w:val="0"/>
        <w:spacing w:after="6" w:line="226" w:lineRule="auto"/>
        <w:ind w:left="173" w:hanging="130"/>
      </w:pPr>
      <w:r>
        <w:rPr>
          <w:b/>
          <w:color w:val="1F5E9C"/>
        </w:rPr>
        <w:t xml:space="preserve">• </w:t>
      </w:r>
      <w:r>
        <w:t>Supported training and mentorship for ~12,000 personnel annually and coordinated a multinational program involving 30 Royal Thai Army and 12 U.S. teams.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352"/>
        <w:gridCol w:w="1584"/>
      </w:tblGrid>
      <w:tr>
        <w:tc>
          <w:tcPr>
            <w:tcW w:type="dxa" w:w="551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Meta"/>
            </w:pPr>
            <w:r>
              <w:t>OPERATIONS LEADERSHIP</w:t>
            </w:r>
          </w:p>
        </w:tc>
        <w:tc>
          <w:tcPr>
            <w:tcW w:type="dxa" w:w="551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Meta"/>
              <w:jc w:val="right"/>
            </w:pPr>
            <w:r>
              <w:t>2021–2024</w:t>
            </w:r>
          </w:p>
        </w:tc>
      </w:tr>
    </w:tbl>
    <w:p>
      <w:pPr>
        <w:pStyle w:val="JobTitle"/>
        <w:keepLines/>
        <w:widowControl w:val="0"/>
        <w:spacing w:before="4"/>
      </w:pPr>
      <w:r>
        <w:t>Junior Operations Manager / Team Manager</w:t>
      </w:r>
      <w:r>
        <w:rPr>
          <w:b w:val="0"/>
          <w:i/>
          <w:color w:val="4E6478"/>
          <w:sz w:val="15"/>
        </w:rPr>
        <w:t xml:space="preserve">  |  Weapons Squad Leader / Section Leader</w:t>
      </w:r>
    </w:p>
    <w:p>
      <w:pPr>
        <w:keepLines/>
        <w:widowControl w:val="0"/>
        <w:spacing w:after="6" w:line="226" w:lineRule="auto"/>
        <w:ind w:left="173" w:hanging="130"/>
      </w:pPr>
      <w:r>
        <w:rPr>
          <w:b/>
          <w:color w:val="1F5E9C"/>
        </w:rPr>
        <w:t xml:space="preserve">• </w:t>
      </w:r>
      <w:r>
        <w:t>Led workforce readiness, maintenance, training, safety, and accountability for $4M+ in equipment; broader assignments involved $6M+ in operational resources with 100% accountability.</w:t>
      </w:r>
    </w:p>
    <w:p>
      <w:pPr>
        <w:keepLines/>
        <w:widowControl w:val="0"/>
        <w:spacing w:after="6" w:line="226" w:lineRule="auto"/>
        <w:ind w:left="173" w:hanging="130"/>
      </w:pPr>
      <w:r>
        <w:rPr>
          <w:b/>
          <w:color w:val="1F5E9C"/>
        </w:rPr>
        <w:t xml:space="preserve">• </w:t>
      </w:r>
      <w:r>
        <w:t>Built a measurable performance-improvement process that raised the team average from 509 to 526 and later 537; selected as the top-performing leader among 18 peers.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8352"/>
        <w:gridCol w:w="1584"/>
      </w:tblGrid>
      <w:tr>
        <w:tc>
          <w:tcPr>
            <w:tcW w:type="dxa" w:w="551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Meta"/>
            </w:pPr>
            <w:r>
              <w:t>WORKFORCE DEVELOPMENT</w:t>
            </w:r>
          </w:p>
        </w:tc>
        <w:tc>
          <w:tcPr>
            <w:tcW w:type="dxa" w:w="551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Meta"/>
              <w:jc w:val="right"/>
            </w:pPr>
            <w:r>
              <w:t>2019–2021</w:t>
            </w:r>
          </w:p>
        </w:tc>
      </w:tr>
    </w:tbl>
    <w:p>
      <w:pPr>
        <w:pStyle w:val="JobTitle"/>
        <w:keepLines/>
        <w:widowControl w:val="0"/>
        <w:spacing w:before="4"/>
      </w:pPr>
      <w:r>
        <w:t>Workforce Development &amp; Onboarding Manager</w:t>
      </w:r>
      <w:r>
        <w:rPr>
          <w:b w:val="0"/>
          <w:i/>
          <w:color w:val="4E6478"/>
          <w:sz w:val="15"/>
        </w:rPr>
        <w:t xml:space="preserve">  |  Drill Sergeant / Senior Drill Sergeant</w:t>
      </w:r>
    </w:p>
    <w:p>
      <w:pPr>
        <w:keepLines/>
        <w:widowControl w:val="0"/>
        <w:spacing w:after="6" w:line="226" w:lineRule="auto"/>
        <w:ind w:left="173" w:hanging="130"/>
      </w:pPr>
      <w:r>
        <w:rPr>
          <w:b/>
          <w:color w:val="1F5E9C"/>
        </w:rPr>
        <w:t xml:space="preserve">• </w:t>
      </w:r>
      <w:r>
        <w:t>Managed onboarding, development, scheduling, performance evaluation, safety, and accountability for cohorts of up to 60 personnel; trained and mentored 1,600+ people through structured 10-week programs.</w:t>
      </w:r>
    </w:p>
    <w:p>
      <w:pPr>
        <w:keepLines/>
        <w:widowControl w:val="0"/>
        <w:spacing w:after="6" w:line="226" w:lineRule="auto"/>
        <w:ind w:left="173" w:hanging="130"/>
      </w:pPr>
      <w:r>
        <w:rPr>
          <w:b/>
          <w:color w:val="1F5E9C"/>
        </w:rPr>
        <w:t xml:space="preserve">• </w:t>
      </w:r>
      <w:r>
        <w:t>Coordinated movement, staffing, resources, and accountability for 900+ trainees with no loss of personnel or equipment; recognized as Drill Sergeant of the Cycle.</w:t>
      </w:r>
    </w:p>
    <w:p>
      <w:pPr>
        <w:pStyle w:val="SectionHead"/>
        <w:spacing w:before="80" w:after="30"/>
        <w:keepLines/>
        <w:widowControl w:val="0"/>
        <w:pBdr>
          <w:bottom w:val="single" w:sz="6" w:space="1" w:color="2B74B9"/>
        </w:pBdr>
      </w:pPr>
      <w: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77"/>
        <w:gridCol w:w="3677"/>
        <w:gridCol w:w="3677"/>
      </w:tblGrid>
      <w:tr>
        <w:tc>
          <w:tcPr>
            <w:tcW w:type="dxa" w:w="3677"/>
            <w:tcMar>
              <w:top w:w="0" w:type="dxa"/>
              <w:start w:w="55" w:type="dxa"/>
              <w:bottom w:w="0" w:type="dxa"/>
              <w:end w:w="55" w:type="dxa"/>
            </w:tcMar>
            <w:vAlign w:val="top"/>
          </w:tcPr>
          <w:p>
            <w:pPr>
              <w:pStyle w:val="JobTitle"/>
            </w:pPr>
            <w:r>
              <w:t>M.S. Enterprise Artificial Intelligence</w:t>
            </w:r>
          </w:p>
          <w:p>
            <w:pPr>
              <w:pStyle w:val="Small"/>
            </w:pPr>
            <w:r>
              <w:t>Boston University · Expected 2028</w:t>
            </w:r>
          </w:p>
        </w:tc>
        <w:tc>
          <w:tcPr>
            <w:tcW w:type="dxa" w:w="3677"/>
            <w:tcMar>
              <w:top w:w="0" w:type="dxa"/>
              <w:start w:w="55" w:type="dxa"/>
              <w:bottom w:w="0" w:type="dxa"/>
              <w:end w:w="55" w:type="dxa"/>
            </w:tcMar>
            <w:vAlign w:val="top"/>
          </w:tcPr>
          <w:p>
            <w:pPr>
              <w:pStyle w:val="JobTitle"/>
            </w:pPr>
            <w:r>
              <w:t>MBA</w:t>
            </w:r>
          </w:p>
          <w:p>
            <w:pPr>
              <w:pStyle w:val="Small"/>
            </w:pPr>
            <w:r>
              <w:t>University of Illinois Urbana-Champaign · 2026</w:t>
            </w:r>
          </w:p>
        </w:tc>
        <w:tc>
          <w:tcPr>
            <w:tcW w:type="dxa" w:w="3677"/>
            <w:tcMar>
              <w:top w:w="0" w:type="dxa"/>
              <w:start w:w="55" w:type="dxa"/>
              <w:bottom w:w="0" w:type="dxa"/>
              <w:end w:w="55" w:type="dxa"/>
            </w:tcMar>
            <w:vAlign w:val="top"/>
          </w:tcPr>
          <w:p>
            <w:pPr>
              <w:pStyle w:val="JobTitle"/>
            </w:pPr>
            <w:r>
              <w:t>B.S. Exercise and Health Sciences</w:t>
            </w:r>
          </w:p>
          <w:p>
            <w:pPr>
              <w:pStyle w:val="Small"/>
            </w:pPr>
            <w:r>
              <w:t>American Military University · 2024</w:t>
            </w:r>
          </w:p>
        </w:tc>
      </w:tr>
    </w:tbl>
    <w:p>
      <w:pPr>
        <w:pStyle w:val="SectionHead"/>
        <w:spacing w:before="80" w:after="30"/>
        <w:keepLines/>
        <w:widowControl w:val="0"/>
        <w:pBdr>
          <w:bottom w:val="single" w:sz="6" w:space="1" w:color="2B74B9"/>
        </w:pBdr>
      </w:pPr>
      <w:r>
        <w:t>TECHNICAL SKILLS</w:t>
      </w:r>
    </w:p>
    <w:p>
      <w:pPr>
        <w:keepLines/>
        <w:widowControl w:val="0"/>
        <w:spacing w:line="228" w:lineRule="auto"/>
      </w:pPr>
      <w:r>
        <w:t>Microsoft Excel • PowerPoint • Teams • Word • Microsoft 365 • Data Analysis • Performance Reporting • Project Planning • Resource Forecasting • Process Documentation • Technical Writing • AI-Assisted Workflow Development</w:t>
      </w:r>
    </w:p>
    <w:sectPr w:rsidR="00FC693F" w:rsidRPr="0006063C" w:rsidSect="00034616">
      <w:pgSz w:w="12240" w:h="15840"/>
      <w:pgMar w:top="490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35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Name"/>
    <w:pPr>
      <w:spacing w:after="0" w:before="0"/>
    </w:pPr>
    <w:rPr>
      <w:rFonts w:ascii="Arial" w:hAnsi="Arial"/>
      <w:b/>
      <w:color w:val="0B2239"/>
      <w:sz w:val="40"/>
    </w:rPr>
  </w:style>
  <w:style w:type="paragraph" w:customStyle="1" w:styleId="ResumeTitle">
    <w:name w:val="ResumeTitle"/>
    <w:pPr>
      <w:spacing w:after="0" w:before="0"/>
    </w:pPr>
    <w:rPr>
      <w:rFonts w:ascii="Arial" w:hAnsi="Arial"/>
      <w:b/>
      <w:color w:val="1F5E9C"/>
      <w:sz w:val="19"/>
    </w:rPr>
  </w:style>
  <w:style w:type="paragraph" w:customStyle="1" w:styleId="SectionHead">
    <w:name w:val="SectionHead"/>
    <w:pPr>
      <w:spacing w:after="0" w:before="0"/>
    </w:pPr>
    <w:rPr>
      <w:rFonts w:ascii="Arial" w:hAnsi="Arial"/>
      <w:b/>
      <w:color w:val="0B2239"/>
      <w:sz w:val="20"/>
    </w:rPr>
  </w:style>
  <w:style w:type="paragraph" w:customStyle="1" w:styleId="JobTitle">
    <w:name w:val="JobTitle"/>
    <w:pPr>
      <w:spacing w:after="0" w:before="0"/>
    </w:pPr>
    <w:rPr>
      <w:rFonts w:ascii="Arial" w:hAnsi="Arial"/>
      <w:b/>
      <w:color w:val="0B2239"/>
      <w:sz w:val="18"/>
    </w:rPr>
  </w:style>
  <w:style w:type="paragraph" w:customStyle="1" w:styleId="Meta">
    <w:name w:val="Meta"/>
    <w:pPr>
      <w:spacing w:after="0" w:before="0"/>
    </w:pPr>
    <w:rPr>
      <w:rFonts w:ascii="Arial" w:hAnsi="Arial"/>
      <w:b/>
      <w:color w:val="4E6478"/>
      <w:sz w:val="15"/>
    </w:rPr>
  </w:style>
  <w:style w:type="paragraph" w:customStyle="1" w:styleId="Small">
    <w:name w:val="Small"/>
    <w:pPr>
      <w:spacing w:after="0" w:before="0"/>
    </w:pPr>
    <w:rPr>
      <w:rFonts w:ascii="Arial" w:hAnsi="Arial"/>
      <w:b w:val="0"/>
      <w:color w:val="4E6478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Sean Kaspar Resume</dc:title>
  <dc:subject>Program and Operations Leadership</dc:subject>
  <dc:creator>Sean Kaspar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